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lqsqg9p9uvg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Types of Black-Box Techniques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[8/15/2025]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4.394904458599"/>
        <w:gridCol w:w="2821.9108280254777"/>
        <w:gridCol w:w="4103.6942675159235"/>
        <w:tblGridChange w:id="0">
          <w:tblGrid>
            <w:gridCol w:w="2434.394904458599"/>
            <w:gridCol w:w="2821.9108280254777"/>
            <w:gridCol w:w="4103.69426751592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Simple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Equivalence Partitioning (EP)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Group inputs that should behave the same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For age input 18–60: test one value from each group (e.g., 17, 30, 61).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Boundary Value Analysis (BVA)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Focus on edge values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If max transfer is $10,000: test $9,999, $10,000, $10,001.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Decision Table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Handle combinations of 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For loan approval: income level × credit score.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State Transition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Check system behavior in different states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ATM: "Card Inserted" → "Enter PIN" → "Select Transaction".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Use Case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Test real-world user flows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Buying an item online: Search → Add to Cart → Checkout.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