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C4D8" w14:textId="77777777" w:rsidR="00AE5E11" w:rsidRDefault="00AE5E11">
      <w:pPr>
        <w:pStyle w:val="Heading1"/>
      </w:pPr>
      <w:bookmarkStart w:id="0" w:name="_7ncr8t16emix" w:colFirst="0" w:colLast="0"/>
      <w:bookmarkEnd w:id="0"/>
      <w:r>
        <w:t>Domain-Specific Lexicon</w:t>
      </w:r>
    </w:p>
    <w:p w14:paraId="221732EA" w14:textId="77777777" w:rsidR="00AE5E11" w:rsidRDefault="00AE5E11">
      <w:pPr>
        <w:pStyle w:val="Heading2"/>
      </w:pPr>
      <w:bookmarkStart w:id="1" w:name="_ig2znz78gtmz" w:colFirst="0" w:colLast="0"/>
      <w:bookmarkEnd w:id="1"/>
      <w:r>
        <w:t>What is Domain-Specific Lexicon</w:t>
      </w:r>
    </w:p>
    <w:p w14:paraId="6F09076F" w14:textId="77777777" w:rsidR="00AE5E11" w:rsidRDefault="00AE5E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86F1D28" w14:textId="77777777" w:rsidR="00AE5E11" w:rsidRDefault="00AE5E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Domain-Specific Lexicon</w:t>
      </w:r>
      <w:r>
        <w:rPr>
          <w:rFonts w:ascii="Roboto Mono" w:eastAsia="Roboto Mono" w:hAnsi="Roboto Mono" w:cs="Roboto Mono"/>
        </w:rPr>
        <w:t xml:space="preserve"> is a lexicon that contains words, phrases, and terminologies </w:t>
      </w:r>
      <w:r>
        <w:rPr>
          <w:rFonts w:ascii="Roboto Mono" w:eastAsia="Roboto Mono" w:hAnsi="Roboto Mono" w:cs="Roboto Mono"/>
          <w:b/>
        </w:rPr>
        <w:t>specific to a particular subject area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professional field</w:t>
      </w:r>
      <w:r>
        <w:rPr>
          <w:rFonts w:ascii="Roboto Mono" w:eastAsia="Roboto Mono" w:hAnsi="Roboto Mono" w:cs="Roboto Mono"/>
        </w:rPr>
        <w:t xml:space="preserve">. These lexicons are essential for ensuring </w:t>
      </w:r>
      <w:r>
        <w:rPr>
          <w:rFonts w:ascii="Roboto Mono" w:eastAsia="Roboto Mono" w:hAnsi="Roboto Mono" w:cs="Roboto Mono"/>
          <w:b/>
        </w:rPr>
        <w:t>clarity, precision, and effective communication</w:t>
      </w:r>
      <w:r>
        <w:rPr>
          <w:rFonts w:ascii="Roboto Mono" w:eastAsia="Roboto Mono" w:hAnsi="Roboto Mono" w:cs="Roboto Mono"/>
        </w:rPr>
        <w:t xml:space="preserve"> within specialized disciplines.</w:t>
      </w:r>
    </w:p>
    <w:p w14:paraId="69BE5215" w14:textId="77777777" w:rsidR="00AE5E11" w:rsidRDefault="00AE5E11">
      <w:r>
        <w:pict w14:anchorId="46ED23D2">
          <v:rect id="_x0000_i1025" style="width:0;height:1.5pt" o:hralign="center" o:hrstd="t" o:hr="t" fillcolor="#a0a0a0" stroked="f"/>
        </w:pict>
      </w:r>
    </w:p>
    <w:p w14:paraId="455FE591" w14:textId="77777777" w:rsidR="00AE5E11" w:rsidRDefault="00AE5E11">
      <w:pPr>
        <w:pStyle w:val="Heading2"/>
        <w:keepNext w:val="0"/>
        <w:keepLines w:val="0"/>
        <w:spacing w:before="280"/>
      </w:pPr>
      <w:bookmarkStart w:id="2" w:name="_dvriprqss6hc" w:colFirst="0" w:colLast="0"/>
      <w:bookmarkEnd w:id="2"/>
      <w:r>
        <w:t>🔹 Key Features of a Domain-Specific Lexicon</w:t>
      </w:r>
    </w:p>
    <w:p w14:paraId="0AF6C1C6" w14:textId="77777777" w:rsidR="00AE5E11" w:rsidRDefault="00AE5E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7747118" w14:textId="77777777" w:rsidR="00AE5E11" w:rsidRDefault="00AE5E11">
      <w:r>
        <w:rPr>
          <w:noProof/>
        </w:rPr>
        <w:drawing>
          <wp:inline distT="114300" distB="114300" distL="114300" distR="114300" wp14:anchorId="082DFFA1" wp14:editId="67B4887F">
            <wp:extent cx="5943600" cy="190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7085"/>
      </w:tblGrid>
      <w:tr w:rsidR="00AE5E11" w14:paraId="64599B0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66FC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8D0B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E5E11" w14:paraId="24125715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AEE2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0A6B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vocabulary unique to a </w:t>
            </w:r>
            <w:r>
              <w:rPr>
                <w:rFonts w:ascii="Roboto Mono" w:eastAsia="Roboto Mono" w:hAnsi="Roboto Mono" w:cs="Roboto Mono"/>
                <w:b/>
              </w:rPr>
              <w:t>specific domain or profession</w:t>
            </w:r>
          </w:p>
        </w:tc>
      </w:tr>
      <w:tr w:rsidR="00AE5E11" w14:paraId="1721B00B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7A8C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4D5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Terms, jargon, abbreviations, and expressions used in that field</w:t>
            </w:r>
          </w:p>
        </w:tc>
      </w:tr>
      <w:tr w:rsidR="00AE5E11" w14:paraId="61D55671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65E0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E79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includes </w:t>
            </w:r>
            <w:r>
              <w:rPr>
                <w:rFonts w:ascii="Roboto Mono" w:eastAsia="Roboto Mono" w:hAnsi="Roboto Mono" w:cs="Roboto Mono"/>
                <w:b/>
              </w:rPr>
              <w:t>technical definitions</w:t>
            </w:r>
            <w:r>
              <w:rPr>
                <w:rFonts w:ascii="Roboto Mono" w:eastAsia="Roboto Mono" w:hAnsi="Roboto Mono" w:cs="Roboto Mono"/>
              </w:rPr>
              <w:t>, usage context, and examples</w:t>
            </w:r>
          </w:p>
        </w:tc>
      </w:tr>
      <w:tr w:rsidR="00AE5E11" w14:paraId="69FE49E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06E4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2A80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professionals, translators, NLP systems in specialized contexts</w:t>
            </w:r>
          </w:p>
        </w:tc>
      </w:tr>
      <w:tr w:rsidR="00AE5E11" w14:paraId="5823C615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7E0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AAD6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a standalone glossary or part of a larger lexical database</w:t>
            </w:r>
          </w:p>
        </w:tc>
      </w:tr>
    </w:tbl>
    <w:p w14:paraId="6F72F482" w14:textId="77777777" w:rsidR="00AE5E11" w:rsidRDefault="00AE5E11">
      <w:r>
        <w:pict w14:anchorId="12840E73">
          <v:rect id="_x0000_i1026" style="width:0;height:1.5pt" o:hralign="center" o:hrstd="t" o:hr="t" fillcolor="#a0a0a0" stroked="f"/>
        </w:pict>
      </w:r>
    </w:p>
    <w:p w14:paraId="281B1A1C" w14:textId="77777777" w:rsidR="00AE5E11" w:rsidRDefault="00AE5E11">
      <w:pPr>
        <w:pStyle w:val="Heading2"/>
        <w:keepNext w:val="0"/>
        <w:keepLines w:val="0"/>
        <w:spacing w:before="280"/>
      </w:pPr>
      <w:bookmarkStart w:id="3" w:name="_erxwf8p9krx1" w:colFirst="0" w:colLast="0"/>
      <w:bookmarkEnd w:id="3"/>
      <w:r>
        <w:t>🔹 Examples of Domain-Specific Lexicons</w:t>
      </w:r>
    </w:p>
    <w:p w14:paraId="32C579D1" w14:textId="77777777" w:rsidR="00AE5E11" w:rsidRDefault="00AE5E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CDF1201" w14:textId="77777777" w:rsidR="00AE5E11" w:rsidRDefault="00AE5E11">
      <w:r>
        <w:rPr>
          <w:noProof/>
        </w:rPr>
        <w:drawing>
          <wp:inline distT="114300" distB="114300" distL="114300" distR="114300" wp14:anchorId="13E55525" wp14:editId="60001A39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135"/>
      </w:tblGrid>
      <w:tr w:rsidR="00AE5E11" w14:paraId="1FF4477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8A59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7E4D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Sample Terms</w:t>
            </w:r>
          </w:p>
        </w:tc>
      </w:tr>
      <w:tr w:rsidR="00AE5E11" w14:paraId="07189D09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2F0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BDE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hypertension, MRI, cardiomegaly, contraindication</w:t>
            </w:r>
          </w:p>
        </w:tc>
      </w:tr>
      <w:tr w:rsidR="00AE5E11" w14:paraId="0D19AAE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2781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Law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5368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affidavit, plaintiff, tort, habeas corpus</w:t>
            </w:r>
          </w:p>
        </w:tc>
      </w:tr>
      <w:tr w:rsidR="00AE5E11" w14:paraId="2C2F4BA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2063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Technology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4B16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algorithm, API, cache, cloud computing</w:t>
            </w:r>
          </w:p>
        </w:tc>
      </w:tr>
      <w:tr w:rsidR="00AE5E11" w14:paraId="7D4657A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3C81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Finance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FDDA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equity, dividend, ROI, hedge fund</w:t>
            </w:r>
          </w:p>
        </w:tc>
      </w:tr>
      <w:tr w:rsidR="00AE5E11" w14:paraId="11D09D06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A79D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E9B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phoneme, morpheme, syntax, pragmatics</w:t>
            </w:r>
          </w:p>
        </w:tc>
      </w:tr>
      <w:tr w:rsidR="00AE5E11" w14:paraId="3D2C805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A19C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Aviation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9A84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taxiway, transponder, VFR, squawk code</w:t>
            </w:r>
          </w:p>
        </w:tc>
      </w:tr>
    </w:tbl>
    <w:p w14:paraId="6F43460A" w14:textId="77777777" w:rsidR="00AE5E11" w:rsidRDefault="00AE5E11">
      <w:r>
        <w:pict w14:anchorId="6F2B1F7A">
          <v:rect id="_x0000_i1027" style="width:0;height:1.5pt" o:hralign="center" o:hrstd="t" o:hr="t" fillcolor="#a0a0a0" stroked="f"/>
        </w:pict>
      </w:r>
    </w:p>
    <w:p w14:paraId="02E2EAB1" w14:textId="77777777" w:rsidR="00AE5E11" w:rsidRDefault="00AE5E11">
      <w:pPr>
        <w:pStyle w:val="Heading2"/>
        <w:keepNext w:val="0"/>
        <w:keepLines w:val="0"/>
        <w:spacing w:before="280"/>
      </w:pPr>
      <w:bookmarkStart w:id="4" w:name="_a8g37inp5pnd" w:colFirst="0" w:colLast="0"/>
      <w:bookmarkEnd w:id="4"/>
      <w:r>
        <w:t>🔹 Purposes and Applications</w:t>
      </w:r>
    </w:p>
    <w:p w14:paraId="565241EB" w14:textId="77777777" w:rsidR="00AE5E11" w:rsidRDefault="00AE5E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CB7C85D" w14:textId="77777777" w:rsidR="00AE5E11" w:rsidRDefault="00AE5E11" w:rsidP="00AE5E1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communication</w:t>
      </w:r>
      <w:r>
        <w:rPr>
          <w:rFonts w:ascii="Roboto Mono" w:eastAsia="Roboto Mono" w:hAnsi="Roboto Mono" w:cs="Roboto Mono"/>
        </w:rPr>
        <w:t xml:space="preserve"> (manuals, research papers)</w:t>
      </w:r>
      <w:r>
        <w:rPr>
          <w:rFonts w:ascii="Roboto Mono" w:eastAsia="Roboto Mono" w:hAnsi="Roboto Mono" w:cs="Roboto Mono"/>
        </w:rPr>
        <w:br/>
      </w:r>
    </w:p>
    <w:p w14:paraId="218E6929" w14:textId="77777777" w:rsidR="00AE5E11" w:rsidRDefault="00AE5E11" w:rsidP="00AE5E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Translation/localization</w:t>
      </w:r>
      <w:r>
        <w:rPr>
          <w:rFonts w:ascii="Roboto Mono" w:eastAsia="Roboto Mono" w:hAnsi="Roboto Mono" w:cs="Roboto Mono"/>
        </w:rPr>
        <w:t xml:space="preserve"> (e.g., in legal or medical contexts)</w:t>
      </w:r>
      <w:r>
        <w:rPr>
          <w:rFonts w:ascii="Roboto Mono" w:eastAsia="Roboto Mono" w:hAnsi="Roboto Mono" w:cs="Roboto Mono"/>
        </w:rPr>
        <w:br/>
      </w:r>
    </w:p>
    <w:p w14:paraId="6F650768" w14:textId="77777777" w:rsidR="00AE5E11" w:rsidRDefault="00AE5E11" w:rsidP="00AE5E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Domain-specific NLP</w:t>
      </w:r>
      <w:r>
        <w:rPr>
          <w:rFonts w:ascii="Roboto Mono" w:eastAsia="Roboto Mono" w:hAnsi="Roboto Mono" w:cs="Roboto Mono"/>
        </w:rPr>
        <w:t xml:space="preserve"> (e.g., medical chatbots, legal document analysis)</w:t>
      </w:r>
      <w:r>
        <w:rPr>
          <w:rFonts w:ascii="Roboto Mono" w:eastAsia="Roboto Mono" w:hAnsi="Roboto Mono" w:cs="Roboto Mono"/>
        </w:rPr>
        <w:br/>
      </w:r>
    </w:p>
    <w:p w14:paraId="11DA25DB" w14:textId="77777777" w:rsidR="00AE5E11" w:rsidRDefault="00AE5E11" w:rsidP="00AE5E1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Education and training</w:t>
      </w:r>
      <w:r>
        <w:rPr>
          <w:rFonts w:ascii="Roboto Mono" w:eastAsia="Roboto Mono" w:hAnsi="Roboto Mono" w:cs="Roboto Mono"/>
        </w:rPr>
        <w:t xml:space="preserve"> (specialized vocabulary lists)</w:t>
      </w:r>
      <w:r>
        <w:rPr>
          <w:rFonts w:ascii="Roboto Mono" w:eastAsia="Roboto Mono" w:hAnsi="Roboto Mono" w:cs="Roboto Mono"/>
        </w:rPr>
        <w:br/>
      </w:r>
    </w:p>
    <w:p w14:paraId="78EB0CCF" w14:textId="77777777" w:rsidR="00AE5E11" w:rsidRDefault="00AE5E11" w:rsidP="00AE5E1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Ontology development</w:t>
      </w:r>
      <w:r>
        <w:rPr>
          <w:rFonts w:ascii="Roboto Mono" w:eastAsia="Roboto Mono" w:hAnsi="Roboto Mono" w:cs="Roboto Mono"/>
        </w:rPr>
        <w:t xml:space="preserve"> (e.g., SNOMED CT in medicine)</w:t>
      </w:r>
    </w:p>
    <w:p w14:paraId="6C5761A0" w14:textId="77777777" w:rsidR="00AE5E11" w:rsidRDefault="00AE5E11">
      <w:r>
        <w:pict w14:anchorId="64637305">
          <v:rect id="_x0000_i1028" style="width:0;height:1.5pt" o:hralign="center" o:hrstd="t" o:hr="t" fillcolor="#a0a0a0" stroked="f"/>
        </w:pict>
      </w:r>
    </w:p>
    <w:p w14:paraId="6F491DD9" w14:textId="77777777" w:rsidR="00AE5E11" w:rsidRDefault="00AE5E11">
      <w:pPr>
        <w:pStyle w:val="Heading2"/>
        <w:keepNext w:val="0"/>
        <w:keepLines w:val="0"/>
        <w:spacing w:before="280"/>
      </w:pPr>
      <w:bookmarkStart w:id="5" w:name="_6owhdr1rxe1k" w:colFirst="0" w:colLast="0"/>
      <w:bookmarkEnd w:id="5"/>
      <w:r>
        <w:t>🔹 Domain-Specific Lexicon vs General Lexicon</w:t>
      </w:r>
    </w:p>
    <w:p w14:paraId="630B0F3B" w14:textId="77777777" w:rsidR="00AE5E11" w:rsidRDefault="00AE5E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A543EF3" w14:textId="77777777" w:rsidR="00AE5E11" w:rsidRDefault="00AE5E11">
      <w:r>
        <w:rPr>
          <w:noProof/>
        </w:rPr>
        <w:drawing>
          <wp:inline distT="114300" distB="114300" distL="114300" distR="114300" wp14:anchorId="7EFAD5DE" wp14:editId="77EBABB1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795"/>
        <w:gridCol w:w="2735"/>
      </w:tblGrid>
      <w:tr w:rsidR="00AE5E11" w14:paraId="0D09953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B510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F6EA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Lexicon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2926" w14:textId="77777777" w:rsidR="00AE5E11" w:rsidRDefault="00AE5E1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AE5E11" w14:paraId="166284AE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FC94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89F1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A3AA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Broad, everyday language</w:t>
            </w:r>
          </w:p>
        </w:tc>
      </w:tr>
      <w:tr w:rsidR="00AE5E11" w14:paraId="78888E74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CB78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A6A5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B892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</w:tr>
      <w:tr w:rsidR="00AE5E11" w14:paraId="46C18682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FB0B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Complexity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950F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(technical/precise)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45E7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 (basic/general)</w:t>
            </w:r>
          </w:p>
        </w:tc>
      </w:tr>
      <w:tr w:rsidR="00AE5E11" w14:paraId="24C1C603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1008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 Dependency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BE7A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114E" w14:textId="77777777" w:rsidR="00AE5E11" w:rsidRDefault="00AE5E1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</w:t>
            </w:r>
          </w:p>
        </w:tc>
      </w:tr>
    </w:tbl>
    <w:p w14:paraId="38D6316A" w14:textId="77777777" w:rsidR="00AE5E11" w:rsidRDefault="00AE5E11">
      <w:r>
        <w:pict w14:anchorId="56406FA4">
          <v:rect id="_x0000_i1029" style="width:0;height:1.5pt" o:hralign="center" o:hrstd="t" o:hr="t" fillcolor="#a0a0a0" stroked="f"/>
        </w:pict>
      </w:r>
    </w:p>
    <w:p w14:paraId="0C327E90" w14:textId="77777777" w:rsidR="00AE5E11" w:rsidRDefault="00AE5E11"/>
    <w:p w14:paraId="6D77D0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48E"/>
    <w:multiLevelType w:val="multilevel"/>
    <w:tmpl w:val="B3880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901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11"/>
    <w:rsid w:val="002D1F4F"/>
    <w:rsid w:val="00711B4D"/>
    <w:rsid w:val="008952B3"/>
    <w:rsid w:val="00A70480"/>
    <w:rsid w:val="00AE5E1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CD0A"/>
  <w15:chartTrackingRefBased/>
  <w15:docId w15:val="{869FD24F-8BC9-44A7-99CF-C1C841CF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