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E28C1" w14:textId="77777777" w:rsidR="0075102A" w:rsidRDefault="0075102A">
      <w:pPr>
        <w:pStyle w:val="Heading1"/>
      </w:pPr>
      <w:bookmarkStart w:id="0" w:name="_yzd06ardhc1b" w:colFirst="0" w:colLast="0"/>
      <w:bookmarkEnd w:id="0"/>
      <w:r>
        <w:t>Pedagogical Lexicon</w:t>
      </w:r>
    </w:p>
    <w:p w14:paraId="5CFE20EB" w14:textId="77777777" w:rsidR="0075102A" w:rsidRDefault="0075102A">
      <w:pPr>
        <w:pStyle w:val="Heading2"/>
      </w:pPr>
      <w:bookmarkStart w:id="1" w:name="_r3xru14a5s4t" w:colFirst="0" w:colLast="0"/>
      <w:bookmarkEnd w:id="1"/>
      <w:r>
        <w:t>What is Pedagogical Lexicon</w:t>
      </w:r>
    </w:p>
    <w:p w14:paraId="1C41C90B" w14:textId="77777777" w:rsidR="0075102A" w:rsidRDefault="0075102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2CA642B" w14:textId="77777777" w:rsidR="0075102A" w:rsidRDefault="00751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Pedagogical Lexicon</w:t>
      </w:r>
      <w:r>
        <w:rPr>
          <w:rFonts w:ascii="Roboto Mono" w:eastAsia="Roboto Mono" w:hAnsi="Roboto Mono" w:cs="Roboto Mono"/>
        </w:rPr>
        <w:t xml:space="preserve"> is a curated set of vocabulary specifically selected for </w:t>
      </w:r>
      <w:r>
        <w:rPr>
          <w:rFonts w:ascii="Roboto Mono" w:eastAsia="Roboto Mono" w:hAnsi="Roboto Mono" w:cs="Roboto Mono"/>
          <w:b/>
        </w:rPr>
        <w:t>language learning and teaching</w:t>
      </w:r>
      <w:r>
        <w:rPr>
          <w:rFonts w:ascii="Roboto Mono" w:eastAsia="Roboto Mono" w:hAnsi="Roboto Mono" w:cs="Roboto Mono"/>
        </w:rPr>
        <w:t xml:space="preserve">. It focuses on </w:t>
      </w:r>
      <w:r>
        <w:rPr>
          <w:rFonts w:ascii="Roboto Mono" w:eastAsia="Roboto Mono" w:hAnsi="Roboto Mono" w:cs="Roboto Mono"/>
          <w:b/>
        </w:rPr>
        <w:t>high-frequency, high-utility words and phrases</w:t>
      </w:r>
      <w:r>
        <w:rPr>
          <w:rFonts w:ascii="Roboto Mono" w:eastAsia="Roboto Mono" w:hAnsi="Roboto Mono" w:cs="Roboto Mono"/>
        </w:rPr>
        <w:t xml:space="preserve"> that help learners acquire functional and communicative competence in a new language.</w:t>
      </w:r>
    </w:p>
    <w:p w14:paraId="49718FCD" w14:textId="77777777" w:rsidR="0075102A" w:rsidRDefault="0075102A">
      <w:r>
        <w:pict w14:anchorId="3D4E6660">
          <v:rect id="_x0000_i1025" style="width:0;height:1.5pt" o:hralign="center" o:hrstd="t" o:hr="t" fillcolor="#a0a0a0" stroked="f"/>
        </w:pict>
      </w:r>
    </w:p>
    <w:p w14:paraId="24A67E92" w14:textId="77777777" w:rsidR="0075102A" w:rsidRDefault="0075102A">
      <w:pPr>
        <w:pStyle w:val="Heading2"/>
        <w:keepNext w:val="0"/>
        <w:keepLines w:val="0"/>
        <w:spacing w:before="280"/>
      </w:pPr>
      <w:bookmarkStart w:id="2" w:name="_pt9bd8volvo1" w:colFirst="0" w:colLast="0"/>
      <w:bookmarkEnd w:id="2"/>
      <w:r>
        <w:t>🔹 Key Features of a Pedagogical Lexicon</w:t>
      </w:r>
    </w:p>
    <w:p w14:paraId="22526B60" w14:textId="77777777" w:rsidR="0075102A" w:rsidRDefault="0075102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EEE0E87" w14:textId="77777777" w:rsidR="0075102A" w:rsidRDefault="0075102A">
      <w:r>
        <w:rPr>
          <w:noProof/>
        </w:rPr>
        <w:drawing>
          <wp:inline distT="114300" distB="114300" distL="114300" distR="114300" wp14:anchorId="553023CB" wp14:editId="32D9F432">
            <wp:extent cx="5943600" cy="1930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023EB" w14:textId="77777777" w:rsidR="0075102A" w:rsidRDefault="0075102A"/>
    <w:tbl>
      <w:tblPr>
        <w:tblW w:w="9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7445"/>
      </w:tblGrid>
      <w:tr w:rsidR="0075102A" w14:paraId="49AB7F28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E9DCE" w14:textId="77777777" w:rsidR="0075102A" w:rsidRDefault="007510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89A7E" w14:textId="77777777" w:rsidR="0075102A" w:rsidRDefault="007510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75102A" w14:paraId="5DBF09F3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A01E3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Purpose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751EE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Supports </w:t>
            </w:r>
            <w:r>
              <w:rPr>
                <w:rFonts w:ascii="Roboto Mono" w:eastAsia="Roboto Mono" w:hAnsi="Roboto Mono" w:cs="Roboto Mono"/>
                <w:b/>
              </w:rPr>
              <w:t>language acquisition</w:t>
            </w:r>
            <w:r>
              <w:rPr>
                <w:rFonts w:ascii="Roboto Mono" w:eastAsia="Roboto Mono" w:hAnsi="Roboto Mono" w:cs="Roboto Mono"/>
              </w:rPr>
              <w:t xml:space="preserve"> and curriculum development</w:t>
            </w:r>
          </w:p>
        </w:tc>
      </w:tr>
      <w:tr w:rsidR="0075102A" w14:paraId="12F62CD1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D9E1A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Audience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F15C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Designed for </w:t>
            </w:r>
            <w:r>
              <w:rPr>
                <w:rFonts w:ascii="Roboto Mono" w:eastAsia="Roboto Mono" w:hAnsi="Roboto Mono" w:cs="Roboto Mono"/>
                <w:b/>
              </w:rPr>
              <w:t>language learners and teachers</w:t>
            </w:r>
          </w:p>
        </w:tc>
      </w:tr>
      <w:tr w:rsidR="0075102A" w14:paraId="5E331B94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211F7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7E181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High-frequency words, core expressions, thematically grouped vocabulary</w:t>
            </w:r>
          </w:p>
        </w:tc>
      </w:tr>
      <w:tr w:rsidR="0075102A" w14:paraId="42B57B77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5F792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Organization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79115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graded by </w:t>
            </w:r>
            <w:r>
              <w:rPr>
                <w:rFonts w:ascii="Roboto Mono" w:eastAsia="Roboto Mono" w:hAnsi="Roboto Mono" w:cs="Roboto Mono"/>
                <w:b/>
              </w:rPr>
              <w:t>proficiency levels</w:t>
            </w:r>
            <w:r>
              <w:rPr>
                <w:rFonts w:ascii="Roboto Mono" w:eastAsia="Roboto Mono" w:hAnsi="Roboto Mono" w:cs="Roboto Mono"/>
              </w:rPr>
              <w:t xml:space="preserve"> (e.g., CEFR, JLPT, TOEFL)</w:t>
            </w:r>
          </w:p>
        </w:tc>
      </w:tr>
      <w:tr w:rsidR="0075102A" w14:paraId="6C6A7555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E5DD8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Simplification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30A9A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Avoids rare, technical, or idiomatic vocabulary unless pedagogically useful</w:t>
            </w:r>
          </w:p>
        </w:tc>
      </w:tr>
    </w:tbl>
    <w:p w14:paraId="4B243158" w14:textId="77777777" w:rsidR="0075102A" w:rsidRDefault="0075102A">
      <w:r>
        <w:pict w14:anchorId="03BA57D5">
          <v:rect id="_x0000_i1026" style="width:0;height:1.5pt" o:hralign="center" o:hrstd="t" o:hr="t" fillcolor="#a0a0a0" stroked="f"/>
        </w:pict>
      </w:r>
    </w:p>
    <w:p w14:paraId="4685D35C" w14:textId="77777777" w:rsidR="0075102A" w:rsidRDefault="0075102A">
      <w:pPr>
        <w:pStyle w:val="Heading2"/>
        <w:keepNext w:val="0"/>
        <w:keepLines w:val="0"/>
        <w:spacing w:before="280"/>
      </w:pPr>
      <w:bookmarkStart w:id="3" w:name="_78xpdtiovhcd" w:colFirst="0" w:colLast="0"/>
      <w:bookmarkEnd w:id="3"/>
      <w:r>
        <w:t>🔹 What It Includes</w:t>
      </w:r>
    </w:p>
    <w:p w14:paraId="170A5AD3" w14:textId="77777777" w:rsidR="0075102A" w:rsidRDefault="0075102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034B016F" w14:textId="77777777" w:rsidR="0075102A" w:rsidRDefault="0075102A" w:rsidP="0075102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Basic vocabulary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book, walk, water, school</w:t>
      </w:r>
      <w:r>
        <w:rPr>
          <w:rFonts w:ascii="Roboto Mono" w:eastAsia="Roboto Mono" w:hAnsi="Roboto Mono" w:cs="Roboto Mono"/>
          <w:i/>
        </w:rPr>
        <w:br/>
      </w:r>
    </w:p>
    <w:p w14:paraId="6F82BC50" w14:textId="77777777" w:rsidR="0075102A" w:rsidRDefault="0075102A" w:rsidP="0075102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Function words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and, if, because, who</w:t>
      </w:r>
      <w:r>
        <w:rPr>
          <w:rFonts w:ascii="Roboto Mono" w:eastAsia="Roboto Mono" w:hAnsi="Roboto Mono" w:cs="Roboto Mono"/>
          <w:i/>
        </w:rPr>
        <w:br/>
      </w:r>
    </w:p>
    <w:p w14:paraId="057F43BA" w14:textId="77777777" w:rsidR="0075102A" w:rsidRDefault="0075102A" w:rsidP="0075102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Phrasal verbs and expressions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get up, take off, look after</w:t>
      </w:r>
      <w:r>
        <w:rPr>
          <w:rFonts w:ascii="Roboto Mono" w:eastAsia="Roboto Mono" w:hAnsi="Roboto Mono" w:cs="Roboto Mono"/>
          <w:i/>
        </w:rPr>
        <w:br/>
      </w:r>
    </w:p>
    <w:p w14:paraId="7E55E7F2" w14:textId="77777777" w:rsidR="0075102A" w:rsidRDefault="0075102A" w:rsidP="0075102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Themewise organization</w:t>
      </w:r>
      <w:r>
        <w:rPr>
          <w:rFonts w:ascii="Roboto Mono" w:eastAsia="Roboto Mono" w:hAnsi="Roboto Mono" w:cs="Roboto Mono"/>
        </w:rPr>
        <w:t>: food, colors, daily activities</w:t>
      </w:r>
      <w:r>
        <w:rPr>
          <w:rFonts w:ascii="Roboto Mono" w:eastAsia="Roboto Mono" w:hAnsi="Roboto Mono" w:cs="Roboto Mono"/>
        </w:rPr>
        <w:br/>
      </w:r>
    </w:p>
    <w:p w14:paraId="40B023A7" w14:textId="77777777" w:rsidR="0075102A" w:rsidRDefault="0075102A" w:rsidP="0075102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Graded by levels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40549782" w14:textId="77777777" w:rsidR="0075102A" w:rsidRDefault="0075102A" w:rsidP="0075102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CEFR A1–C2 (e.g., </w:t>
      </w:r>
      <w:r>
        <w:rPr>
          <w:rFonts w:ascii="Roboto Mono" w:eastAsia="Roboto Mono" w:hAnsi="Roboto Mono" w:cs="Roboto Mono"/>
          <w:i/>
        </w:rPr>
        <w:t>CEFR Vocabulary Profiles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084527E7" w14:textId="77777777" w:rsidR="0075102A" w:rsidRDefault="0075102A" w:rsidP="0075102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NGSL (New General Service List)</w:t>
      </w:r>
      <w:r>
        <w:rPr>
          <w:rFonts w:ascii="Roboto Mono" w:eastAsia="Roboto Mono" w:hAnsi="Roboto Mono" w:cs="Roboto Mono"/>
        </w:rPr>
        <w:br/>
      </w:r>
    </w:p>
    <w:p w14:paraId="60187BF1" w14:textId="77777777" w:rsidR="0075102A" w:rsidRDefault="0075102A" w:rsidP="0075102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GSL (General Service List)</w:t>
      </w:r>
      <w:r>
        <w:rPr>
          <w:rFonts w:ascii="Roboto Mono" w:eastAsia="Roboto Mono" w:hAnsi="Roboto Mono" w:cs="Roboto Mono"/>
        </w:rPr>
        <w:br/>
      </w:r>
    </w:p>
    <w:p w14:paraId="2657C124" w14:textId="77777777" w:rsidR="0075102A" w:rsidRDefault="0075102A" w:rsidP="0075102A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Academic Word List (AWL)</w:t>
      </w:r>
      <w:r>
        <w:rPr>
          <w:rFonts w:ascii="Roboto Mono" w:eastAsia="Roboto Mono" w:hAnsi="Roboto Mono" w:cs="Roboto Mono"/>
        </w:rPr>
        <w:br/>
      </w:r>
    </w:p>
    <w:p w14:paraId="0F994DD5" w14:textId="77777777" w:rsidR="0075102A" w:rsidRDefault="0075102A">
      <w:r>
        <w:pict w14:anchorId="1EC82986">
          <v:rect id="_x0000_i1027" style="width:0;height:1.5pt" o:hralign="center" o:hrstd="t" o:hr="t" fillcolor="#a0a0a0" stroked="f"/>
        </w:pict>
      </w:r>
    </w:p>
    <w:p w14:paraId="074BB05C" w14:textId="77777777" w:rsidR="0075102A" w:rsidRDefault="0075102A">
      <w:pPr>
        <w:pStyle w:val="Heading2"/>
        <w:keepNext w:val="0"/>
        <w:keepLines w:val="0"/>
        <w:spacing w:before="280"/>
      </w:pPr>
      <w:bookmarkStart w:id="4" w:name="_2xcaqwlscnhf" w:colFirst="0" w:colLast="0"/>
      <w:bookmarkEnd w:id="4"/>
      <w:r>
        <w:t>🔹 Examples of Pedagogical Lexicons</w:t>
      </w:r>
    </w:p>
    <w:p w14:paraId="7DB973F0" w14:textId="77777777" w:rsidR="0075102A" w:rsidRDefault="0075102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EA1B912" w14:textId="77777777" w:rsidR="0075102A" w:rsidRDefault="0075102A">
      <w:r>
        <w:rPr>
          <w:noProof/>
        </w:rPr>
        <w:drawing>
          <wp:inline distT="114300" distB="114300" distL="114300" distR="114300" wp14:anchorId="6E79E6A5" wp14:editId="559248E4">
            <wp:extent cx="5943600" cy="1955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6065"/>
      </w:tblGrid>
      <w:tr w:rsidR="0075102A" w14:paraId="6E55D528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5BD2F" w14:textId="77777777" w:rsidR="0075102A" w:rsidRDefault="007510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Resource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77F26" w14:textId="77777777" w:rsidR="0075102A" w:rsidRDefault="007510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75102A" w14:paraId="3B82951F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F3F23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Dolch Sight Words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6193A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words for early English reading</w:t>
            </w:r>
          </w:p>
        </w:tc>
      </w:tr>
      <w:tr w:rsidR="0075102A" w14:paraId="6AC645F3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F91F1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CEFR Vocabulary Profiles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8F8F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Level-based word lists for European language learners</w:t>
            </w:r>
          </w:p>
        </w:tc>
      </w:tr>
      <w:tr w:rsidR="0075102A" w14:paraId="21E5BFA1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675C9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Oxford 3000/5000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17943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High-frequency words used in Oxford Learner's Dictionaries</w:t>
            </w:r>
          </w:p>
        </w:tc>
      </w:tr>
      <w:tr w:rsidR="0075102A" w14:paraId="590C0CA7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5577D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NGSL / NAWL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A1247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Modernized core and academic English lists</w:t>
            </w:r>
          </w:p>
        </w:tc>
      </w:tr>
      <w:tr w:rsidR="0075102A" w14:paraId="38DEEF5A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E3ADC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Jōyō Kanji List (Japanese)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4DBBE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Government-endorsed list of common kanji</w:t>
            </w:r>
          </w:p>
        </w:tc>
      </w:tr>
    </w:tbl>
    <w:p w14:paraId="5B9115AD" w14:textId="77777777" w:rsidR="0075102A" w:rsidRDefault="0075102A">
      <w:r>
        <w:pict w14:anchorId="7FEDB46B">
          <v:rect id="_x0000_i1028" style="width:0;height:1.5pt" o:hralign="center" o:hrstd="t" o:hr="t" fillcolor="#a0a0a0" stroked="f"/>
        </w:pict>
      </w:r>
    </w:p>
    <w:p w14:paraId="67F980B6" w14:textId="77777777" w:rsidR="0075102A" w:rsidRDefault="0075102A">
      <w:pPr>
        <w:pStyle w:val="Heading2"/>
        <w:keepNext w:val="0"/>
        <w:keepLines w:val="0"/>
        <w:spacing w:before="280"/>
      </w:pPr>
      <w:bookmarkStart w:id="5" w:name="_fo1aojhldqwm" w:colFirst="0" w:colLast="0"/>
      <w:bookmarkEnd w:id="5"/>
      <w:r>
        <w:t>🔹 Pedagogical vs General Lexicon</w:t>
      </w:r>
    </w:p>
    <w:p w14:paraId="69CBB16A" w14:textId="77777777" w:rsidR="0075102A" w:rsidRDefault="0075102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6620D8B" w14:textId="77777777" w:rsidR="0075102A" w:rsidRDefault="0075102A">
      <w:r>
        <w:rPr>
          <w:noProof/>
        </w:rPr>
        <w:drawing>
          <wp:inline distT="114300" distB="114300" distL="114300" distR="114300" wp14:anchorId="680343E5" wp14:editId="605085B3">
            <wp:extent cx="5943600" cy="1587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3800"/>
        <w:gridCol w:w="3140"/>
      </w:tblGrid>
      <w:tr w:rsidR="0075102A" w14:paraId="2AEFDC06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E65C3" w14:textId="77777777" w:rsidR="0075102A" w:rsidRDefault="007510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2C2A1" w14:textId="77777777" w:rsidR="0075102A" w:rsidRDefault="007510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Pedagogical Lexicon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17DB1" w14:textId="77777777" w:rsidR="0075102A" w:rsidRDefault="007510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General Lexicon</w:t>
            </w:r>
          </w:p>
        </w:tc>
      </w:tr>
      <w:tr w:rsidR="0075102A" w14:paraId="44D90213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89B29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Audience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54A96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Learners, educators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B3C67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Native speakers, general users</w:t>
            </w:r>
          </w:p>
        </w:tc>
      </w:tr>
      <w:tr w:rsidR="0075102A" w14:paraId="0584D91F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177C1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Selection Criteria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C13B0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Frequency + </w:t>
            </w:r>
            <w:r>
              <w:rPr>
                <w:rFonts w:ascii="Roboto Mono" w:eastAsia="Roboto Mono" w:hAnsi="Roboto Mono" w:cs="Roboto Mono"/>
                <w:b/>
              </w:rPr>
              <w:t>learnability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C01FC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Natural usage frequency</w:t>
            </w:r>
          </w:p>
        </w:tc>
      </w:tr>
      <w:tr w:rsidR="0075102A" w14:paraId="698D06B0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A330E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59426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Leveled, often thematic or functional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15D82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Broad, non-leveled</w:t>
            </w:r>
          </w:p>
        </w:tc>
      </w:tr>
      <w:tr w:rsidR="0075102A" w14:paraId="623C3673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66C32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Goal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1A756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acquisition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D5AAC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communication</w:t>
            </w:r>
          </w:p>
        </w:tc>
      </w:tr>
    </w:tbl>
    <w:p w14:paraId="3B01BBEF" w14:textId="77777777" w:rsidR="0075102A" w:rsidRDefault="0075102A">
      <w:r>
        <w:pict w14:anchorId="5D2F7CA8">
          <v:rect id="_x0000_i1029" style="width:0;height:1.5pt" o:hralign="center" o:hrstd="t" o:hr="t" fillcolor="#a0a0a0" stroked="f"/>
        </w:pict>
      </w:r>
    </w:p>
    <w:p w14:paraId="4C9397B7" w14:textId="77777777" w:rsidR="0075102A" w:rsidRDefault="0075102A"/>
    <w:p w14:paraId="557E1BC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622D"/>
    <w:multiLevelType w:val="multilevel"/>
    <w:tmpl w:val="367A4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13992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02A"/>
    <w:rsid w:val="002D1F4F"/>
    <w:rsid w:val="00711B4D"/>
    <w:rsid w:val="0075102A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771CB"/>
  <w15:chartTrackingRefBased/>
  <w15:docId w15:val="{C3E97540-4226-44F3-975B-2D1EF29B6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