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2u3lz3wvrx7q" w:id="0"/>
      <w:bookmarkEnd w:id="0"/>
      <w:r w:rsidDel="00000000" w:rsidR="00000000" w:rsidRPr="00000000">
        <w:rPr>
          <w:rtl w:val="0"/>
        </w:rPr>
        <w:t xml:space="preserve">Types of Identical Rhyme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2.7528675703861"/>
        <w:gridCol w:w="3533.1803962460895"/>
        <w:gridCol w:w="1805.63086548488"/>
        <w:gridCol w:w="2098.4358706986445"/>
        <w:tblGridChange w:id="0">
          <w:tblGrid>
            <w:gridCol w:w="1922.7528675703861"/>
            <w:gridCol w:w="3533.1803962460895"/>
            <w:gridCol w:w="1805.63086548488"/>
            <w:gridCol w:w="2098.4358706986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Repetitive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The same word is repeated at the end of both rhyming 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night / 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Can emphasize a theme or tone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Homonymic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Words that sound the same but have different meanings or spellings (homonyms)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right / rite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bare / bear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Also overlaps with </w:t>
            </w:r>
            <w:r w:rsidDel="00000000" w:rsidR="00000000" w:rsidRPr="00000000">
              <w:rPr>
                <w:b w:val="1"/>
                <w:rtl w:val="0"/>
              </w:rPr>
              <w:t xml:space="preserve">rich rhyme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Reflexive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 word rhymes with a different grammatical form of itself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run / running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Similar roots, not always exact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Full Repetition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Entire lines or phrases are repeated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“I go to sleep” / “I go to sleep”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Poetic or rhetorical device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Self-Rhyme (Auto-Rhyme)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 word rhymes with itself, deliberately used for effect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“Time after time”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Common in slogans and lyrical writing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