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waw636umv1z" w:id="0"/>
      <w:bookmarkEnd w:id="0"/>
      <w:r w:rsidDel="00000000" w:rsidR="00000000" w:rsidRPr="00000000">
        <w:rPr>
          <w:rtl w:val="0"/>
        </w:rPr>
        <w:t xml:space="preserve">Feminine Rhyme Couplets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fa2issdsa1s" w:id="1"/>
      <w:bookmarkEnd w:id="1"/>
      <w:r w:rsidDel="00000000" w:rsidR="00000000" w:rsidRPr="00000000">
        <w:rPr>
          <w:rtl w:val="0"/>
        </w:rPr>
        <w:t xml:space="preserve">🎯 What is Feminine Rhyme Couplets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7775"/>
        <w:tblGridChange w:id="0">
          <w:tblGrid>
            <w:gridCol w:w="1460"/>
            <w:gridCol w:w="7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Feminine Rhyme Couplets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pair of lines ending in words where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stressed syllable is followed by one or more unstressed syllables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that also rhyme.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lines ending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multi-syllable rhyming words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typically with the stress on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penultimate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syllable.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found in lyrical poetry, comic verse, and light verse.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Creates a softer, flowing, or sometimes whimsical tone compared to masculine rhyme.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jczy7q7b8dv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of Feminine Rhyme in a Couplet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Her beauty shone in morning light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vision pure, a true delight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Another clearer example: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offered him a melody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 answered with a remedy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"melody" / "remedy"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feminine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stress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mel-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rem-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followed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-ody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