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84727ufbzbcv" w:id="0"/>
      <w:bookmarkEnd w:id="0"/>
      <w:r w:rsidDel="00000000" w:rsidR="00000000" w:rsidRPr="00000000">
        <w:rPr>
          <w:rtl w:val="0"/>
        </w:rPr>
        <w:t xml:space="preserve">Types of Grammar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984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3575"/>
        <w:gridCol w:w="3395"/>
        <w:tblGridChange w:id="0">
          <w:tblGrid>
            <w:gridCol w:w="2090"/>
            <w:gridCol w:w="3575"/>
            <w:gridCol w:w="33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 of Grammar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Main 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Actual language 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Linguistic observation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Prescriptive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Correct language rules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Teaching, formal writing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Mental rules for sentence creation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Linguistic theory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Traditional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Parts of speech &amp; sentence parsing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Education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Sentence patterns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Language analysis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 and use in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Communication analysis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Transformational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Sentence transformation rules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Syntax &amp; sentence variety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Mental/Universal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Innate language 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Cognitive linguistics, acquisition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