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s9rn351r7z5" w:id="0"/>
      <w:bookmarkEnd w:id="0"/>
      <w:r w:rsidDel="00000000" w:rsidR="00000000" w:rsidRPr="00000000">
        <w:rPr>
          <w:rtl w:val="0"/>
        </w:rPr>
        <w:t xml:space="preserve">Traditional Grammar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55m9f6gt8bo" w:id="1"/>
      <w:bookmarkEnd w:id="1"/>
      <w:r w:rsidDel="00000000" w:rsidR="00000000" w:rsidRPr="00000000">
        <w:rPr>
          <w:rtl w:val="0"/>
        </w:rPr>
        <w:t xml:space="preserve">🔹 What is Traditional Grammar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Traditional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system of grammatical rules and terminology that has been passed down through centuries, largely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 of Latin and Greek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categorizing parts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sentence structure, and prescribing proper usage—often in a formal and academic context.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s2z6yq84o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Features of Traditional Grammar: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545"/>
        <w:tblGridChange w:id="0">
          <w:tblGrid>
            <w:gridCol w:w="2585"/>
            <w:gridCol w:w="6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Part-of-speech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Classifies words into categories like noun, verb, adjective,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diagramming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Emphasizes how sentence parts fit together logically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Prescriptive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Tends to favor correct or “proper” usage (e.g., no split infinitives)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Rule-based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Emphasizes rules of correct grammar and standard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Surface-level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Concerned more with written, not spoken or mental grammar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4se9vw4t4l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Components of Traditional Grammar: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135"/>
        <w:tblGridChange w:id="0">
          <w:tblGrid>
            <w:gridCol w:w="233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Parts of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Noun, verb, adjective, adverb,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Declarative, interrogative, imperative, exclamatory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Phrases &amp;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phrases, dependent clauses,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Tenses &amp;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Past, present, future; subject-verb agreement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Active vs. passive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Indicative, imperative, subjunctive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j0z4egcr2f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Traditional Grammar Rules: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5690"/>
        <w:tblGridChange w:id="0">
          <w:tblGrid>
            <w:gridCol w:w="2570"/>
            <w:gridCol w:w="5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Traditional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Don’t split infinitives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 “to boldly go” → ✔ “to go boldly”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Avoid double negatives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 “I don’t know nothing” → ✔ “I don’t know anything”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 “whom” for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“To whom did you speak?” (not “who”)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 of “shall” vs. “will”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“I shall go” for future; “will” implies intention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o9aiypsdr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Traditional Grammar vs. Other Types: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530"/>
        <w:gridCol w:w="2450"/>
        <w:tblGridChange w:id="0">
          <w:tblGrid>
            <w:gridCol w:w="1460"/>
            <w:gridCol w:w="353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Rules, parts of speech,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Formal, based on Latin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people actually use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people should use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Normative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rules and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Theoretical/analytical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in context and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Purpose-based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kdmtuxdrzy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Why Traditional Grammar Matters: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Serves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grammar instruction in schools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Introduces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clear, familiar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(noun, verb, etc.)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learning foreign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Latin-based ones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 writing and sentence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6uv9654rlzzy" w:id="7"/>
      <w:bookmarkEnd w:id="7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Traditional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classical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grammar rules and categories.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Emphasizes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parts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proper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Influenced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Latin and Greek 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Still widely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education, grammar books, and standardized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