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ostc66nqz5u" w:id="0"/>
      <w:bookmarkEnd w:id="0"/>
      <w:r w:rsidDel="00000000" w:rsidR="00000000" w:rsidRPr="00000000">
        <w:rPr>
          <w:rtl w:val="0"/>
        </w:rPr>
        <w:t xml:space="preserve">Types of Subjects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251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1.4012738853503"/>
        <w:gridCol w:w="4193.12101910828"/>
        <w:gridCol w:w="3045.477707006369"/>
        <w:tblGridChange w:id="0">
          <w:tblGrid>
            <w:gridCol w:w="2121.4012738853503"/>
            <w:gridCol w:w="4193.12101910828"/>
            <w:gridCol w:w="3045.47770700636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Simple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main noun or pronoun performing the 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Dogs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bark.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Complete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simple subject plus all its modifiers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big brown dog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barked.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Compound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or more subjects joined by a coordinating conjunction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Tom and Lisa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are coming.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full noun phrase acting as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tall man in the hat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my uncle.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Pronoun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pronoun as the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left early.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Gerund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single-word gerund functioning as a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healthy.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Gerund Phrase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gerund + its modifiers or objects acting as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Running every morning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improves your health.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infinitive (to + verb) functioning as the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learn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useful.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Phrase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infinitive + its modifiers/objects acting as the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learn English quickly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takes effort.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Nominal Clause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noun clause functioning as the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What she said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true.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Clause as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 clause (gerund, infinitive, or noun clause) used as subject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That he lied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surprised everyone.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Delayed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True subject appears after the verb; often begins with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surprising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that she won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Expletive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Placeholder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; real subject comes after the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a problem.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Implied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 not stated but understood (used in commands)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(You)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Close the door.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Stated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 is explicitly mentioned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loves poetry.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