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iyaanec0od2" w:id="0"/>
      <w:bookmarkEnd w:id="0"/>
      <w:r w:rsidDel="00000000" w:rsidR="00000000" w:rsidRPr="00000000">
        <w:rPr>
          <w:rtl w:val="0"/>
        </w:rPr>
        <w:t xml:space="preserve">Stated Subject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355sqo2c00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Stated Subject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stated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subject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explicitly mentioned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sentence, whether it’s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opposite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an implied subject (which is unstated but understood).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nn38dvw6oxs" w:id="2"/>
      <w:bookmarkEnd w:id="2"/>
      <w:r w:rsidDel="00000000" w:rsidR="00000000" w:rsidRPr="00000000">
        <w:rPr>
          <w:rtl w:val="0"/>
        </w:rPr>
        <w:t xml:space="preserve">🔹 When Is It Used?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declarative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interrogative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sentences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non-imperative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contexts where clarity is needed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third-person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8wni1pfg6miz" w:id="3"/>
      <w:bookmarkEnd w:id="3"/>
      <w:r w:rsidDel="00000000" w:rsidR="00000000" w:rsidRPr="00000000">
        <w:rPr>
          <w:rtl w:val="0"/>
        </w:rPr>
        <w:t xml:space="preserve">🔹 Structure: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[Stated Subject] + [Verb] + [Rest of Sentence]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rmjm6a2r6h66" w:id="4"/>
      <w:bookmarkEnd w:id="4"/>
      <w:r w:rsidDel="00000000" w:rsidR="00000000" w:rsidRPr="00000000">
        <w:rPr>
          <w:rtl w:val="0"/>
        </w:rPr>
        <w:t xml:space="preserve">🔹 Examples: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2480"/>
        <w:tblGridChange w:id="0">
          <w:tblGrid>
            <w:gridCol w:w="356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Stated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Lisa runs every morning.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cat is sleeping.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loves pizza.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What you said surprised everyone.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What you said (clause)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boy in the red shirt smiled.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boy in the red shirt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b95vhl9js5hu" w:id="5"/>
      <w:bookmarkEnd w:id="5"/>
      <w:r w:rsidDel="00000000" w:rsidR="00000000" w:rsidRPr="00000000">
        <w:rPr>
          <w:rtl w:val="0"/>
        </w:rPr>
        <w:t xml:space="preserve">🔍 Key Points: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(one word)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(phrase or clause)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even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clause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Always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