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224yenyofq42" w:id="0"/>
      <w:bookmarkEnd w:id="0"/>
      <w:r w:rsidDel="00000000" w:rsidR="00000000" w:rsidRPr="00000000">
        <w:rPr>
          <w:rtl w:val="0"/>
        </w:rPr>
        <w:t xml:space="preserve">Gerund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yoh9j1rmcyo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Gerund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 form ending in -ing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acts as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sentence.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verb +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-ing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used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rrybe63sxx5x" w:id="2"/>
      <w:bookmarkEnd w:id="2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Always ends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-ing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Functions like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verb.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take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forming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Verb agrees with the gerund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singular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60ltfevgrowh" w:id="3"/>
      <w:bookmarkEnd w:id="3"/>
      <w:r w:rsidDel="00000000" w:rsidR="00000000" w:rsidRPr="00000000">
        <w:rPr>
          <w:rtl w:val="0"/>
        </w:rPr>
        <w:t xml:space="preserve">🔹 Examples of Gerund Subjects: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79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5"/>
        <w:gridCol w:w="1865"/>
        <w:tblGridChange w:id="0">
          <w:tblGrid>
            <w:gridCol w:w="3695"/>
            <w:gridCol w:w="18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Gerund Subject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Swimming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great exercise.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Swimming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Reading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helps you learn.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Reading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Jogging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every day improves health.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Jogging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Cooking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takes time and patience.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Cooking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Learning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never ends.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Learning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pij6vr9ofeho" w:id="4"/>
      <w:bookmarkEnd w:id="4"/>
      <w:r w:rsidDel="00000000" w:rsidR="00000000" w:rsidRPr="00000000">
        <w:rPr>
          <w:rtl w:val="0"/>
        </w:rPr>
        <w:t xml:space="preserve">🧠 Reminder: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the gerund includes additional words (like objects or modifiers), it becomes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 phrase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but it's still built on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the head.</w:t>
      </w:r>
    </w:p>
    <w:p w:rsidR="00000000" w:rsidDel="00000000" w:rsidP="00000000" w:rsidRDefault="00000000" w:rsidRPr="00000000" w14:paraId="00000021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"Running long distances"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is difficult.</w:t>
        <w:br w:type="textWrapping"/>
        <w:t xml:space="preserve"> → The whole gerund phrase is the subject.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