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80" w:lineRule="auto"/>
        <w:rPr/>
      </w:pPr>
      <w:bookmarkStart w:colFirst="0" w:colLast="0" w:name="_876y7p710igo" w:id="0"/>
      <w:bookmarkEnd w:id="0"/>
      <w:r w:rsidDel="00000000" w:rsidR="00000000" w:rsidRPr="00000000">
        <w:rPr>
          <w:rtl w:val="0"/>
        </w:rPr>
        <w:t xml:space="preserve">Types of Objects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87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1.019108280255"/>
        <w:gridCol w:w="4953.248407643312"/>
        <w:gridCol w:w="2225.732484076433"/>
        <w:tblGridChange w:id="0">
          <w:tblGrid>
            <w:gridCol w:w="2181.019108280255"/>
            <w:gridCol w:w="4953.248407643312"/>
            <w:gridCol w:w="2225.73248407643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 of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Direct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Receives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the verb directly; answers “what?” or “whom?”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wrote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letter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Indirect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Indicates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whom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 whom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the action is done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gave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him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 gift.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Follows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completes its 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sat 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the chair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Cognate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noun that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echoes the verb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etymologically related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dreamed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dream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Retained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 object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left behind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after transforming an active sentence into passive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was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given a book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Objective Complement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Renames or describes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direct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elected her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president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