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6155" w14:textId="1A8E856F" w:rsidR="00701EB7" w:rsidRPr="00701EB7" w:rsidRDefault="00701EB7" w:rsidP="00701EB7">
      <w:pPr>
        <w:pStyle w:val="Heading1"/>
      </w:pPr>
      <w:r w:rsidRPr="00701EB7">
        <w:t>Proper Region Containment</w:t>
      </w:r>
    </w:p>
    <w:p w14:paraId="68FABA8A" w14:textId="77777777" w:rsidR="00701EB7" w:rsidRDefault="00701EB7" w:rsidP="00701EB7">
      <w:pPr>
        <w:pStyle w:val="Heading2"/>
      </w:pPr>
      <w:r w:rsidRPr="00701EB7">
        <w:t>Definition</w:t>
      </w:r>
    </w:p>
    <w:p w14:paraId="1A8284B2" w14:textId="1C2968F9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D336F7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  <w:b/>
          <w:bCs/>
        </w:rPr>
        <w:t>Proper Region Containment</w:t>
      </w:r>
      <w:r w:rsidRPr="00701EB7">
        <w:rPr>
          <w:rFonts w:ascii="Roboto Mono" w:hAnsi="Roboto Mono"/>
        </w:rPr>
        <w:t xml:space="preserve"> is a type of geometric containment in which one region lies completely within another region, while the two regions are </w:t>
      </w:r>
      <w:r w:rsidRPr="00701EB7">
        <w:rPr>
          <w:rFonts w:ascii="Roboto Mono" w:hAnsi="Roboto Mono"/>
          <w:b/>
          <w:bCs/>
        </w:rPr>
        <w:t>not equal</w:t>
      </w:r>
      <w:r w:rsidRPr="00701EB7">
        <w:rPr>
          <w:rFonts w:ascii="Roboto Mono" w:hAnsi="Roboto Mono"/>
        </w:rPr>
        <w:t>.</w:t>
      </w:r>
    </w:p>
    <w:p w14:paraId="42F0A514" w14:textId="611E4DBB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If region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01EB7">
        <w:rPr>
          <w:rFonts w:ascii="Roboto Mono" w:hAnsi="Roboto Mono"/>
        </w:rPr>
        <w:t xml:space="preserve">is properly contained in region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01EB7">
        <w:rPr>
          <w:rFonts w:ascii="Roboto Mono" w:hAnsi="Roboto Mono"/>
        </w:rPr>
        <w:t>, we write:</w:t>
      </w:r>
    </w:p>
    <w:p w14:paraId="24F9DA24" w14:textId="08ABA2FB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03263CF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This means:</w:t>
      </w:r>
    </w:p>
    <w:p w14:paraId="482BAFAD" w14:textId="165F81D1" w:rsidR="00701EB7" w:rsidRPr="00701EB7" w:rsidRDefault="00701EB7" w:rsidP="00701EB7">
      <w:pPr>
        <w:numPr>
          <w:ilvl w:val="0"/>
          <w:numId w:val="1"/>
        </w:num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Every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01EB7">
        <w:rPr>
          <w:rFonts w:ascii="Roboto Mono" w:hAnsi="Roboto Mono"/>
        </w:rPr>
        <w:t xml:space="preserve">belongs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01EB7">
        <w:rPr>
          <w:rFonts w:ascii="Roboto Mono" w:hAnsi="Roboto Mono"/>
        </w:rPr>
        <w:t>.</w:t>
      </w:r>
    </w:p>
    <w:p w14:paraId="4EFF5185" w14:textId="33669DDD" w:rsidR="00701EB7" w:rsidRPr="00701EB7" w:rsidRDefault="00701EB7" w:rsidP="00701EB7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01EB7">
        <w:rPr>
          <w:rFonts w:ascii="Roboto Mono" w:hAnsi="Roboto Mono"/>
        </w:rPr>
        <w:t xml:space="preserve">contains at least one point that does not belong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01EB7">
        <w:rPr>
          <w:rFonts w:ascii="Roboto Mono" w:hAnsi="Roboto Mono"/>
        </w:rPr>
        <w:t>.</w:t>
      </w:r>
    </w:p>
    <w:p w14:paraId="33E734B5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Formally:</w:t>
      </w:r>
    </w:p>
    <w:p w14:paraId="47DDD1FB" w14:textId="1C339641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3CD55F0" w14:textId="091C42DC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lastRenderedPageBreak/>
        <w:drawing>
          <wp:inline distT="0" distB="0" distL="0" distR="0" wp14:anchorId="0696B520" wp14:editId="777CC847">
            <wp:extent cx="5486400" cy="4869180"/>
            <wp:effectExtent l="0" t="0" r="0" b="7620"/>
            <wp:docPr id="208911956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6A42B" w14:textId="32965303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lastRenderedPageBreak/>
        <w:drawing>
          <wp:inline distT="0" distB="0" distL="0" distR="0" wp14:anchorId="5EAF4113" wp14:editId="5D5C2222">
            <wp:extent cx="5943600" cy="5943600"/>
            <wp:effectExtent l="0" t="0" r="0" b="0"/>
            <wp:docPr id="1894368184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C024" w14:textId="0C3E6104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lastRenderedPageBreak/>
        <w:drawing>
          <wp:inline distT="0" distB="0" distL="0" distR="0" wp14:anchorId="04605571" wp14:editId="467EDF03">
            <wp:extent cx="5943600" cy="3992245"/>
            <wp:effectExtent l="0" t="0" r="0" b="8255"/>
            <wp:docPr id="98169980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F999" w14:textId="69B358E0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drawing>
          <wp:inline distT="0" distB="0" distL="0" distR="0" wp14:anchorId="7EBA73DD" wp14:editId="4DAC6534">
            <wp:extent cx="5943600" cy="3983990"/>
            <wp:effectExtent l="0" t="0" r="0" b="0"/>
            <wp:docPr id="62413156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3383A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lastRenderedPageBreak/>
        <w:pict w14:anchorId="51FBDEBE">
          <v:rect id="_x0000_i1181" style="width:0;height:1.5pt" o:hralign="center" o:hrstd="t" o:hr="t" fillcolor="#a0a0a0" stroked="f"/>
        </w:pict>
      </w:r>
    </w:p>
    <w:p w14:paraId="2EF0D426" w14:textId="77777777" w:rsidR="00701EB7" w:rsidRDefault="00701EB7" w:rsidP="00701EB7">
      <w:pPr>
        <w:pStyle w:val="Heading2"/>
      </w:pPr>
      <w:r w:rsidRPr="00701EB7">
        <w:t>Purpose</w:t>
      </w:r>
    </w:p>
    <w:p w14:paraId="20C390EE" w14:textId="099BB2D0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078FCB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Proper region containment is used to determine whether one region is </w:t>
      </w:r>
      <w:r w:rsidRPr="00701EB7">
        <w:rPr>
          <w:rFonts w:ascii="Roboto Mono" w:hAnsi="Roboto Mono"/>
          <w:b/>
          <w:bCs/>
        </w:rPr>
        <w:t>strictly smaller in extent</w:t>
      </w:r>
      <w:r w:rsidRPr="00701EB7">
        <w:rPr>
          <w:rFonts w:ascii="Roboto Mono" w:hAnsi="Roboto Mono"/>
        </w:rPr>
        <w:t xml:space="preserve"> than another region and lies completely within it.</w:t>
      </w:r>
    </w:p>
    <w:p w14:paraId="05243E5C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It helps distinguish:</w:t>
      </w:r>
    </w:p>
    <w:p w14:paraId="5A78FA34" w14:textId="77777777" w:rsidR="00701EB7" w:rsidRPr="00701EB7" w:rsidRDefault="00701EB7" w:rsidP="00701EB7">
      <w:pPr>
        <w:numPr>
          <w:ilvl w:val="0"/>
          <w:numId w:val="2"/>
        </w:numPr>
        <w:rPr>
          <w:rFonts w:ascii="Roboto Mono" w:hAnsi="Roboto Mono"/>
        </w:rPr>
      </w:pPr>
      <w:r w:rsidRPr="00701EB7">
        <w:rPr>
          <w:rFonts w:ascii="Roboto Mono" w:hAnsi="Roboto Mono"/>
        </w:rPr>
        <w:t>proper containment,</w:t>
      </w:r>
    </w:p>
    <w:p w14:paraId="6E23923A" w14:textId="77777777" w:rsidR="00701EB7" w:rsidRPr="00701EB7" w:rsidRDefault="00701EB7" w:rsidP="00701EB7">
      <w:pPr>
        <w:numPr>
          <w:ilvl w:val="0"/>
          <w:numId w:val="2"/>
        </w:numPr>
        <w:rPr>
          <w:rFonts w:ascii="Roboto Mono" w:hAnsi="Roboto Mono"/>
        </w:rPr>
      </w:pPr>
      <w:r w:rsidRPr="00701EB7">
        <w:rPr>
          <w:rFonts w:ascii="Roboto Mono" w:hAnsi="Roboto Mono"/>
        </w:rPr>
        <w:t>equality,</w:t>
      </w:r>
    </w:p>
    <w:p w14:paraId="65ADA624" w14:textId="77777777" w:rsidR="00701EB7" w:rsidRPr="00701EB7" w:rsidRDefault="00701EB7" w:rsidP="00701EB7">
      <w:pPr>
        <w:numPr>
          <w:ilvl w:val="0"/>
          <w:numId w:val="2"/>
        </w:numPr>
        <w:rPr>
          <w:rFonts w:ascii="Roboto Mono" w:hAnsi="Roboto Mono"/>
        </w:rPr>
      </w:pPr>
      <w:r w:rsidRPr="00701EB7">
        <w:rPr>
          <w:rFonts w:ascii="Roboto Mono" w:hAnsi="Roboto Mono"/>
        </w:rPr>
        <w:t>overlap,</w:t>
      </w:r>
    </w:p>
    <w:p w14:paraId="51CBA2A5" w14:textId="77777777" w:rsidR="00701EB7" w:rsidRPr="00701EB7" w:rsidRDefault="00701EB7" w:rsidP="00701EB7">
      <w:pPr>
        <w:numPr>
          <w:ilvl w:val="0"/>
          <w:numId w:val="2"/>
        </w:numPr>
        <w:rPr>
          <w:rFonts w:ascii="Roboto Mono" w:hAnsi="Roboto Mono"/>
        </w:rPr>
      </w:pPr>
      <w:r w:rsidRPr="00701EB7">
        <w:rPr>
          <w:rFonts w:ascii="Roboto Mono" w:hAnsi="Roboto Mono"/>
        </w:rPr>
        <w:t>boundary touching,</w:t>
      </w:r>
    </w:p>
    <w:p w14:paraId="0C2B7F8B" w14:textId="77777777" w:rsidR="00701EB7" w:rsidRPr="00701EB7" w:rsidRDefault="00701EB7" w:rsidP="00701EB7">
      <w:pPr>
        <w:numPr>
          <w:ilvl w:val="0"/>
          <w:numId w:val="2"/>
        </w:numPr>
        <w:rPr>
          <w:rFonts w:ascii="Roboto Mono" w:hAnsi="Roboto Mono"/>
        </w:rPr>
      </w:pPr>
      <w:r w:rsidRPr="00701EB7">
        <w:rPr>
          <w:rFonts w:ascii="Roboto Mono" w:hAnsi="Roboto Mono"/>
        </w:rPr>
        <w:t>and disjoint regions.</w:t>
      </w:r>
    </w:p>
    <w:p w14:paraId="7BC8A4AD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469D09CC">
          <v:rect id="_x0000_i1182" style="width:0;height:1.5pt" o:hralign="center" o:hrstd="t" o:hr="t" fillcolor="#a0a0a0" stroked="f"/>
        </w:pict>
      </w:r>
    </w:p>
    <w:p w14:paraId="5B626EFE" w14:textId="77777777" w:rsidR="00701EB7" w:rsidRDefault="00701EB7" w:rsidP="00701EB7">
      <w:pPr>
        <w:pStyle w:val="Heading2"/>
      </w:pPr>
      <w:r w:rsidRPr="00701EB7">
        <w:t>Fundamental Concept</w:t>
      </w:r>
    </w:p>
    <w:p w14:paraId="1951B4AC" w14:textId="6E8CF017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48E0B6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A region can be treated as a </w:t>
      </w:r>
      <w:r w:rsidRPr="00701EB7">
        <w:rPr>
          <w:rFonts w:ascii="Roboto Mono" w:hAnsi="Roboto Mono"/>
          <w:b/>
          <w:bCs/>
        </w:rPr>
        <w:t>set of points</w:t>
      </w:r>
      <w:r w:rsidRPr="00701EB7">
        <w:rPr>
          <w:rFonts w:ascii="Roboto Mono" w:hAnsi="Roboto Mono"/>
        </w:rPr>
        <w:t>.</w:t>
      </w:r>
    </w:p>
    <w:p w14:paraId="08E1892D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Therefore, proper region containment follows the mathematical concept of a </w:t>
      </w:r>
      <w:r w:rsidRPr="00701EB7">
        <w:rPr>
          <w:rFonts w:ascii="Roboto Mono" w:hAnsi="Roboto Mono"/>
          <w:b/>
          <w:bCs/>
        </w:rPr>
        <w:t>proper subset</w:t>
      </w:r>
      <w:r w:rsidRPr="00701EB7">
        <w:rPr>
          <w:rFonts w:ascii="Roboto Mono" w:hAnsi="Roboto Mono"/>
        </w:rPr>
        <w:t>.</w:t>
      </w:r>
    </w:p>
    <w:p w14:paraId="4F583BC5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If:</w:t>
      </w:r>
    </w:p>
    <w:p w14:paraId="06F9C5CB" w14:textId="6D759AE6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725AC54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then:</w:t>
      </w:r>
    </w:p>
    <w:p w14:paraId="3B50D31B" w14:textId="1E1594FB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Every point of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is in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6BF7C51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but:</w:t>
      </w:r>
    </w:p>
    <w:p w14:paraId="1B10EA2C" w14:textId="0FB79509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At least one point of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is not in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72F45D0B" w14:textId="1D8C1BDF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01EB7">
        <w:rPr>
          <w:rFonts w:ascii="Roboto Mono" w:hAnsi="Roboto Mono"/>
        </w:rPr>
        <w:t xml:space="preserve">occupies only part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01EB7">
        <w:rPr>
          <w:rFonts w:ascii="Roboto Mono" w:hAnsi="Roboto Mono"/>
        </w:rPr>
        <w:t>.</w:t>
      </w:r>
    </w:p>
    <w:p w14:paraId="23A25EA4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lastRenderedPageBreak/>
        <w:pict w14:anchorId="118DAABC">
          <v:rect id="_x0000_i1183" style="width:0;height:1.5pt" o:hralign="center" o:hrstd="t" o:hr="t" fillcolor="#a0a0a0" stroked="f"/>
        </w:pict>
      </w:r>
    </w:p>
    <w:p w14:paraId="271585EF" w14:textId="77777777" w:rsidR="00701EB7" w:rsidRDefault="00701EB7" w:rsidP="00701EB7">
      <w:pPr>
        <w:pStyle w:val="Heading2"/>
      </w:pPr>
      <w:r w:rsidRPr="00701EB7">
        <w:t>Mathematical Representation</w:t>
      </w:r>
    </w:p>
    <w:p w14:paraId="0D04A7D3" w14:textId="06A7109D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BFD8D1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Proper Containment</w:t>
      </w:r>
    </w:p>
    <w:p w14:paraId="7DEDD690" w14:textId="4EB41AD7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84D5045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Equivalent Definition</w:t>
      </w:r>
    </w:p>
    <w:p w14:paraId="390D2795" w14:textId="68EEF8C5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8B441AA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Pointwise Form</w:t>
      </w:r>
    </w:p>
    <w:p w14:paraId="4647FBFC" w14:textId="0119673C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⇒P∈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29ADB98" w14:textId="2201D22E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and there exists at least one point </w:t>
      </w:r>
      <m:oMath>
        <m:r>
          <w:rPr>
            <w:rFonts w:ascii="Cambria Math" w:hAnsi="Cambria Math"/>
          </w:rPr>
          <m:t>Q</m:t>
        </m:r>
      </m:oMath>
      <w:r w:rsidRPr="00701EB7">
        <w:rPr>
          <w:rFonts w:ascii="Roboto Mono" w:hAnsi="Roboto Mono"/>
        </w:rPr>
        <w:t>such that:</w:t>
      </w:r>
    </w:p>
    <w:p w14:paraId="19E74963" w14:textId="074CDBB0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Q∈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Q∉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58F71568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02DB96B0">
          <v:rect id="_x0000_i1184" style="width:0;height:1.5pt" o:hralign="center" o:hrstd="t" o:hr="t" fillcolor="#a0a0a0" stroked="f"/>
        </w:pict>
      </w:r>
    </w:p>
    <w:p w14:paraId="19FD2AB3" w14:textId="77777777" w:rsidR="00701EB7" w:rsidRDefault="00701EB7" w:rsidP="00701EB7">
      <w:pPr>
        <w:pStyle w:val="Heading2"/>
      </w:pPr>
      <w:r w:rsidRPr="00701EB7">
        <w:t>Fundamental Elements</w:t>
      </w:r>
    </w:p>
    <w:p w14:paraId="6E0419B8" w14:textId="2E5BA20E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5BC86E" w14:textId="77777777" w:rsid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A proper region containment relationship consists of:</w:t>
      </w:r>
    </w:p>
    <w:p w14:paraId="18CB5CF1" w14:textId="7294BA27" w:rsidR="001D6615" w:rsidRPr="00701EB7" w:rsidRDefault="001D6615" w:rsidP="00701E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6CF9A3" wp14:editId="61BD3B9F">
            <wp:extent cx="5943600" cy="2218690"/>
            <wp:effectExtent l="0" t="0" r="0" b="0"/>
            <wp:docPr id="11488201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8276"/>
      </w:tblGrid>
      <w:tr w:rsidR="00701EB7" w:rsidRPr="00701EB7" w14:paraId="77A39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4EEA9" w14:textId="77777777" w:rsidR="00701EB7" w:rsidRPr="00701EB7" w:rsidRDefault="00701EB7" w:rsidP="00701EB7">
            <w:pPr>
              <w:rPr>
                <w:rFonts w:ascii="Roboto Mono" w:hAnsi="Roboto Mono"/>
                <w:b/>
                <w:bCs/>
              </w:rPr>
            </w:pPr>
            <w:r w:rsidRPr="00701EB7">
              <w:rPr>
                <w:rFonts w:ascii="Roboto Mono" w:hAnsi="Roboto Mono"/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2FE4CD45" w14:textId="77777777" w:rsidR="00701EB7" w:rsidRPr="00701EB7" w:rsidRDefault="00701EB7" w:rsidP="00701EB7">
            <w:pPr>
              <w:rPr>
                <w:rFonts w:ascii="Roboto Mono" w:hAnsi="Roboto Mono"/>
                <w:b/>
                <w:bCs/>
              </w:rPr>
            </w:pPr>
            <w:r w:rsidRPr="00701EB7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701EB7" w:rsidRPr="00701EB7" w14:paraId="63A86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E0FA5" w14:textId="54BA72D2" w:rsidR="00701EB7" w:rsidRPr="00701EB7" w:rsidRDefault="00701EB7" w:rsidP="00701EB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9DB0DAC" w14:textId="77777777" w:rsidR="00701EB7" w:rsidRPr="00701EB7" w:rsidRDefault="00701EB7" w:rsidP="00701EB7">
            <w:pPr>
              <w:rPr>
                <w:rFonts w:ascii="Roboto Mono" w:hAnsi="Roboto Mono"/>
              </w:rPr>
            </w:pPr>
            <w:r w:rsidRPr="00701EB7">
              <w:rPr>
                <w:rFonts w:ascii="Roboto Mono" w:hAnsi="Roboto Mono"/>
              </w:rPr>
              <w:t>Inner region</w:t>
            </w:r>
          </w:p>
        </w:tc>
      </w:tr>
      <w:tr w:rsidR="00701EB7" w:rsidRPr="00701EB7" w14:paraId="77398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95FF" w14:textId="08EAAD14" w:rsidR="00701EB7" w:rsidRPr="00701EB7" w:rsidRDefault="00701EB7" w:rsidP="00701EB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B0B2FE6" w14:textId="77777777" w:rsidR="00701EB7" w:rsidRPr="00701EB7" w:rsidRDefault="00701EB7" w:rsidP="00701EB7">
            <w:pPr>
              <w:rPr>
                <w:rFonts w:ascii="Roboto Mono" w:hAnsi="Roboto Mono"/>
              </w:rPr>
            </w:pPr>
            <w:r w:rsidRPr="00701EB7">
              <w:rPr>
                <w:rFonts w:ascii="Roboto Mono" w:hAnsi="Roboto Mono"/>
              </w:rPr>
              <w:t>Containing region</w:t>
            </w:r>
          </w:p>
        </w:tc>
      </w:tr>
      <w:tr w:rsidR="00701EB7" w:rsidRPr="00701EB7" w14:paraId="54B76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C808" w14:textId="23DA57AD" w:rsidR="00701EB7" w:rsidRPr="00701EB7" w:rsidRDefault="00701EB7" w:rsidP="00701EB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⊊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65ACEAC" w14:textId="77777777" w:rsidR="00701EB7" w:rsidRPr="00701EB7" w:rsidRDefault="00701EB7" w:rsidP="00701EB7">
            <w:pPr>
              <w:rPr>
                <w:rFonts w:ascii="Roboto Mono" w:hAnsi="Roboto Mono"/>
              </w:rPr>
            </w:pPr>
            <w:r w:rsidRPr="00701EB7">
              <w:rPr>
                <w:rFonts w:ascii="Roboto Mono" w:hAnsi="Roboto Mono"/>
              </w:rPr>
              <w:t>Proper containment relationship</w:t>
            </w:r>
          </w:p>
        </w:tc>
      </w:tr>
      <w:tr w:rsidR="00701EB7" w:rsidRPr="00701EB7" w14:paraId="572A1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C77E2" w14:textId="3422C5DE" w:rsidR="00701EB7" w:rsidRPr="00701EB7" w:rsidRDefault="00701EB7" w:rsidP="00701EB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∖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3FFCB62" w14:textId="77777777" w:rsidR="00701EB7" w:rsidRPr="00701EB7" w:rsidRDefault="00701EB7" w:rsidP="00701EB7">
            <w:pPr>
              <w:rPr>
                <w:rFonts w:ascii="Roboto Mono" w:hAnsi="Roboto Mono"/>
              </w:rPr>
            </w:pPr>
            <w:r w:rsidRPr="00701EB7">
              <w:rPr>
                <w:rFonts w:ascii="Roboto Mono" w:hAnsi="Roboto Mono"/>
              </w:rPr>
              <w:t>Part of the outer region not contained in the inner region</w:t>
            </w:r>
          </w:p>
        </w:tc>
      </w:tr>
      <w:tr w:rsidR="00701EB7" w:rsidRPr="00701EB7" w14:paraId="31EC6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AD2D5" w14:textId="4D6B2BDE" w:rsidR="00701EB7" w:rsidRPr="00701EB7" w:rsidRDefault="00701EB7" w:rsidP="00701EB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B36D73F" w14:textId="77777777" w:rsidR="00701EB7" w:rsidRPr="00701EB7" w:rsidRDefault="00701EB7" w:rsidP="00701EB7">
            <w:pPr>
              <w:rPr>
                <w:rFonts w:ascii="Roboto Mono" w:hAnsi="Roboto Mono"/>
              </w:rPr>
            </w:pPr>
            <w:r w:rsidRPr="00701EB7">
              <w:rPr>
                <w:rFonts w:ascii="Roboto Mono" w:hAnsi="Roboto Mono"/>
              </w:rPr>
              <w:t>Boundary of the inner region</w:t>
            </w:r>
          </w:p>
        </w:tc>
      </w:tr>
      <w:tr w:rsidR="00701EB7" w:rsidRPr="00701EB7" w14:paraId="29593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DB97" w14:textId="1F2715E3" w:rsidR="00701EB7" w:rsidRPr="00701EB7" w:rsidRDefault="00701EB7" w:rsidP="00701EB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DA12018" w14:textId="77777777" w:rsidR="00701EB7" w:rsidRPr="00701EB7" w:rsidRDefault="00701EB7" w:rsidP="00701EB7">
            <w:pPr>
              <w:rPr>
                <w:rFonts w:ascii="Roboto Mono" w:hAnsi="Roboto Mono"/>
              </w:rPr>
            </w:pPr>
            <w:r w:rsidRPr="00701EB7">
              <w:rPr>
                <w:rFonts w:ascii="Roboto Mono" w:hAnsi="Roboto Mono"/>
              </w:rPr>
              <w:t>Boundary of the containing region</w:t>
            </w:r>
          </w:p>
        </w:tc>
      </w:tr>
    </w:tbl>
    <w:p w14:paraId="5F794103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3D308DBE">
          <v:rect id="_x0000_i1185" style="width:0;height:1.5pt" o:hralign="center" o:hrstd="t" o:hr="t" fillcolor="#a0a0a0" stroked="f"/>
        </w:pict>
      </w:r>
    </w:p>
    <w:p w14:paraId="49C00893" w14:textId="77777777" w:rsidR="00701EB7" w:rsidRDefault="00701EB7" w:rsidP="00701EB7">
      <w:pPr>
        <w:pStyle w:val="Heading2"/>
      </w:pPr>
      <w:r w:rsidRPr="00701EB7">
        <w:t>Example 1 – Circle Inside a Larger Circle</w:t>
      </w:r>
    </w:p>
    <w:p w14:paraId="6B26C6AF" w14:textId="49A12AEC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15CC3D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Consider:</w:t>
      </w:r>
    </w:p>
    <w:p w14:paraId="4A491C06" w14:textId="7C5B8EB2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≤4</m:t>
              </m:r>
            </m:e>
          </m:d>
        </m:oMath>
      </m:oMathPara>
    </w:p>
    <w:p w14:paraId="71C4E02D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and:</w:t>
      </w:r>
    </w:p>
    <w:p w14:paraId="28D921EC" w14:textId="0FA9CE2C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≤25</m:t>
              </m:r>
            </m:e>
          </m:d>
        </m:oMath>
      </m:oMathPara>
    </w:p>
    <w:p w14:paraId="2CF73314" w14:textId="672CA6FC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The first region is a disk with radius </w:t>
      </w:r>
      <m:oMath>
        <m:r>
          <w:rPr>
            <w:rFonts w:ascii="Cambria Math" w:hAnsi="Cambria Math"/>
          </w:rPr>
          <m:t>2</m:t>
        </m:r>
      </m:oMath>
      <w:r w:rsidRPr="00701EB7">
        <w:rPr>
          <w:rFonts w:ascii="Roboto Mono" w:hAnsi="Roboto Mono"/>
        </w:rPr>
        <w:t xml:space="preserve">, while the second is a disk with radius </w:t>
      </w:r>
      <m:oMath>
        <m:r>
          <w:rPr>
            <w:rFonts w:ascii="Cambria Math" w:hAnsi="Cambria Math"/>
          </w:rPr>
          <m:t>5</m:t>
        </m:r>
      </m:oMath>
      <w:r w:rsidRPr="00701EB7">
        <w:rPr>
          <w:rFonts w:ascii="Roboto Mono" w:hAnsi="Roboto Mono"/>
        </w:rPr>
        <w:t>.</w:t>
      </w:r>
    </w:p>
    <w:p w14:paraId="226F3FAA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Therefore:</w:t>
      </w:r>
    </w:p>
    <w:p w14:paraId="20EA157B" w14:textId="49086709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F46D66A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Every point of the smaller disk belongs to the larger disk, but the larger disk contains many points that are not in the smaller disk.</w:t>
      </w:r>
    </w:p>
    <w:p w14:paraId="6B9C8C54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0ABA8786">
          <v:rect id="_x0000_i1186" style="width:0;height:1.5pt" o:hralign="center" o:hrstd="t" o:hr="t" fillcolor="#a0a0a0" stroked="f"/>
        </w:pict>
      </w:r>
    </w:p>
    <w:p w14:paraId="6FC05AF7" w14:textId="77777777" w:rsidR="00701EB7" w:rsidRDefault="00701EB7" w:rsidP="00701EB7">
      <w:pPr>
        <w:pStyle w:val="Heading2"/>
      </w:pPr>
      <w:r w:rsidRPr="00701EB7">
        <w:lastRenderedPageBreak/>
        <w:t>Example 2 – Rectangle Inside a Larger Rectangle</w:t>
      </w:r>
    </w:p>
    <w:p w14:paraId="236E4A58" w14:textId="5926C598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6E97A9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Let:</w:t>
      </w:r>
    </w:p>
    <w:p w14:paraId="4ABD17D1" w14:textId="6A353E74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e>
              <m:r>
                <w:rPr>
                  <w:rFonts w:ascii="Cambria Math" w:hAnsi="Cambria Math"/>
                </w:rPr>
                <m:t>∣2≤x≤6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2≤y≤5</m:t>
              </m:r>
            </m:e>
          </m:d>
        </m:oMath>
      </m:oMathPara>
    </w:p>
    <w:p w14:paraId="53479C91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and:</w:t>
      </w:r>
    </w:p>
    <w:p w14:paraId="7D4E593D" w14:textId="3AD75181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e>
              <m:r>
                <w:rPr>
                  <w:rFonts w:ascii="Cambria Math" w:hAnsi="Cambria Math"/>
                </w:rPr>
                <m:t>∣0≤x≤10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0≤y≤8</m:t>
              </m:r>
            </m:e>
          </m:d>
        </m:oMath>
      </m:oMathPara>
    </w:p>
    <w:p w14:paraId="41C26EF3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Then:</w:t>
      </w:r>
    </w:p>
    <w:p w14:paraId="5B27286F" w14:textId="04C7B083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8470118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The smaller rectangle is completely contained within the larger rectangle.</w:t>
      </w:r>
    </w:p>
    <w:p w14:paraId="2701B63C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30EDCD76">
          <v:rect id="_x0000_i1187" style="width:0;height:1.5pt" o:hralign="center" o:hrstd="t" o:hr="t" fillcolor="#a0a0a0" stroked="f"/>
        </w:pict>
      </w:r>
    </w:p>
    <w:p w14:paraId="07B8DE56" w14:textId="77777777" w:rsidR="00701EB7" w:rsidRDefault="00701EB7" w:rsidP="00701EB7">
      <w:pPr>
        <w:pStyle w:val="Heading2"/>
      </w:pPr>
      <w:r w:rsidRPr="00701EB7">
        <w:t>Example 3 – Triangle Inside a Polygonal Region</w:t>
      </w:r>
    </w:p>
    <w:p w14:paraId="40B21352" w14:textId="0A9C0C48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36481B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If a triangular region lies entirely inside a larger polygonal region, then:</w:t>
      </w:r>
    </w:p>
    <w:p w14:paraId="6F791CDB" w14:textId="472D06E7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△R⊊P</m:t>
              </m:r>
            </m:e>
          </m:borderBox>
        </m:oMath>
      </m:oMathPara>
    </w:p>
    <w:p w14:paraId="1454F0BA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provided that the triangle and polygon are not equal.</w:t>
      </w:r>
    </w:p>
    <w:p w14:paraId="19A3CA18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The triangle therefore forms a proper subregion of the polygon.</w:t>
      </w:r>
    </w:p>
    <w:p w14:paraId="3B8CA8E0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2DF00109">
          <v:rect id="_x0000_i1188" style="width:0;height:1.5pt" o:hralign="center" o:hrstd="t" o:hr="t" fillcolor="#a0a0a0" stroked="f"/>
        </w:pict>
      </w:r>
    </w:p>
    <w:p w14:paraId="1E376F05" w14:textId="77777777" w:rsidR="00701EB7" w:rsidRDefault="00701EB7" w:rsidP="00701EB7">
      <w:pPr>
        <w:pStyle w:val="Heading2"/>
      </w:pPr>
      <w:r w:rsidRPr="00701EB7">
        <w:t>Proper Containment vs Equality</w:t>
      </w:r>
    </w:p>
    <w:p w14:paraId="30210F8A" w14:textId="7F5DEDDB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AADDE5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Proper containment requires the regions to be different.</w:t>
      </w:r>
    </w:p>
    <w:p w14:paraId="690F742E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Proper containment</w:t>
      </w:r>
    </w:p>
    <w:p w14:paraId="10E8E853" w14:textId="48AF92AB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22562F0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means:</w:t>
      </w:r>
    </w:p>
    <w:p w14:paraId="7F516029" w14:textId="126A0A34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FE2EFF7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Equality</w:t>
      </w:r>
    </w:p>
    <w:p w14:paraId="701CC64C" w14:textId="05173C18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AF03D49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means both regions contain exactly the same points.</w:t>
      </w:r>
    </w:p>
    <w:p w14:paraId="0D6BCDBF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Therefore:</w:t>
      </w:r>
    </w:p>
    <w:p w14:paraId="7BC0E303" w14:textId="7CE9C118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1D1E6FF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However:</w:t>
      </w:r>
    </w:p>
    <w:p w14:paraId="5C9796AF" w14:textId="41849A5E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E7C8D71" w14:textId="5BA91FA4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does </w:t>
      </w:r>
      <w:r w:rsidRPr="00701EB7">
        <w:rPr>
          <w:rFonts w:ascii="Roboto Mono" w:hAnsi="Roboto Mono"/>
          <w:b/>
          <w:bCs/>
        </w:rPr>
        <w:t>not</w:t>
      </w:r>
      <w:r w:rsidRPr="00701EB7">
        <w:rPr>
          <w:rFonts w:ascii="Roboto Mono" w:hAnsi="Roboto Mono"/>
        </w:rPr>
        <w:t xml:space="preserve"> necessarily mean proper containment, because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01EB7">
        <w:rPr>
          <w:rFonts w:ascii="Roboto Mono" w:hAnsi="Roboto Mono"/>
        </w:rPr>
        <w:t xml:space="preserve">could equal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01EB7">
        <w:rPr>
          <w:rFonts w:ascii="Roboto Mono" w:hAnsi="Roboto Mono"/>
        </w:rPr>
        <w:t>.</w:t>
      </w:r>
    </w:p>
    <w:p w14:paraId="4B4B0809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6B646F96">
          <v:rect id="_x0000_i1189" style="width:0;height:1.5pt" o:hralign="center" o:hrstd="t" o:hr="t" fillcolor="#a0a0a0" stroked="f"/>
        </w:pict>
      </w:r>
    </w:p>
    <w:p w14:paraId="18800EE6" w14:textId="77777777" w:rsidR="00701EB7" w:rsidRDefault="00701EB7" w:rsidP="00701EB7">
      <w:pPr>
        <w:pStyle w:val="Heading2"/>
      </w:pPr>
      <w:r w:rsidRPr="00701EB7">
        <w:t>Proper Containment vs Strict Interior Containment</w:t>
      </w:r>
    </w:p>
    <w:p w14:paraId="100DAD31" w14:textId="77B9EEC4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C847EE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These concepts are related but not identical.</w:t>
      </w:r>
    </w:p>
    <w:p w14:paraId="357C15AE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Proper region containment</w:t>
      </w:r>
    </w:p>
    <w:p w14:paraId="74589218" w14:textId="0A7C5FAD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4E9936A" w14:textId="0B4B2660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allows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01EB7">
        <w:rPr>
          <w:rFonts w:ascii="Roboto Mono" w:hAnsi="Roboto Mono"/>
        </w:rPr>
        <w:t xml:space="preserve">to share some boundary points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01EB7">
        <w:rPr>
          <w:rFonts w:ascii="Roboto Mono" w:hAnsi="Roboto Mono"/>
        </w:rPr>
        <w:t>.</w:t>
      </w:r>
    </w:p>
    <w:p w14:paraId="0FC9042E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Strict interior containment</w:t>
      </w:r>
    </w:p>
    <w:p w14:paraId="2DB214CE" w14:textId="620A8AD9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23D4F03D" w14:textId="4EDC36DF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means that </w:t>
      </w:r>
      <w:r w:rsidRPr="00701EB7">
        <w:rPr>
          <w:rFonts w:ascii="Roboto Mono" w:hAnsi="Roboto Mono"/>
          <w:b/>
          <w:bCs/>
        </w:rPr>
        <w:t xml:space="preserve">every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01EB7">
        <w:rPr>
          <w:rFonts w:ascii="Roboto Mono" w:hAnsi="Roboto Mono"/>
        </w:rPr>
        <w:t xml:space="preserve">lies in the interior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01EB7">
        <w:rPr>
          <w:rFonts w:ascii="Roboto Mono" w:hAnsi="Roboto Mono"/>
        </w:rPr>
        <w:t>.</w:t>
      </w:r>
    </w:p>
    <w:p w14:paraId="3B111FFD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Thus, strict interior containment is stronger.</w:t>
      </w:r>
    </w:p>
    <w:p w14:paraId="1B04FFDC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For example, if a smaller disk is internally tangent to a larger disk, then:</w:t>
      </w:r>
    </w:p>
    <w:p w14:paraId="29D85152" w14:textId="7281330C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AB48BAE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but:</w:t>
      </w:r>
    </w:p>
    <w:p w14:paraId="2B5F8AB2" w14:textId="54653C5F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⊄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0B58AB81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because the two disks share one boundary point.</w:t>
      </w:r>
    </w:p>
    <w:p w14:paraId="63B8295C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0719CBFA">
          <v:rect id="_x0000_i1190" style="width:0;height:1.5pt" o:hralign="center" o:hrstd="t" o:hr="t" fillcolor="#a0a0a0" stroked="f"/>
        </w:pict>
      </w:r>
    </w:p>
    <w:p w14:paraId="2B17A2CA" w14:textId="77777777" w:rsidR="00701EB7" w:rsidRDefault="00701EB7" w:rsidP="00701EB7">
      <w:pPr>
        <w:pStyle w:val="Heading2"/>
      </w:pPr>
      <w:r w:rsidRPr="00701EB7">
        <w:t>Boundary Behavior</w:t>
      </w:r>
    </w:p>
    <w:p w14:paraId="12CB4B01" w14:textId="1C091013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CCD63B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Proper containment can occur in several ways.</w:t>
      </w:r>
    </w:p>
    <w:p w14:paraId="01436DC7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1. Completely separated boundaries</w:t>
      </w:r>
    </w:p>
    <w:p w14:paraId="12D724B1" w14:textId="026F05B4" w:rsidR="00701EB7" w:rsidRPr="00701EB7" w:rsidRDefault="00701EB7" w:rsidP="00701E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=∅</m:t>
          </m:r>
        </m:oMath>
      </m:oMathPara>
    </w:p>
    <w:p w14:paraId="62A75305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The inner region does not touch the outer boundary.</w:t>
      </w:r>
    </w:p>
    <w:p w14:paraId="4828DF6A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2. Boundary-touching proper containment</w:t>
      </w:r>
    </w:p>
    <w:p w14:paraId="630FB993" w14:textId="500338E7" w:rsidR="00701EB7" w:rsidRPr="00701EB7" w:rsidRDefault="00701EB7" w:rsidP="00701E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≠∅</m:t>
          </m:r>
        </m:oMath>
      </m:oMathPara>
    </w:p>
    <w:p w14:paraId="6D4F34F6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while still:</w:t>
      </w:r>
    </w:p>
    <w:p w14:paraId="12AFA52D" w14:textId="17E2E1E0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76060B9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For example, two internally tangent circles.</w:t>
      </w:r>
    </w:p>
    <w:p w14:paraId="476B8DF2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3. Shared boundary portions</w:t>
      </w:r>
    </w:p>
    <w:p w14:paraId="043156C2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Two regions may share part of their boundaries while one remains properly contained within the other.</w:t>
      </w:r>
    </w:p>
    <w:p w14:paraId="73D9FBC8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03B2DA50">
          <v:rect id="_x0000_i1191" style="width:0;height:1.5pt" o:hralign="center" o:hrstd="t" o:hr="t" fillcolor="#a0a0a0" stroked="f"/>
        </w:pict>
      </w:r>
    </w:p>
    <w:p w14:paraId="0C9D276A" w14:textId="77777777" w:rsidR="00701EB7" w:rsidRDefault="00701EB7" w:rsidP="00701EB7">
      <w:pPr>
        <w:pStyle w:val="Heading2"/>
      </w:pPr>
      <w:r w:rsidRPr="00701EB7">
        <w:t>Set Difference</w:t>
      </w:r>
    </w:p>
    <w:p w14:paraId="3A447305" w14:textId="6EFD5903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FDB573" w14:textId="3DF58DA1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The part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01EB7">
        <w:rPr>
          <w:rFonts w:ascii="Roboto Mono" w:hAnsi="Roboto Mono"/>
        </w:rPr>
        <w:t xml:space="preserve">that is outside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01EB7">
        <w:rPr>
          <w:rFonts w:ascii="Roboto Mono" w:hAnsi="Roboto Mono"/>
        </w:rPr>
        <w:t>can be represented by:</w:t>
      </w:r>
    </w:p>
    <w:p w14:paraId="3726A923" w14:textId="3B02A214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∖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61336B92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For proper containment:</w:t>
      </w:r>
    </w:p>
    <w:p w14:paraId="0CB2A14D" w14:textId="193FD9DF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∖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≠∅</m:t>
          </m:r>
        </m:oMath>
      </m:oMathPara>
    </w:p>
    <w:p w14:paraId="3BE2B19C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lastRenderedPageBreak/>
        <w:t>This provides another way to express the difference between proper containment and equality.</w:t>
      </w:r>
    </w:p>
    <w:p w14:paraId="02C46EB7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7F6DF425">
          <v:rect id="_x0000_i1192" style="width:0;height:1.5pt" o:hralign="center" o:hrstd="t" o:hr="t" fillcolor="#a0a0a0" stroked="f"/>
        </w:pict>
      </w:r>
    </w:p>
    <w:p w14:paraId="44D80912" w14:textId="77777777" w:rsidR="00701EB7" w:rsidRPr="00701EB7" w:rsidRDefault="00701EB7" w:rsidP="00701EB7">
      <w:pPr>
        <w:pStyle w:val="Heading2"/>
      </w:pPr>
      <w:r w:rsidRPr="00701EB7">
        <w:t>Properties of Proper Region Containment</w:t>
      </w:r>
    </w:p>
    <w:p w14:paraId="2EE0BFEC" w14:textId="77777777" w:rsidR="00701EB7" w:rsidRDefault="00701EB7" w:rsidP="00701EB7">
      <w:pPr>
        <w:pStyle w:val="Heading3"/>
      </w:pPr>
      <w:r w:rsidRPr="00701EB7">
        <w:t>1. Transitivity</w:t>
      </w:r>
    </w:p>
    <w:p w14:paraId="170FB6CA" w14:textId="7A5F44CF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2F9D0B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If:</w:t>
      </w:r>
    </w:p>
    <w:p w14:paraId="60A8A6CE" w14:textId="52EDF315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11417C2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and:</w:t>
      </w:r>
    </w:p>
    <w:p w14:paraId="3AE04F09" w14:textId="26644513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4A44D2C7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then:</w:t>
      </w:r>
    </w:p>
    <w:p w14:paraId="4D56F336" w14:textId="6361BD79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1BBD2D12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383C1B6A">
          <v:rect id="_x0000_i1193" style="width:0;height:1.5pt" o:hralign="center" o:hrstd="t" o:hr="t" fillcolor="#a0a0a0" stroked="f"/>
        </w:pict>
      </w:r>
    </w:p>
    <w:p w14:paraId="4376C5D5" w14:textId="77777777" w:rsidR="00701EB7" w:rsidRDefault="00701EB7" w:rsidP="00701EB7">
      <w:pPr>
        <w:pStyle w:val="Heading3"/>
      </w:pPr>
      <w:r w:rsidRPr="00701EB7">
        <w:t>2. Proper containment implies ordinary containment</w:t>
      </w:r>
    </w:p>
    <w:p w14:paraId="770314B8" w14:textId="27C4B705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90625B" w14:textId="19AE262E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41A1F11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74F4819A">
          <v:rect id="_x0000_i1194" style="width:0;height:1.5pt" o:hralign="center" o:hrstd="t" o:hr="t" fillcolor="#a0a0a0" stroked="f"/>
        </w:pict>
      </w:r>
    </w:p>
    <w:p w14:paraId="39269921" w14:textId="77777777" w:rsidR="00701EB7" w:rsidRDefault="00701EB7" w:rsidP="00701EB7">
      <w:pPr>
        <w:pStyle w:val="Heading3"/>
      </w:pPr>
      <w:r w:rsidRPr="00701EB7">
        <w:t>3. Proper containment is not symmetric</w:t>
      </w:r>
    </w:p>
    <w:p w14:paraId="386807DA" w14:textId="21FDF510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CD6B8B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If:</w:t>
      </w:r>
    </w:p>
    <w:p w14:paraId="1BA38432" w14:textId="40261996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B133DB1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then normally:</w:t>
      </w:r>
    </w:p>
    <w:p w14:paraId="5C328CBC" w14:textId="5C146A14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⊊̸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A4DF59F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The containing region cannot simultaneously be properly contained in the smaller region.</w:t>
      </w:r>
    </w:p>
    <w:p w14:paraId="3BD488C3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lastRenderedPageBreak/>
        <w:pict w14:anchorId="631CF7D0">
          <v:rect id="_x0000_i1195" style="width:0;height:1.5pt" o:hralign="center" o:hrstd="t" o:hr="t" fillcolor="#a0a0a0" stroked="f"/>
        </w:pict>
      </w:r>
    </w:p>
    <w:p w14:paraId="638F7CED" w14:textId="77777777" w:rsidR="00701EB7" w:rsidRDefault="00701EB7" w:rsidP="00701EB7">
      <w:pPr>
        <w:pStyle w:val="Heading3"/>
      </w:pPr>
      <w:r w:rsidRPr="00701EB7">
        <w:t>4. Proper containment is irreflexive</w:t>
      </w:r>
    </w:p>
    <w:p w14:paraId="3521DC83" w14:textId="70FC9CA1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B87302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A region cannot be properly contained in itself:</w:t>
      </w:r>
    </w:p>
    <w:p w14:paraId="4920BE36" w14:textId="42450F36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R⊊̸R</m:t>
              </m:r>
            </m:e>
          </m:borderBox>
        </m:oMath>
      </m:oMathPara>
    </w:p>
    <w:p w14:paraId="082DF716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because:</w:t>
      </w:r>
    </w:p>
    <w:p w14:paraId="666CB5D2" w14:textId="2ED375A3" w:rsidR="00701EB7" w:rsidRPr="00701EB7" w:rsidRDefault="00701EB7" w:rsidP="00701EB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R=R</m:t>
          </m:r>
        </m:oMath>
      </m:oMathPara>
    </w:p>
    <w:p w14:paraId="73882748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695BE4F7">
          <v:rect id="_x0000_i1196" style="width:0;height:1.5pt" o:hralign="center" o:hrstd="t" o:hr="t" fillcolor="#a0a0a0" stroked="f"/>
        </w:pict>
      </w:r>
    </w:p>
    <w:p w14:paraId="4957E7DF" w14:textId="77777777" w:rsidR="00701EB7" w:rsidRDefault="00701EB7" w:rsidP="00701EB7">
      <w:pPr>
        <w:pStyle w:val="Heading3"/>
      </w:pPr>
      <w:r w:rsidRPr="00701EB7">
        <w:t>5. Proper containment implies nonempty difference</w:t>
      </w:r>
    </w:p>
    <w:p w14:paraId="178C302E" w14:textId="4DC7017C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673372" w14:textId="38CFDB72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∖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≠∅</m:t>
              </m:r>
            </m:e>
          </m:borderBox>
        </m:oMath>
      </m:oMathPara>
    </w:p>
    <w:p w14:paraId="2E2D89A9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056BC1FC">
          <v:rect id="_x0000_i1197" style="width:0;height:1.5pt" o:hralign="center" o:hrstd="t" o:hr="t" fillcolor="#a0a0a0" stroked="f"/>
        </w:pict>
      </w:r>
    </w:p>
    <w:p w14:paraId="2406EBCB" w14:textId="77777777" w:rsidR="00701EB7" w:rsidRDefault="00701EB7" w:rsidP="00701EB7">
      <w:pPr>
        <w:pStyle w:val="Heading3"/>
      </w:pPr>
      <w:r w:rsidRPr="00701EB7">
        <w:t>6. Intersection</w:t>
      </w:r>
    </w:p>
    <w:p w14:paraId="2AC41691" w14:textId="3FA28CAC" w:rsidR="00701EB7" w:rsidRPr="00701EB7" w:rsidRDefault="00701EB7" w:rsidP="00701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908497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If:</w:t>
      </w:r>
    </w:p>
    <w:p w14:paraId="1B3B7764" w14:textId="4199E177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35FE555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then:</w:t>
      </w:r>
    </w:p>
    <w:p w14:paraId="20EDDBF3" w14:textId="296F3E3E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601BCC99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11FD8364">
          <v:rect id="_x0000_i1198" style="width:0;height:1.5pt" o:hralign="center" o:hrstd="t" o:hr="t" fillcolor="#a0a0a0" stroked="f"/>
        </w:pict>
      </w:r>
    </w:p>
    <w:p w14:paraId="2584E2D3" w14:textId="77777777" w:rsidR="00701EB7" w:rsidRDefault="00701EB7" w:rsidP="00701EB7">
      <w:pPr>
        <w:pStyle w:val="Heading2"/>
      </w:pPr>
      <w:r w:rsidRPr="00701EB7">
        <w:t>Comparison with Other Region Relationships</w:t>
      </w:r>
    </w:p>
    <w:p w14:paraId="22737F7A" w14:textId="43EE1E1F" w:rsidR="00701EB7" w:rsidRDefault="00701EB7" w:rsidP="00701EB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5F169B" w14:textId="60903104" w:rsidR="00AB689C" w:rsidRPr="00701EB7" w:rsidRDefault="00AB689C" w:rsidP="00701EB7">
      <w:r>
        <w:rPr>
          <w:noProof/>
        </w:rPr>
        <w:lastRenderedPageBreak/>
        <w:drawing>
          <wp:inline distT="0" distB="0" distL="0" distR="0" wp14:anchorId="555B5813" wp14:editId="3FF0A214">
            <wp:extent cx="5943600" cy="1880235"/>
            <wp:effectExtent l="0" t="0" r="0" b="5715"/>
            <wp:docPr id="2441887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2318"/>
        <w:gridCol w:w="4391"/>
      </w:tblGrid>
      <w:tr w:rsidR="00701EB7" w:rsidRPr="00701EB7" w14:paraId="47CE92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E78F0" w14:textId="77777777" w:rsidR="00701EB7" w:rsidRPr="00701EB7" w:rsidRDefault="00701EB7" w:rsidP="00701EB7">
            <w:pPr>
              <w:rPr>
                <w:rFonts w:ascii="Roboto Mono" w:hAnsi="Roboto Mono"/>
                <w:b/>
                <w:bCs/>
              </w:rPr>
            </w:pPr>
            <w:r w:rsidRPr="00701EB7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E72898C" w14:textId="77777777" w:rsidR="00701EB7" w:rsidRPr="00701EB7" w:rsidRDefault="00701EB7" w:rsidP="00701EB7">
            <w:pPr>
              <w:rPr>
                <w:rFonts w:ascii="Roboto Mono" w:hAnsi="Roboto Mono"/>
                <w:b/>
                <w:bCs/>
              </w:rPr>
            </w:pPr>
            <w:r w:rsidRPr="00701EB7">
              <w:rPr>
                <w:rFonts w:ascii="Roboto Mono" w:hAnsi="Roboto Mono"/>
                <w:b/>
                <w:bCs/>
              </w:rPr>
              <w:t>Mathematical form</w:t>
            </w:r>
          </w:p>
        </w:tc>
        <w:tc>
          <w:tcPr>
            <w:tcW w:w="0" w:type="auto"/>
            <w:vAlign w:val="center"/>
            <w:hideMark/>
          </w:tcPr>
          <w:p w14:paraId="4B138B29" w14:textId="77777777" w:rsidR="00701EB7" w:rsidRPr="00701EB7" w:rsidRDefault="00701EB7" w:rsidP="00701EB7">
            <w:pPr>
              <w:rPr>
                <w:rFonts w:ascii="Roboto Mono" w:hAnsi="Roboto Mono"/>
                <w:b/>
                <w:bCs/>
              </w:rPr>
            </w:pPr>
            <w:r w:rsidRPr="00701EB7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701EB7" w:rsidRPr="00701EB7" w14:paraId="508BF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22A0" w14:textId="77777777" w:rsidR="00701EB7" w:rsidRPr="00701EB7" w:rsidRDefault="00701EB7" w:rsidP="00701EB7">
            <w:pPr>
              <w:rPr>
                <w:rFonts w:ascii="Roboto Mono" w:hAnsi="Roboto Mono"/>
              </w:rPr>
            </w:pPr>
            <w:r w:rsidRPr="00701EB7">
              <w:rPr>
                <w:rFonts w:ascii="Roboto Mono" w:hAnsi="Roboto Mono"/>
              </w:rPr>
              <w:t>Proper containment</w:t>
            </w:r>
          </w:p>
        </w:tc>
        <w:tc>
          <w:tcPr>
            <w:tcW w:w="0" w:type="auto"/>
            <w:vAlign w:val="center"/>
            <w:hideMark/>
          </w:tcPr>
          <w:p w14:paraId="30574CC3" w14:textId="67FF4A15" w:rsidR="00701EB7" w:rsidRPr="00701EB7" w:rsidRDefault="00701EB7" w:rsidP="00701EB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⊊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0289940" w14:textId="44F0257E" w:rsidR="00701EB7" w:rsidRPr="00701EB7" w:rsidRDefault="00701EB7" w:rsidP="00701EB7">
            <w:pPr>
              <w:rPr>
                <w:rFonts w:ascii="Roboto Mono" w:hAnsi="Roboto Mon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701EB7">
              <w:rPr>
                <w:rFonts w:ascii="Roboto Mono" w:hAnsi="Roboto Mono"/>
              </w:rPr>
              <w:t xml:space="preserve">completely inside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701EB7">
              <w:rPr>
                <w:rFonts w:ascii="Roboto Mono" w:hAnsi="Roboto Mono"/>
              </w:rPr>
              <w:t>, but different</w:t>
            </w:r>
          </w:p>
        </w:tc>
      </w:tr>
      <w:tr w:rsidR="00701EB7" w:rsidRPr="00701EB7" w14:paraId="0952B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DCC3" w14:textId="77777777" w:rsidR="00701EB7" w:rsidRPr="00701EB7" w:rsidRDefault="00701EB7" w:rsidP="00701EB7">
            <w:pPr>
              <w:rPr>
                <w:rFonts w:ascii="Roboto Mono" w:hAnsi="Roboto Mono"/>
              </w:rPr>
            </w:pPr>
            <w:r w:rsidRPr="00701EB7">
              <w:rPr>
                <w:rFonts w:ascii="Roboto Mono" w:hAnsi="Roboto Mono"/>
              </w:rPr>
              <w:t>Ordinary containment</w:t>
            </w:r>
          </w:p>
        </w:tc>
        <w:tc>
          <w:tcPr>
            <w:tcW w:w="0" w:type="auto"/>
            <w:vAlign w:val="center"/>
            <w:hideMark/>
          </w:tcPr>
          <w:p w14:paraId="3198FB02" w14:textId="14F8B0B1" w:rsidR="00701EB7" w:rsidRPr="00701EB7" w:rsidRDefault="00701EB7" w:rsidP="00701EB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⊆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4E25138" w14:textId="5047F09B" w:rsidR="00701EB7" w:rsidRPr="00701EB7" w:rsidRDefault="00701EB7" w:rsidP="00701EB7">
            <w:pPr>
              <w:rPr>
                <w:rFonts w:ascii="Roboto Mono" w:hAnsi="Roboto Mono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701EB7">
              <w:rPr>
                <w:rFonts w:ascii="Roboto Mono" w:hAnsi="Roboto Mono"/>
              </w:rPr>
              <w:t xml:space="preserve">inside or equal to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</w:tr>
      <w:tr w:rsidR="00701EB7" w:rsidRPr="00701EB7" w14:paraId="3C1E7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CB10" w14:textId="77777777" w:rsidR="00701EB7" w:rsidRPr="00701EB7" w:rsidRDefault="00701EB7" w:rsidP="00701EB7">
            <w:pPr>
              <w:rPr>
                <w:rFonts w:ascii="Roboto Mono" w:hAnsi="Roboto Mono"/>
              </w:rPr>
            </w:pPr>
            <w:r w:rsidRPr="00701EB7">
              <w:rPr>
                <w:rFonts w:ascii="Roboto Mono" w:hAnsi="Roboto Mono"/>
              </w:rPr>
              <w:t>Equality</w:t>
            </w:r>
          </w:p>
        </w:tc>
        <w:tc>
          <w:tcPr>
            <w:tcW w:w="0" w:type="auto"/>
            <w:vAlign w:val="center"/>
            <w:hideMark/>
          </w:tcPr>
          <w:p w14:paraId="64AB03AB" w14:textId="39F19766" w:rsidR="00701EB7" w:rsidRPr="00701EB7" w:rsidRDefault="00701EB7" w:rsidP="00701EB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FB8B5AE" w14:textId="77777777" w:rsidR="00701EB7" w:rsidRPr="00701EB7" w:rsidRDefault="00701EB7" w:rsidP="00701EB7">
            <w:pPr>
              <w:rPr>
                <w:rFonts w:ascii="Roboto Mono" w:hAnsi="Roboto Mono"/>
              </w:rPr>
            </w:pPr>
            <w:r w:rsidRPr="00701EB7">
              <w:rPr>
                <w:rFonts w:ascii="Roboto Mono" w:hAnsi="Roboto Mono"/>
              </w:rPr>
              <w:t>Same set of points</w:t>
            </w:r>
          </w:p>
        </w:tc>
      </w:tr>
      <w:tr w:rsidR="00701EB7" w:rsidRPr="00701EB7" w14:paraId="06A4A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AA72" w14:textId="77777777" w:rsidR="00701EB7" w:rsidRPr="00701EB7" w:rsidRDefault="00701EB7" w:rsidP="00701EB7">
            <w:pPr>
              <w:rPr>
                <w:rFonts w:ascii="Roboto Mono" w:hAnsi="Roboto Mono"/>
              </w:rPr>
            </w:pPr>
            <w:r w:rsidRPr="00701EB7">
              <w:rPr>
                <w:rFonts w:ascii="Roboto Mono" w:hAnsi="Roboto Mono"/>
              </w:rPr>
              <w:t>Overlap</w:t>
            </w:r>
          </w:p>
        </w:tc>
        <w:tc>
          <w:tcPr>
            <w:tcW w:w="0" w:type="auto"/>
            <w:vAlign w:val="center"/>
            <w:hideMark/>
          </w:tcPr>
          <w:p w14:paraId="28DBC3C3" w14:textId="311F4415" w:rsidR="00701EB7" w:rsidRPr="00701EB7" w:rsidRDefault="00701EB7" w:rsidP="00701EB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≠∅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1F1DC7F" w14:textId="77777777" w:rsidR="00701EB7" w:rsidRPr="00701EB7" w:rsidRDefault="00701EB7" w:rsidP="00701EB7">
            <w:pPr>
              <w:rPr>
                <w:rFonts w:ascii="Roboto Mono" w:hAnsi="Roboto Mono"/>
              </w:rPr>
            </w:pPr>
            <w:r w:rsidRPr="00701EB7">
              <w:rPr>
                <w:rFonts w:ascii="Roboto Mono" w:hAnsi="Roboto Mono"/>
              </w:rPr>
              <w:t>Regions share some points</w:t>
            </w:r>
          </w:p>
        </w:tc>
      </w:tr>
      <w:tr w:rsidR="00701EB7" w:rsidRPr="00701EB7" w14:paraId="5DE31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AFBB" w14:textId="77777777" w:rsidR="00701EB7" w:rsidRPr="00701EB7" w:rsidRDefault="00701EB7" w:rsidP="00701EB7">
            <w:pPr>
              <w:rPr>
                <w:rFonts w:ascii="Roboto Mono" w:hAnsi="Roboto Mono"/>
              </w:rPr>
            </w:pPr>
            <w:proofErr w:type="spellStart"/>
            <w:r w:rsidRPr="00701EB7">
              <w:rPr>
                <w:rFonts w:ascii="Roboto Mono" w:hAnsi="Roboto Mono"/>
              </w:rPr>
              <w:t>Disjointness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99850" w14:textId="37D91F4D" w:rsidR="00701EB7" w:rsidRPr="00701EB7" w:rsidRDefault="00701EB7" w:rsidP="00701EB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A0506CF" w14:textId="77777777" w:rsidR="00701EB7" w:rsidRPr="00701EB7" w:rsidRDefault="00701EB7" w:rsidP="00701EB7">
            <w:pPr>
              <w:rPr>
                <w:rFonts w:ascii="Roboto Mono" w:hAnsi="Roboto Mono"/>
              </w:rPr>
            </w:pPr>
            <w:r w:rsidRPr="00701EB7">
              <w:rPr>
                <w:rFonts w:ascii="Roboto Mono" w:hAnsi="Roboto Mono"/>
              </w:rPr>
              <w:t>Regions share no points</w:t>
            </w:r>
          </w:p>
        </w:tc>
      </w:tr>
    </w:tbl>
    <w:p w14:paraId="6B721F0D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45A65890">
          <v:rect id="_x0000_i1199" style="width:0;height:1.5pt" o:hralign="center" o:hrstd="t" o:hr="t" fillcolor="#a0a0a0" stroked="f"/>
        </w:pict>
      </w:r>
    </w:p>
    <w:p w14:paraId="141E2837" w14:textId="77777777" w:rsidR="00701EB7" w:rsidRDefault="00701EB7" w:rsidP="000418B1">
      <w:pPr>
        <w:pStyle w:val="Heading2"/>
      </w:pPr>
      <w:r w:rsidRPr="00701EB7">
        <w:t>Proper Region Containment in Different Dimensions</w:t>
      </w:r>
    </w:p>
    <w:p w14:paraId="23E6524C" w14:textId="55EFFA43" w:rsidR="000418B1" w:rsidRPr="000418B1" w:rsidRDefault="000418B1" w:rsidP="000418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F98E6F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The same principle applies to different geometric settings.</w:t>
      </w:r>
    </w:p>
    <w:p w14:paraId="77DA2AF6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2D</w:t>
      </w:r>
    </w:p>
    <w:p w14:paraId="07AF1C20" w14:textId="56065D59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3D6BBBC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where both are planar regions.</w:t>
      </w:r>
    </w:p>
    <w:p w14:paraId="3FECF968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3D</w:t>
      </w:r>
    </w:p>
    <w:p w14:paraId="0128EA05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For volumetric regions:</w:t>
      </w:r>
    </w:p>
    <w:p w14:paraId="19A67020" w14:textId="51A8E339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12838D8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lastRenderedPageBreak/>
        <w:t>For example, a smaller solid sphere inside a larger solid sphere.</w:t>
      </w:r>
    </w:p>
    <w:p w14:paraId="1F1984CF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Region in a Plane</w:t>
      </w:r>
    </w:p>
    <w:p w14:paraId="3108BC39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A planar region can also be properly contained in a plane:</w:t>
      </w:r>
    </w:p>
    <w:p w14:paraId="3729AFAF" w14:textId="0C0E0289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R⊊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5545AE04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because the region occupies only part of the infinite plane.</w:t>
      </w:r>
    </w:p>
    <w:p w14:paraId="6D31C517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19A05FDC">
          <v:rect id="_x0000_i1200" style="width:0;height:1.5pt" o:hralign="center" o:hrstd="t" o:hr="t" fillcolor="#a0a0a0" stroked="f"/>
        </w:pict>
      </w:r>
    </w:p>
    <w:p w14:paraId="2962E3F1" w14:textId="77777777" w:rsidR="00701EB7" w:rsidRDefault="00701EB7" w:rsidP="000418B1">
      <w:pPr>
        <w:pStyle w:val="Heading2"/>
      </w:pPr>
      <w:r w:rsidRPr="00701EB7">
        <w:t>Relationship with Region Containment</w:t>
      </w:r>
    </w:p>
    <w:p w14:paraId="61C04D2E" w14:textId="295DD0E1" w:rsidR="000418B1" w:rsidRPr="000418B1" w:rsidRDefault="000418B1" w:rsidP="000418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CF4D45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  <w:b/>
          <w:bCs/>
        </w:rPr>
        <w:t>Region Containment</w:t>
      </w:r>
      <w:r w:rsidRPr="00701EB7">
        <w:rPr>
          <w:rFonts w:ascii="Roboto Mono" w:hAnsi="Roboto Mono"/>
        </w:rPr>
        <w:t xml:space="preserve"> is the general concept:</w:t>
      </w:r>
    </w:p>
    <w:p w14:paraId="18D43D2A" w14:textId="3BF7E38D" w:rsidR="00701EB7" w:rsidRPr="00701EB7" w:rsidRDefault="00701EB7" w:rsidP="00701EB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13B39B8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  <w:b/>
          <w:bCs/>
        </w:rPr>
        <w:t>Proper Region Containment</w:t>
      </w:r>
      <w:r w:rsidRPr="00701EB7">
        <w:rPr>
          <w:rFonts w:ascii="Roboto Mono" w:hAnsi="Roboto Mono"/>
        </w:rPr>
        <w:t xml:space="preserve"> is a specific type:</w:t>
      </w:r>
    </w:p>
    <w:p w14:paraId="782209ED" w14:textId="339BB179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CE3D13E" w14:textId="77777777" w:rsid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Therefore:</w:t>
      </w:r>
    </w:p>
    <w:p w14:paraId="0F29BB10" w14:textId="27A0C246" w:rsidR="0048711A" w:rsidRPr="00701EB7" w:rsidRDefault="0048711A" w:rsidP="00701E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690718" wp14:editId="47841656">
            <wp:extent cx="5943600" cy="945515"/>
            <wp:effectExtent l="0" t="0" r="0" b="6985"/>
            <wp:docPr id="15965372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F1302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Region Containment</w:t>
      </w:r>
    </w:p>
    <w:p w14:paraId="3AE92B9D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MS Gothic" w:eastAsia="MS Gothic" w:hAnsi="MS Gothic" w:cs="MS Gothic" w:hint="eastAsia"/>
        </w:rPr>
        <w:t>├──</w:t>
      </w:r>
      <w:r w:rsidRPr="00701EB7">
        <w:rPr>
          <w:rFonts w:ascii="Roboto Mono" w:hAnsi="Roboto Mono"/>
        </w:rPr>
        <w:t xml:space="preserve"> Proper Region Containment</w:t>
      </w:r>
    </w:p>
    <w:p w14:paraId="1E3AF17E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MS Gothic" w:eastAsia="MS Gothic" w:hAnsi="MS Gothic" w:cs="MS Gothic" w:hint="eastAsia"/>
        </w:rPr>
        <w:t>├──</w:t>
      </w:r>
      <w:r w:rsidRPr="00701EB7">
        <w:rPr>
          <w:rFonts w:ascii="Roboto Mono" w:hAnsi="Roboto Mono"/>
        </w:rPr>
        <w:t xml:space="preserve"> Equal Region</w:t>
      </w:r>
    </w:p>
    <w:p w14:paraId="564F1EE0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MS Gothic" w:eastAsia="MS Gothic" w:hAnsi="MS Gothic" w:cs="MS Gothic" w:hint="eastAsia"/>
        </w:rPr>
        <w:t>├──</w:t>
      </w:r>
      <w:r w:rsidRPr="00701EB7">
        <w:rPr>
          <w:rFonts w:ascii="Roboto Mono" w:hAnsi="Roboto Mono"/>
        </w:rPr>
        <w:t xml:space="preserve"> Boundary-Touching Containment</w:t>
      </w:r>
    </w:p>
    <w:p w14:paraId="346068BE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MS Gothic" w:eastAsia="MS Gothic" w:hAnsi="MS Gothic" w:cs="MS Gothic" w:hint="eastAsia"/>
        </w:rPr>
        <w:t>└──</w:t>
      </w:r>
      <w:r w:rsidRPr="00701EB7">
        <w:rPr>
          <w:rFonts w:ascii="Roboto Mono" w:hAnsi="Roboto Mono"/>
        </w:rPr>
        <w:t xml:space="preserve"> Strict Interior Containment</w:t>
      </w:r>
    </w:p>
    <w:p w14:paraId="719F140B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Note that </w:t>
      </w:r>
      <w:r w:rsidRPr="00701EB7">
        <w:rPr>
          <w:rFonts w:ascii="Roboto Mono" w:hAnsi="Roboto Mono"/>
          <w:b/>
          <w:bCs/>
        </w:rPr>
        <w:t>boundary-touching containment</w:t>
      </w:r>
      <w:r w:rsidRPr="00701EB7">
        <w:rPr>
          <w:rFonts w:ascii="Roboto Mono" w:hAnsi="Roboto Mono"/>
        </w:rPr>
        <w:t xml:space="preserve"> and </w:t>
      </w:r>
      <w:r w:rsidRPr="00701EB7">
        <w:rPr>
          <w:rFonts w:ascii="Roboto Mono" w:hAnsi="Roboto Mono"/>
          <w:b/>
          <w:bCs/>
        </w:rPr>
        <w:t>strict interior containment</w:t>
      </w:r>
      <w:r w:rsidRPr="00701EB7">
        <w:rPr>
          <w:rFonts w:ascii="Roboto Mono" w:hAnsi="Roboto Mono"/>
        </w:rPr>
        <w:t xml:space="preserve"> describe additional geometric conditions and can overlap with proper containment.</w:t>
      </w:r>
    </w:p>
    <w:p w14:paraId="7ED0CDB9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lastRenderedPageBreak/>
        <w:pict w14:anchorId="388A42B4">
          <v:rect id="_x0000_i1201" style="width:0;height:1.5pt" o:hralign="center" o:hrstd="t" o:hr="t" fillcolor="#a0a0a0" stroked="f"/>
        </w:pict>
      </w:r>
    </w:p>
    <w:p w14:paraId="2B71296B" w14:textId="77777777" w:rsidR="00701EB7" w:rsidRDefault="00701EB7" w:rsidP="000418B1">
      <w:pPr>
        <w:pStyle w:val="Heading2"/>
      </w:pPr>
      <w:r w:rsidRPr="00701EB7">
        <w:t>Real-World Applications</w:t>
      </w:r>
    </w:p>
    <w:p w14:paraId="74641CD5" w14:textId="3FB30E24" w:rsidR="000418B1" w:rsidRPr="000418B1" w:rsidRDefault="000418B1" w:rsidP="000418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4EC769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Maps and Geographic Information Systems</w:t>
      </w:r>
    </w:p>
    <w:p w14:paraId="7C44E34E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A neighborhood boundary may be properly contained within a city boundary:</w:t>
      </w:r>
    </w:p>
    <w:p w14:paraId="79D11135" w14:textId="139117AF" w:rsidR="00701EB7" w:rsidRPr="00701EB7" w:rsidRDefault="00701EB7" w:rsidP="00701EB7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Neighborhood</m:t>
          </m:r>
          <m:r>
            <w:rPr>
              <w:rFonts w:ascii="Cambria Math" w:hAnsi="Cambria Math"/>
            </w:rPr>
            <m:t>⊊</m:t>
          </m:r>
          <m:r>
            <m:rPr>
              <m:nor/>
            </m:rPr>
            <w:rPr>
              <w:rFonts w:ascii="Roboto Mono" w:hAnsi="Roboto Mono"/>
            </w:rPr>
            <m:t>City</m:t>
          </m:r>
        </m:oMath>
      </m:oMathPara>
    </w:p>
    <w:p w14:paraId="648E116B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Architecture</w:t>
      </w:r>
    </w:p>
    <w:p w14:paraId="393F16C1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A room may be properly contained within the floor area of a building.</w:t>
      </w:r>
    </w:p>
    <w:p w14:paraId="4458BEA2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Computer Graphics</w:t>
      </w:r>
    </w:p>
    <w:p w14:paraId="1B96227F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A smaller graphical object or region can be contained within a larger clipping region.</w:t>
      </w:r>
    </w:p>
    <w:p w14:paraId="69B62D36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CAD</w:t>
      </w:r>
    </w:p>
    <w:p w14:paraId="0CF170F9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A component's geometric region may lie completely inside another object's region.</w:t>
      </w:r>
    </w:p>
    <w:p w14:paraId="2587B9B4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Robotics</w:t>
      </w:r>
    </w:p>
    <w:p w14:paraId="62EBFF89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A robot's workspace may be modeled as a region properly contained within a larger operating area.</w:t>
      </w:r>
    </w:p>
    <w:p w14:paraId="12B7201C" w14:textId="77777777" w:rsidR="00701EB7" w:rsidRPr="00701EB7" w:rsidRDefault="00701EB7" w:rsidP="00701EB7">
      <w:pPr>
        <w:rPr>
          <w:rFonts w:ascii="Roboto Mono" w:hAnsi="Roboto Mono"/>
          <w:b/>
          <w:bCs/>
        </w:rPr>
      </w:pPr>
      <w:r w:rsidRPr="00701EB7">
        <w:rPr>
          <w:rFonts w:ascii="Roboto Mono" w:hAnsi="Roboto Mono"/>
          <w:b/>
          <w:bCs/>
        </w:rPr>
        <w:t>Image Processing</w:t>
      </w:r>
    </w:p>
    <w:p w14:paraId="165796E2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t>A region of interest (ROI) may be properly contained within an entire image domain.</w:t>
      </w:r>
    </w:p>
    <w:p w14:paraId="3944253B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</w:rPr>
        <w:pict w14:anchorId="2B2DCDAE">
          <v:rect id="_x0000_i1202" style="width:0;height:1.5pt" o:hralign="center" o:hrstd="t" o:hr="t" fillcolor="#a0a0a0" stroked="f"/>
        </w:pict>
      </w:r>
    </w:p>
    <w:p w14:paraId="06552D11" w14:textId="77777777" w:rsidR="00701EB7" w:rsidRDefault="00701EB7" w:rsidP="000418B1">
      <w:pPr>
        <w:pStyle w:val="Heading2"/>
      </w:pPr>
      <w:r w:rsidRPr="00701EB7">
        <w:t>Key Points</w:t>
      </w:r>
    </w:p>
    <w:p w14:paraId="69494299" w14:textId="3A8CC9AA" w:rsidR="000418B1" w:rsidRPr="000418B1" w:rsidRDefault="000418B1" w:rsidP="000418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AE967B" w14:textId="77777777" w:rsidR="00701EB7" w:rsidRPr="00701EB7" w:rsidRDefault="00701EB7" w:rsidP="00701EB7">
      <w:pPr>
        <w:numPr>
          <w:ilvl w:val="0"/>
          <w:numId w:val="3"/>
        </w:numPr>
        <w:rPr>
          <w:rFonts w:ascii="Roboto Mono" w:hAnsi="Roboto Mono"/>
        </w:rPr>
      </w:pPr>
      <w:r w:rsidRPr="00701EB7">
        <w:rPr>
          <w:rFonts w:ascii="Roboto Mono" w:hAnsi="Roboto Mono"/>
        </w:rPr>
        <w:lastRenderedPageBreak/>
        <w:t xml:space="preserve">Proper region containment means one region is </w:t>
      </w:r>
      <w:r w:rsidRPr="00701EB7">
        <w:rPr>
          <w:rFonts w:ascii="Roboto Mono" w:hAnsi="Roboto Mono"/>
          <w:b/>
          <w:bCs/>
        </w:rPr>
        <w:t>completely contained</w:t>
      </w:r>
      <w:r w:rsidRPr="00701EB7">
        <w:rPr>
          <w:rFonts w:ascii="Roboto Mono" w:hAnsi="Roboto Mono"/>
        </w:rPr>
        <w:t xml:space="preserve"> within another but is </w:t>
      </w:r>
      <w:r w:rsidRPr="00701EB7">
        <w:rPr>
          <w:rFonts w:ascii="Roboto Mono" w:hAnsi="Roboto Mono"/>
          <w:b/>
          <w:bCs/>
        </w:rPr>
        <w:t>not equal</w:t>
      </w:r>
      <w:r w:rsidRPr="00701EB7">
        <w:rPr>
          <w:rFonts w:ascii="Roboto Mono" w:hAnsi="Roboto Mono"/>
        </w:rPr>
        <w:t xml:space="preserve"> to it.</w:t>
      </w:r>
    </w:p>
    <w:p w14:paraId="20CFB418" w14:textId="77777777" w:rsidR="00701EB7" w:rsidRPr="00701EB7" w:rsidRDefault="00701EB7" w:rsidP="00701EB7">
      <w:pPr>
        <w:numPr>
          <w:ilvl w:val="0"/>
          <w:numId w:val="3"/>
        </w:numPr>
        <w:rPr>
          <w:rFonts w:ascii="Roboto Mono" w:hAnsi="Roboto Mono"/>
        </w:rPr>
      </w:pPr>
      <w:r w:rsidRPr="00701EB7">
        <w:rPr>
          <w:rFonts w:ascii="Roboto Mono" w:hAnsi="Roboto Mono"/>
        </w:rPr>
        <w:t>Its standard notation is:</w:t>
      </w:r>
    </w:p>
    <w:p w14:paraId="5B3CB42A" w14:textId="622BBD00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2D898FB" w14:textId="641FD7B8" w:rsidR="00701EB7" w:rsidRPr="00701EB7" w:rsidRDefault="00701EB7" w:rsidP="00701EB7">
      <w:pPr>
        <w:numPr>
          <w:ilvl w:val="0"/>
          <w:numId w:val="3"/>
        </w:num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Every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01EB7">
        <w:rPr>
          <w:rFonts w:ascii="Roboto Mono" w:hAnsi="Roboto Mono"/>
        </w:rPr>
        <w:t xml:space="preserve">belongs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01EB7">
        <w:rPr>
          <w:rFonts w:ascii="Roboto Mono" w:hAnsi="Roboto Mono"/>
        </w:rPr>
        <w:t>.</w:t>
      </w:r>
    </w:p>
    <w:p w14:paraId="0A71BA57" w14:textId="18CFE7F4" w:rsidR="00701EB7" w:rsidRPr="00701EB7" w:rsidRDefault="00701EB7" w:rsidP="00701EB7">
      <w:pPr>
        <w:numPr>
          <w:ilvl w:val="0"/>
          <w:numId w:val="3"/>
        </w:num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At least one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01EB7">
        <w:rPr>
          <w:rFonts w:ascii="Roboto Mono" w:hAnsi="Roboto Mono"/>
        </w:rPr>
        <w:t xml:space="preserve">does not belong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01EB7">
        <w:rPr>
          <w:rFonts w:ascii="Roboto Mono" w:hAnsi="Roboto Mono"/>
        </w:rPr>
        <w:t>.</w:t>
      </w:r>
    </w:p>
    <w:p w14:paraId="48065753" w14:textId="77777777" w:rsidR="00701EB7" w:rsidRPr="00701EB7" w:rsidRDefault="00701EB7" w:rsidP="00701EB7">
      <w:pPr>
        <w:numPr>
          <w:ilvl w:val="0"/>
          <w:numId w:val="3"/>
        </w:num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Proper containment is </w:t>
      </w:r>
      <w:r w:rsidRPr="00701EB7">
        <w:rPr>
          <w:rFonts w:ascii="Roboto Mono" w:hAnsi="Roboto Mono"/>
          <w:b/>
          <w:bCs/>
        </w:rPr>
        <w:t>not symmetric</w:t>
      </w:r>
      <w:r w:rsidRPr="00701EB7">
        <w:rPr>
          <w:rFonts w:ascii="Roboto Mono" w:hAnsi="Roboto Mono"/>
        </w:rPr>
        <w:t>.</w:t>
      </w:r>
    </w:p>
    <w:p w14:paraId="3650DC13" w14:textId="77777777" w:rsidR="00701EB7" w:rsidRPr="00701EB7" w:rsidRDefault="00701EB7" w:rsidP="00701EB7">
      <w:pPr>
        <w:numPr>
          <w:ilvl w:val="0"/>
          <w:numId w:val="3"/>
        </w:num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Proper containment is </w:t>
      </w:r>
      <w:r w:rsidRPr="00701EB7">
        <w:rPr>
          <w:rFonts w:ascii="Roboto Mono" w:hAnsi="Roboto Mono"/>
          <w:b/>
          <w:bCs/>
        </w:rPr>
        <w:t>transitive</w:t>
      </w:r>
      <w:r w:rsidRPr="00701EB7">
        <w:rPr>
          <w:rFonts w:ascii="Roboto Mono" w:hAnsi="Roboto Mono"/>
        </w:rPr>
        <w:t>.</w:t>
      </w:r>
    </w:p>
    <w:p w14:paraId="5717A555" w14:textId="77777777" w:rsidR="00701EB7" w:rsidRPr="00701EB7" w:rsidRDefault="00701EB7" w:rsidP="00701EB7">
      <w:pPr>
        <w:numPr>
          <w:ilvl w:val="0"/>
          <w:numId w:val="3"/>
        </w:numPr>
        <w:rPr>
          <w:rFonts w:ascii="Roboto Mono" w:hAnsi="Roboto Mono"/>
        </w:rPr>
      </w:pPr>
      <w:r w:rsidRPr="00701EB7">
        <w:rPr>
          <w:rFonts w:ascii="Roboto Mono" w:hAnsi="Roboto Mono"/>
        </w:rPr>
        <w:t>A contained region may or may not touch the boundary of the containing region.</w:t>
      </w:r>
    </w:p>
    <w:p w14:paraId="412EA551" w14:textId="77777777" w:rsidR="00701EB7" w:rsidRPr="00701EB7" w:rsidRDefault="00701EB7" w:rsidP="00701EB7">
      <w:pPr>
        <w:numPr>
          <w:ilvl w:val="0"/>
          <w:numId w:val="3"/>
        </w:numPr>
        <w:rPr>
          <w:rFonts w:ascii="Roboto Mono" w:hAnsi="Roboto Mono"/>
        </w:rPr>
      </w:pPr>
      <w:r w:rsidRPr="00701EB7">
        <w:rPr>
          <w:rFonts w:ascii="Roboto Mono" w:hAnsi="Roboto Mono"/>
        </w:rPr>
        <w:t>Strict interior containment is stronger than ordinary proper containment.</w:t>
      </w:r>
    </w:p>
    <w:p w14:paraId="3588DC6F" w14:textId="77777777" w:rsidR="00701EB7" w:rsidRDefault="00701EB7" w:rsidP="000418B1">
      <w:pPr>
        <w:pStyle w:val="Heading2"/>
      </w:pPr>
      <w:r w:rsidRPr="00701EB7">
        <w:t>Conclusion</w:t>
      </w:r>
    </w:p>
    <w:p w14:paraId="691FB2BF" w14:textId="00194433" w:rsidR="000418B1" w:rsidRPr="000418B1" w:rsidRDefault="000418B1" w:rsidP="000418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7D5727" w14:textId="77777777" w:rsidR="00701EB7" w:rsidRPr="00701EB7" w:rsidRDefault="00701EB7" w:rsidP="00701EB7">
      <w:pPr>
        <w:rPr>
          <w:rFonts w:ascii="Roboto Mono" w:hAnsi="Roboto Mono"/>
        </w:rPr>
      </w:pPr>
      <w:r w:rsidRPr="00701EB7">
        <w:rPr>
          <w:rFonts w:ascii="Roboto Mono" w:hAnsi="Roboto Mono"/>
          <w:b/>
          <w:bCs/>
        </w:rPr>
        <w:t>Proper Region Containment</w:t>
      </w:r>
      <w:r w:rsidRPr="00701EB7">
        <w:rPr>
          <w:rFonts w:ascii="Roboto Mono" w:hAnsi="Roboto Mono"/>
        </w:rPr>
        <w:t xml:space="preserve"> describes a relationship in which one geometric region occupies a genuine subset of another region:</w:t>
      </w:r>
    </w:p>
    <w:p w14:paraId="0985624A" w14:textId="0C1CCF98" w:rsidR="00701EB7" w:rsidRPr="00701EB7" w:rsidRDefault="00701EB7" w:rsidP="00701EB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CCF93FC" w14:textId="3CAB21D2" w:rsidR="00A70480" w:rsidRPr="00701EB7" w:rsidRDefault="00701EB7" w:rsidP="000719D5">
      <w:pPr>
        <w:rPr>
          <w:rFonts w:ascii="Roboto Mono" w:hAnsi="Roboto Mono"/>
        </w:rPr>
      </w:pPr>
      <w:r w:rsidRPr="00701EB7">
        <w:rPr>
          <w:rFonts w:ascii="Roboto Mono" w:hAnsi="Roboto Mono"/>
        </w:rPr>
        <w:t xml:space="preserve">It is therefore the appropriate concept whenever a region is </w:t>
      </w:r>
      <w:r w:rsidRPr="00701EB7">
        <w:rPr>
          <w:rFonts w:ascii="Roboto Mono" w:hAnsi="Roboto Mono"/>
          <w:b/>
          <w:bCs/>
        </w:rPr>
        <w:t>entirely contained within another region without being equal to it</w:t>
      </w:r>
      <w:r w:rsidRPr="00701EB7">
        <w:rPr>
          <w:rFonts w:ascii="Roboto Mono" w:hAnsi="Roboto Mono"/>
        </w:rPr>
        <w:t>. It provides a precise geometric way to describe nested regions, from circles and polygons in 2D to volumetric regions in 3D.</w:t>
      </w:r>
    </w:p>
    <w:sectPr w:rsidR="00A70480" w:rsidRPr="00701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82D2B"/>
    <w:multiLevelType w:val="multilevel"/>
    <w:tmpl w:val="EE7A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D4210"/>
    <w:multiLevelType w:val="multilevel"/>
    <w:tmpl w:val="40C4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932F7"/>
    <w:multiLevelType w:val="multilevel"/>
    <w:tmpl w:val="EA02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847824">
    <w:abstractNumId w:val="0"/>
  </w:num>
  <w:num w:numId="2" w16cid:durableId="308871748">
    <w:abstractNumId w:val="1"/>
  </w:num>
  <w:num w:numId="3" w16cid:durableId="2052149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D2"/>
    <w:rsid w:val="000418B1"/>
    <w:rsid w:val="000719D5"/>
    <w:rsid w:val="001D6615"/>
    <w:rsid w:val="002D1F4F"/>
    <w:rsid w:val="00461F88"/>
    <w:rsid w:val="0048711A"/>
    <w:rsid w:val="006C73D2"/>
    <w:rsid w:val="00701EB7"/>
    <w:rsid w:val="00711B4D"/>
    <w:rsid w:val="008952B3"/>
    <w:rsid w:val="00A70480"/>
    <w:rsid w:val="00AB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C9FEA"/>
  <w15:chartTrackingRefBased/>
  <w15:docId w15:val="{58022347-41BC-4676-8CF6-9CF13E78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7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1616</Words>
  <Characters>9216</Characters>
  <Application>Microsoft Office Word</Application>
  <DocSecurity>0</DocSecurity>
  <Lines>76</Lines>
  <Paragraphs>21</Paragraphs>
  <ScaleCrop>false</ScaleCrop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2026-09-15T08:27:00Z</dcterms:created>
  <dcterms:modified xsi:type="dcterms:W3CDTF">2026-09-15T08:39:00Z</dcterms:modified>
</cp:coreProperties>
</file>