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2247" w14:textId="6B7333FE" w:rsidR="00ED2761" w:rsidRPr="00ED2761" w:rsidRDefault="00ED2761" w:rsidP="00ED2761">
      <w:pPr>
        <w:pStyle w:val="Heading1"/>
      </w:pPr>
      <w:r w:rsidRPr="00ED2761">
        <w:t>Area-Preserving Rearrangement</w:t>
      </w:r>
    </w:p>
    <w:p w14:paraId="267EC1C1" w14:textId="3721A405" w:rsidR="00ED2761" w:rsidRDefault="00ED2761" w:rsidP="00ED2761">
      <w:pPr>
        <w:pStyle w:val="Heading2"/>
      </w:pPr>
      <w:r w:rsidRPr="00ED2761">
        <w:t>Definition</w:t>
      </w:r>
    </w:p>
    <w:p w14:paraId="49A7E995" w14:textId="296E0CB6" w:rsidR="00ED2761" w:rsidRPr="00ED2761" w:rsidRDefault="00ED2761" w:rsidP="00ED27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DBD949" w14:textId="77777777" w:rsidR="00ED2761" w:rsidRPr="00ED2761" w:rsidRDefault="00ED2761" w:rsidP="00ED2761">
      <w:r w:rsidRPr="00ED2761">
        <w:t>Area-Preserving Rearrangement is a type of geometric figure rearrangement in which a figure is divided into pieces and those pieces are rearranged to form another figure while preserving the total area.</w:t>
      </w:r>
    </w:p>
    <w:p w14:paraId="782BACFE" w14:textId="77777777" w:rsidR="00ED2761" w:rsidRPr="00ED2761" w:rsidRDefault="00ED2761" w:rsidP="00ED2761">
      <w:r w:rsidRPr="00ED2761">
        <w:t>The pieces may be translated, rotated, reflected, or reordered, provided that the rearrangement does not add or remove area. For an exact dissection, the pieces must cover the final figure without gaps or overlapping interiors.</w:t>
      </w:r>
    </w:p>
    <w:p w14:paraId="3E98868F" w14:textId="77777777" w:rsidR="00ED2761" w:rsidRDefault="00ED2761" w:rsidP="00ED2761">
      <w:pPr>
        <w:pStyle w:val="Heading2"/>
      </w:pPr>
      <w:r w:rsidRPr="00ED2761">
        <w:t>Simple Definition</w:t>
      </w:r>
    </w:p>
    <w:p w14:paraId="176533AE" w14:textId="207C6345" w:rsidR="00ED2761" w:rsidRPr="00ED2761" w:rsidRDefault="00ED2761" w:rsidP="00ED27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6EE035" w14:textId="77777777" w:rsidR="00ED2761" w:rsidRPr="00ED2761" w:rsidRDefault="00ED2761" w:rsidP="00ED2761">
      <w:r w:rsidRPr="00ED2761">
        <w:t>Area-preserving rearrangement means rearranging geometric pieces to form a different figure with the same total area.</w:t>
      </w:r>
    </w:p>
    <w:p w14:paraId="449C3D4D" w14:textId="77777777" w:rsidR="00ED2761" w:rsidRDefault="00ED2761" w:rsidP="00ED2761">
      <w:pPr>
        <w:pStyle w:val="Heading2"/>
      </w:pPr>
      <w:r w:rsidRPr="00ED2761">
        <w:t>Example</w:t>
      </w:r>
    </w:p>
    <w:p w14:paraId="63979D1B" w14:textId="4A72EECC" w:rsidR="00ED2761" w:rsidRPr="00ED2761" w:rsidRDefault="00ED2761" w:rsidP="00ED27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E88A1D" w14:textId="77777777" w:rsidR="00ED2761" w:rsidRPr="00ED2761" w:rsidRDefault="00ED2761" w:rsidP="00ED2761">
      <w:r w:rsidRPr="00ED2761">
        <w:t>A polygon is divided into smaller pieces and rearranged to form a rectangle. Although the outer shape changes, the total area remains the same.</w:t>
      </w:r>
    </w:p>
    <w:p w14:paraId="51A9C81F" w14:textId="14D941C9" w:rsidR="00ED2761" w:rsidRPr="00ED2761" w:rsidRDefault="00ED2761" w:rsidP="003462C3">
      <w:r w:rsidRPr="00ED2761">
        <w:lastRenderedPageBreak/>
        <w:drawing>
          <wp:inline distT="0" distB="0" distL="0" distR="0" wp14:anchorId="51952BC6" wp14:editId="2E0AAB10">
            <wp:extent cx="5943600" cy="4782820"/>
            <wp:effectExtent l="0" t="0" r="0" b="0"/>
            <wp:docPr id="1362693087" name="Picture 18" descr="Coding — Satyan L Devad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ding — Satyan L Devado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82820"/>
                    </a:xfrm>
                    <a:prstGeom prst="rect">
                      <a:avLst/>
                    </a:prstGeom>
                    <a:noFill/>
                    <a:ln>
                      <a:noFill/>
                    </a:ln>
                  </pic:spPr>
                </pic:pic>
              </a:graphicData>
            </a:graphic>
          </wp:inline>
        </w:drawing>
      </w:r>
    </w:p>
    <w:p w14:paraId="796F345C" w14:textId="6527A4AB" w:rsidR="00ED2761" w:rsidRDefault="00ED2761" w:rsidP="00ED2761">
      <w:pPr>
        <w:pStyle w:val="Heading2"/>
      </w:pPr>
      <w:r w:rsidRPr="00ED2761">
        <w:t>Main Classification of Area-Preserving Rearrangement</w:t>
      </w:r>
    </w:p>
    <w:p w14:paraId="47D478FD" w14:textId="3D324C2A" w:rsidR="00ED2761" w:rsidRPr="00ED2761" w:rsidRDefault="00ED2761" w:rsidP="00ED27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38AB3A" w14:textId="77777777" w:rsidR="00ED2761" w:rsidRPr="00ED2761" w:rsidRDefault="00ED2761" w:rsidP="00ED2761">
      <w:r w:rsidRPr="00ED2761">
        <w:t>The following is a practical classification based on how area preservation is demonstrated. The categories can overlap and are not a universally standardized mathematical taxonomy.</w:t>
      </w:r>
    </w:p>
    <w:p w14:paraId="2B0DA903" w14:textId="77777777" w:rsidR="00ED2761" w:rsidRDefault="00ED2761" w:rsidP="003462C3">
      <w:pPr>
        <w:pStyle w:val="Heading3"/>
      </w:pPr>
      <w:r w:rsidRPr="00ED2761">
        <w:t>1. Polygon-to-Rectangle Rearrangement</w:t>
      </w:r>
    </w:p>
    <w:p w14:paraId="138C4AE3" w14:textId="1339C719"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19A2DE" w14:textId="77777777" w:rsidR="00ED2761" w:rsidRPr="00ED2761" w:rsidRDefault="00ED2761" w:rsidP="00ED2761">
      <w:r w:rsidRPr="00ED2761">
        <w:t>A polygon is divided into pieces that are rearranged to form a rectangle of equal area.</w:t>
      </w:r>
    </w:p>
    <w:p w14:paraId="608A0320" w14:textId="77777777" w:rsidR="00ED2761" w:rsidRPr="00ED2761" w:rsidRDefault="00ED2761" w:rsidP="00ED2761">
      <w:r w:rsidRPr="00ED2761">
        <w:t>Example: An irregular polygon is dissected into triangular and rectangular pieces, which are rearranged into a rectangle.</w:t>
      </w:r>
    </w:p>
    <w:p w14:paraId="7FEEAC7D" w14:textId="6CA5803F" w:rsidR="00ED2761" w:rsidRPr="00ED2761" w:rsidRDefault="00ED2761" w:rsidP="003462C3">
      <w:r w:rsidRPr="00ED2761">
        <w:lastRenderedPageBreak/>
        <w:drawing>
          <wp:inline distT="0" distB="0" distL="0" distR="0" wp14:anchorId="62BD3B2C" wp14:editId="5845B7E3">
            <wp:extent cx="5943600" cy="3683635"/>
            <wp:effectExtent l="0" t="0" r="0" b="0"/>
            <wp:docPr id="1325014307" name="Picture 17" descr="Dissection Puzzle Square Triangle Shape Rectangl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issection Puzzle Square Triangle Shape Rectangle 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025C3AD7" w14:textId="77777777" w:rsidR="00ED2761" w:rsidRDefault="00ED2761" w:rsidP="003462C3">
      <w:pPr>
        <w:pStyle w:val="Heading3"/>
      </w:pPr>
      <w:r w:rsidRPr="00ED2761">
        <w:t>2. Triangle-to-Parallelogram Rearrangement</w:t>
      </w:r>
    </w:p>
    <w:p w14:paraId="42E851B2" w14:textId="6592EA49"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49EE4C" w14:textId="77777777" w:rsidR="00ED2761" w:rsidRPr="00ED2761" w:rsidRDefault="00ED2761" w:rsidP="00ED2761">
      <w:r w:rsidRPr="00ED2761">
        <w:t>Triangular pieces are rearranged to form a parallelogram while preserving their combined area.</w:t>
      </w:r>
    </w:p>
    <w:p w14:paraId="5A47A92F" w14:textId="77777777" w:rsidR="00ED2761" w:rsidRPr="00ED2761" w:rsidRDefault="00ED2761" w:rsidP="00ED2761">
      <w:r w:rsidRPr="00ED2761">
        <w:t>Example: Two congruent triangles are joined along corresponding edges to form a parallelogram.</w:t>
      </w:r>
    </w:p>
    <w:p w14:paraId="492D2671" w14:textId="79776839" w:rsidR="00ED2761" w:rsidRPr="00ED2761" w:rsidRDefault="00ED2761" w:rsidP="003462C3">
      <w:r w:rsidRPr="00ED2761">
        <w:lastRenderedPageBreak/>
        <w:drawing>
          <wp:inline distT="0" distB="0" distL="0" distR="0" wp14:anchorId="1093E493" wp14:editId="3204C4AD">
            <wp:extent cx="5943600" cy="4457700"/>
            <wp:effectExtent l="0" t="0" r="0" b="0"/>
            <wp:docPr id="1785427958" name="Picture 16" descr="PPT - How Big Is My Triangle? PowerPoint Presentation, free download - ID:212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PT - How Big Is My Triangle? PowerPoint Presentation, free download - ID:21232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28A580" w14:textId="77777777" w:rsidR="00ED2761" w:rsidRDefault="00ED2761" w:rsidP="003462C3">
      <w:pPr>
        <w:pStyle w:val="Heading3"/>
      </w:pPr>
      <w:r w:rsidRPr="00ED2761">
        <w:t>3. Parallelogram-to-Rectangle Rearrangement</w:t>
      </w:r>
    </w:p>
    <w:p w14:paraId="40C26869" w14:textId="7D2C6852"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620149" w14:textId="77777777" w:rsidR="00ED2761" w:rsidRPr="00ED2761" w:rsidRDefault="00ED2761" w:rsidP="00ED2761">
      <w:r w:rsidRPr="00ED2761">
        <w:t>A triangular section is cut from one side of a parallelogram and moved to the opposite side to create a rectangle.</w:t>
      </w:r>
    </w:p>
    <w:p w14:paraId="78D80291" w14:textId="77777777" w:rsidR="00ED2761" w:rsidRPr="00ED2761" w:rsidRDefault="00ED2761" w:rsidP="00ED2761">
      <w:r w:rsidRPr="00ED2761">
        <w:t>Example: A parallelogram with base \(b\) and height \(h\) is rearranged into a rectangle with the same base and height.</w:t>
      </w:r>
    </w:p>
    <w:p w14:paraId="753147DD" w14:textId="64E6B76E" w:rsidR="00ED2761" w:rsidRPr="00ED2761" w:rsidRDefault="00ED2761" w:rsidP="003462C3">
      <w:r w:rsidRPr="00ED2761">
        <w:lastRenderedPageBreak/>
        <w:drawing>
          <wp:inline distT="0" distB="0" distL="0" distR="0" wp14:anchorId="14B489DC" wp14:editId="657F3C52">
            <wp:extent cx="3810000" cy="3169920"/>
            <wp:effectExtent l="0" t="0" r="0" b="0"/>
            <wp:docPr id="1482799161" name="Picture 15" descr="Area Les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rea Less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169920"/>
                    </a:xfrm>
                    <a:prstGeom prst="rect">
                      <a:avLst/>
                    </a:prstGeom>
                    <a:noFill/>
                    <a:ln>
                      <a:noFill/>
                    </a:ln>
                  </pic:spPr>
                </pic:pic>
              </a:graphicData>
            </a:graphic>
          </wp:inline>
        </w:drawing>
      </w:r>
    </w:p>
    <w:p w14:paraId="7E9EECB5" w14:textId="77777777" w:rsidR="00ED2761" w:rsidRDefault="00ED2761" w:rsidP="003462C3">
      <w:pPr>
        <w:pStyle w:val="Heading3"/>
      </w:pPr>
      <w:r w:rsidRPr="00ED2761">
        <w:t>4. Trapezoid-to-Parallelogram Rearrangement</w:t>
      </w:r>
    </w:p>
    <w:p w14:paraId="7D81A26A" w14:textId="7140AF38"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EBCCAC" w14:textId="77777777" w:rsidR="00ED2761" w:rsidRPr="00ED2761" w:rsidRDefault="00ED2761" w:rsidP="00ED2761">
      <w:r w:rsidRPr="00ED2761">
        <w:t>A trapezoid is divided or duplicated and its pieces are rearranged into a parallelogram to demonstrate an area relationship.</w:t>
      </w:r>
    </w:p>
    <w:p w14:paraId="3E17B222" w14:textId="77777777" w:rsidR="00ED2761" w:rsidRPr="00ED2761" w:rsidRDefault="00ED2761" w:rsidP="00ED2761">
      <w:r w:rsidRPr="00ED2761">
        <w:t>Example: Two congruent trapezoids are combined to form a parallelogram whose base is the sum of the trapezoid's parallel sides.</w:t>
      </w:r>
    </w:p>
    <w:p w14:paraId="28056FEA" w14:textId="03688A2D" w:rsidR="00ED2761" w:rsidRPr="00ED2761" w:rsidRDefault="00ED2761" w:rsidP="003462C3">
      <w:r w:rsidRPr="00ED2761">
        <w:lastRenderedPageBreak/>
        <w:drawing>
          <wp:inline distT="0" distB="0" distL="0" distR="0" wp14:anchorId="6D198813" wp14:editId="63F5A4E9">
            <wp:extent cx="5943600" cy="5943600"/>
            <wp:effectExtent l="0" t="0" r="0" b="0"/>
            <wp:docPr id="1947557716" name="Picture 14" descr="Show how we can use two identical copies of a trapezium to m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how how we can use two identical copies of a trapezium to mak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A325A4" w14:textId="77777777" w:rsidR="00ED2761" w:rsidRDefault="00ED2761" w:rsidP="003462C3">
      <w:pPr>
        <w:pStyle w:val="Heading3"/>
      </w:pPr>
      <w:r w:rsidRPr="00ED2761">
        <w:t>5. Polygon-to-Triangle Rearrangement</w:t>
      </w:r>
    </w:p>
    <w:p w14:paraId="382BBDE2" w14:textId="01205328"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E80946" w14:textId="77777777" w:rsidR="00ED2761" w:rsidRPr="00ED2761" w:rsidRDefault="00ED2761" w:rsidP="00ED2761">
      <w:r w:rsidRPr="00ED2761">
        <w:t>Pieces of a polygon are rearranged to form a triangle with the same total area.</w:t>
      </w:r>
    </w:p>
    <w:p w14:paraId="64B8B6A4" w14:textId="77777777" w:rsidR="00ED2761" w:rsidRPr="00ED2761" w:rsidRDefault="00ED2761" w:rsidP="00ED2761">
      <w:r w:rsidRPr="00ED2761">
        <w:t>Example: A polygon is dissected into triangles, and the triangular pieces are repositioned to form one larger triangle.</w:t>
      </w:r>
    </w:p>
    <w:p w14:paraId="4772C990" w14:textId="6844D8BE" w:rsidR="00ED2761" w:rsidRPr="00ED2761" w:rsidRDefault="00ED2761" w:rsidP="003462C3">
      <w:r w:rsidRPr="00ED2761">
        <w:lastRenderedPageBreak/>
        <w:drawing>
          <wp:inline distT="0" distB="0" distL="0" distR="0" wp14:anchorId="078621DD" wp14:editId="73287EF1">
            <wp:extent cx="5943600" cy="5688330"/>
            <wp:effectExtent l="0" t="0" r="0" b="7620"/>
            <wp:docPr id="1492092383" name="Picture 13" descr="Puzzle: Squaring a Triangle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uzzle: Squaring a Triangle (with Pictures) - Instructab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19AB7853" w14:textId="77777777" w:rsidR="00ED2761" w:rsidRDefault="00ED2761" w:rsidP="003462C3">
      <w:pPr>
        <w:pStyle w:val="Heading3"/>
      </w:pPr>
      <w:r w:rsidRPr="00ED2761">
        <w:t>6. Square-to-Rectangle Rearrangement</w:t>
      </w:r>
    </w:p>
    <w:p w14:paraId="63BB9B34" w14:textId="2F3DFDD9"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33C7EA" w14:textId="77777777" w:rsidR="00ED2761" w:rsidRPr="00ED2761" w:rsidRDefault="00ED2761" w:rsidP="00ED2761">
      <w:r w:rsidRPr="00ED2761">
        <w:t>A square is divided into pieces that can be rearranged into a rectangle with equal area.</w:t>
      </w:r>
    </w:p>
    <w:p w14:paraId="77894BF3" w14:textId="2B299FA1" w:rsidR="00ED2761" w:rsidRPr="00ED2761" w:rsidRDefault="00ED2761" w:rsidP="00ED2761">
      <w:r w:rsidRPr="00ED2761">
        <w:t xml:space="preserve">Example: A square of side length </w:t>
      </w:r>
      <m:oMath>
        <m:r>
          <w:rPr>
            <w:rFonts w:ascii="Cambria Math" w:hAnsi="Cambria Math"/>
          </w:rPr>
          <m:t>s</m:t>
        </m:r>
      </m:oMath>
      <w:r w:rsidRPr="00ED2761">
        <w:t xml:space="preserve"> is dissected into pieces and rearranged into a rectangle with dimensions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/w</m:t>
        </m:r>
      </m:oMath>
      <w:r w:rsidRPr="00ED2761">
        <w:t xml:space="preserve"> and </w:t>
      </w:r>
      <m:oMath>
        <m:r>
          <w:rPr>
            <w:rFonts w:ascii="Cambria Math" w:hAnsi="Cambria Math"/>
          </w:rPr>
          <m:t>w</m:t>
        </m:r>
      </m:oMath>
      <w:r w:rsidRPr="00ED2761">
        <w:t xml:space="preserve">, so the rectangle's area remains </w:t>
      </w:r>
      <m:oMath>
        <m:sSup>
          <m:sSupPr>
            <m:ctrlPr>
              <w:rPr>
                <w:rFonts w:ascii="Cambria Math" w:hAnsi="Cambria Math"/>
              </w:rPr>
            </m:ctrlPr>
          </m:sSupPr>
          <m:e>
            <m:r>
              <w:rPr>
                <w:rFonts w:ascii="Cambria Math" w:hAnsi="Cambria Math"/>
              </w:rPr>
              <m:t>s</m:t>
            </m:r>
          </m:e>
          <m:sup>
            <m:r>
              <w:rPr>
                <w:rFonts w:ascii="Cambria Math" w:hAnsi="Cambria Math"/>
              </w:rPr>
              <m:t>2</m:t>
            </m:r>
          </m:sup>
        </m:sSup>
      </m:oMath>
      <w:r w:rsidRPr="00ED2761">
        <w:t>.</w:t>
      </w:r>
    </w:p>
    <w:p w14:paraId="7A5C0F12" w14:textId="29DC7D83" w:rsidR="00ED2761" w:rsidRPr="00ED2761" w:rsidRDefault="00ED2761" w:rsidP="003462C3">
      <w:r w:rsidRPr="00ED2761">
        <w:lastRenderedPageBreak/>
        <w:drawing>
          <wp:inline distT="0" distB="0" distL="0" distR="0" wp14:anchorId="3FCDD08F" wp14:editId="773FEF11">
            <wp:extent cx="5943600" cy="4441190"/>
            <wp:effectExtent l="0" t="0" r="0" b="0"/>
            <wp:docPr id="924726095" name="Picture 12" descr="Dissection Puzzle Square Geometric Dissections Shape Rectangl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issection Puzzle Square Geometric Dissections Shape Rectangle 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41190"/>
                    </a:xfrm>
                    <a:prstGeom prst="rect">
                      <a:avLst/>
                    </a:prstGeom>
                    <a:noFill/>
                    <a:ln>
                      <a:noFill/>
                    </a:ln>
                  </pic:spPr>
                </pic:pic>
              </a:graphicData>
            </a:graphic>
          </wp:inline>
        </w:drawing>
      </w:r>
    </w:p>
    <w:p w14:paraId="38BB1C87" w14:textId="77777777" w:rsidR="00ED2761" w:rsidRDefault="00ED2761" w:rsidP="003462C3">
      <w:pPr>
        <w:pStyle w:val="Heading3"/>
      </w:pPr>
      <w:r w:rsidRPr="00ED2761">
        <w:t>7. Rearrangement for Area Comparison</w:t>
      </w:r>
    </w:p>
    <w:p w14:paraId="6C940B6B" w14:textId="0686EA7B"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422B99" w14:textId="77777777" w:rsidR="00ED2761" w:rsidRPr="00ED2761" w:rsidRDefault="00ED2761" w:rsidP="00ED2761">
      <w:r w:rsidRPr="00ED2761">
        <w:t>Two figures are dissected or rearranged to demonstrate that their areas are equal, even when their shapes differ.</w:t>
      </w:r>
    </w:p>
    <w:p w14:paraId="6E8F9480" w14:textId="77777777" w:rsidR="00ED2761" w:rsidRPr="00ED2761" w:rsidRDefault="00ED2761" w:rsidP="00ED2761">
      <w:r w:rsidRPr="00ED2761">
        <w:t>Example: Two differently shaped polygons are divided into congruent pieces, showing that both have the same total area.</w:t>
      </w:r>
    </w:p>
    <w:p w14:paraId="74CBD63E" w14:textId="5B276860" w:rsidR="00ED2761" w:rsidRPr="00ED2761" w:rsidRDefault="00ED2761" w:rsidP="003462C3">
      <w:r w:rsidRPr="00ED2761">
        <w:lastRenderedPageBreak/>
        <w:drawing>
          <wp:inline distT="0" distB="0" distL="0" distR="0" wp14:anchorId="55C6DD68" wp14:editId="2216F187">
            <wp:extent cx="5943600" cy="4805045"/>
            <wp:effectExtent l="0" t="0" r="0" b="0"/>
            <wp:docPr id="1206032960" name="Picture 11" descr="undergraduate education - Beautiful planar geometry theorems not encountered in high school - Mathematics Educator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undergraduate education - Beautiful planar geometry theorems not encountered in high school - Mathematics Educators Stack Exchan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05045"/>
                    </a:xfrm>
                    <a:prstGeom prst="rect">
                      <a:avLst/>
                    </a:prstGeom>
                    <a:noFill/>
                    <a:ln>
                      <a:noFill/>
                    </a:ln>
                  </pic:spPr>
                </pic:pic>
              </a:graphicData>
            </a:graphic>
          </wp:inline>
        </w:drawing>
      </w:r>
    </w:p>
    <w:p w14:paraId="4AE6FC10" w14:textId="77777777" w:rsidR="00ED2761" w:rsidRDefault="00ED2761" w:rsidP="003462C3">
      <w:pPr>
        <w:pStyle w:val="Heading3"/>
      </w:pPr>
      <w:r w:rsidRPr="00ED2761">
        <w:t>8. Dissection-Based Area-Preserving Rearrangement</w:t>
      </w:r>
    </w:p>
    <w:p w14:paraId="0A6BBBE4" w14:textId="6213C2D0"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60CF40" w14:textId="77777777" w:rsidR="00ED2761" w:rsidRPr="00ED2761" w:rsidRDefault="00ED2761" w:rsidP="00ED2761">
      <w:r w:rsidRPr="00ED2761">
        <w:t>A figure is cut into a finite collection of pieces, and the same pieces are rearranged to form a target figure.</w:t>
      </w:r>
    </w:p>
    <w:p w14:paraId="0EFB9123" w14:textId="77777777" w:rsidR="00ED2761" w:rsidRPr="00ED2761" w:rsidRDefault="00ED2761" w:rsidP="00ED2761">
      <w:r w:rsidRPr="00ED2761">
        <w:t>Example: A polygon is dissected into several triangles and quadrilaterals that are assembled into a rectangle without gaps or overlapping interiors.</w:t>
      </w:r>
    </w:p>
    <w:p w14:paraId="461FB798" w14:textId="61AD7E5E" w:rsidR="00ED2761" w:rsidRPr="00ED2761" w:rsidRDefault="00ED2761" w:rsidP="003462C3">
      <w:r w:rsidRPr="00ED2761">
        <w:lastRenderedPageBreak/>
        <w:drawing>
          <wp:inline distT="0" distB="0" distL="0" distR="0" wp14:anchorId="4928C85B" wp14:editId="0E6154A1">
            <wp:extent cx="5943600" cy="2320290"/>
            <wp:effectExtent l="0" t="0" r="0" b="3810"/>
            <wp:docPr id="1255506953" name="Picture 10" descr="6.1 Family Material | IL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6.1 Family Material | IL Classro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20290"/>
                    </a:xfrm>
                    <a:prstGeom prst="rect">
                      <a:avLst/>
                    </a:prstGeom>
                    <a:noFill/>
                    <a:ln>
                      <a:noFill/>
                    </a:ln>
                  </pic:spPr>
                </pic:pic>
              </a:graphicData>
            </a:graphic>
          </wp:inline>
        </w:drawing>
      </w:r>
    </w:p>
    <w:p w14:paraId="49D324C0" w14:textId="02800AC2" w:rsidR="00ED2761" w:rsidRDefault="00ED2761" w:rsidP="003462C3">
      <w:pPr>
        <w:pStyle w:val="Heading2"/>
      </w:pPr>
      <w:r w:rsidRPr="00ED2761">
        <w:t>Mathematical Principle</w:t>
      </w:r>
    </w:p>
    <w:p w14:paraId="51D6F58A" w14:textId="3E96909D"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35AE1F" w14:textId="0791AD5B" w:rsidR="00ED2761" w:rsidRPr="00ED2761" w:rsidRDefault="00ED2761" w:rsidP="00ED2761">
      <w:r w:rsidRPr="00ED2761">
        <w:t xml:space="preserve">Let a figure </w:t>
      </w:r>
      <m:oMath>
        <m:r>
          <w:rPr>
            <w:rFonts w:ascii="Cambria Math" w:hAnsi="Cambria Math"/>
          </w:rPr>
          <m:t>F</m:t>
        </m:r>
      </m:oMath>
      <w:r w:rsidRPr="00ED2761">
        <w:t xml:space="preserve"> be divided into </w:t>
      </w:r>
      <m:oMath>
        <m:r>
          <w:rPr>
            <w:rFonts w:ascii="Cambria Math" w:hAnsi="Cambria Math"/>
          </w:rPr>
          <m:t>n</m:t>
        </m:r>
      </m:oMath>
      <w:r w:rsidRPr="00ED2761">
        <w:t xml:space="preserve"> pieces:</w:t>
      </w:r>
    </w:p>
    <w:p w14:paraId="5A65A2F8" w14:textId="61AB19B2" w:rsidR="00ED2761" w:rsidRPr="00ED2761" w:rsidRDefault="005E6D36" w:rsidP="00ED2761">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14:paraId="0829D76B" w14:textId="7C21B464" w:rsidR="00ED2761" w:rsidRPr="00ED2761" w:rsidRDefault="00ED2761" w:rsidP="00ED2761">
      <w:r w:rsidRPr="00ED2761">
        <w:t xml:space="preserve">Suppose the same pieces are rearranged to form a new figure </w:t>
      </w:r>
      <m:oMath>
        <m:r>
          <w:rPr>
            <w:rFonts w:ascii="Cambria Math" w:hAnsi="Cambria Math"/>
          </w:rPr>
          <m:t>G</m:t>
        </m:r>
      </m:oMath>
      <w:r w:rsidRPr="00ED2761">
        <w:t>:</w:t>
      </w:r>
    </w:p>
    <w:p w14:paraId="4839D6BF" w14:textId="3C5AC215" w:rsidR="00ED2761" w:rsidRPr="00ED2761" w:rsidRDefault="005E6D36" w:rsidP="00ED2761">
      <m:oMathPara>
        <m:oMath>
          <m:r>
            <w:rPr>
              <w:rFonts w:ascii="Cambria Math" w:hAnsi="Cambria Math"/>
            </w:rPr>
            <m:t>G=</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m:oMathPara>
    </w:p>
    <w:p w14:paraId="6DF04409" w14:textId="77777777" w:rsidR="00ED2761" w:rsidRPr="00ED2761" w:rsidRDefault="00ED2761" w:rsidP="00ED2761">
      <w:r w:rsidRPr="00ED2761">
        <w:t>If every piece retains its area and the pieces cover both figures exactly, then</w:t>
      </w:r>
    </w:p>
    <w:p w14:paraId="356F07A1" w14:textId="5CB9C137" w:rsidR="00ED2761" w:rsidRPr="00ED2761" w:rsidRDefault="005E6D36" w:rsidP="00ED2761">
      <m:oMathPara>
        <m:oMath>
          <m:borderBox>
            <m:borderBoxPr>
              <m:ctrlPr>
                <w:rPr>
                  <w:rFonts w:ascii="Cambria Math" w:hAnsi="Cambria Math"/>
                </w:rPr>
              </m:ctrlPr>
            </m:borderBoxPr>
            <m:e>
              <m:r>
                <w:rPr>
                  <w:rFonts w:ascii="Cambria Math" w:hAnsi="Cambria Math"/>
                </w:rPr>
                <m:t>A</m:t>
              </m:r>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r>
                    <w:rPr>
                      <w:rFonts w:ascii="Cambria Math" w:hAnsi="Cambria Math"/>
                    </w:rPr>
                    <m:t>G</m:t>
                  </m:r>
                </m:e>
              </m:d>
            </m:e>
          </m:borderBox>
        </m:oMath>
      </m:oMathPara>
    </w:p>
    <w:p w14:paraId="7F8476CA" w14:textId="77777777" w:rsidR="00ED2761" w:rsidRPr="00ED2761" w:rsidRDefault="00ED2761" w:rsidP="00ED2761">
      <w:r w:rsidRPr="00ED2761">
        <w:t>Equivalently,</w:t>
      </w:r>
    </w:p>
    <w:p w14:paraId="17CE1248" w14:textId="341BCA3D" w:rsidR="00ED2761" w:rsidRPr="00ED2761" w:rsidRDefault="005E6D36" w:rsidP="00ED2761">
      <m:oMathPara>
        <m:oMath>
          <m:borderBox>
            <m:borderBoxPr>
              <m:ctrlPr>
                <w:rPr>
                  <w:rFonts w:ascii="Cambria Math" w:hAnsi="Cambria Math"/>
                </w:rPr>
              </m:ctrlPr>
            </m:borderBoxPr>
            <m:e>
              <m:r>
                <w:rPr>
                  <w:rFonts w:ascii="Cambria Math" w:hAnsi="Cambria Math"/>
                </w:rPr>
                <m:t>A</m:t>
              </m:r>
              <m:d>
                <m:dPr>
                  <m:ctrlPr>
                    <w:rPr>
                      <w:rFonts w:ascii="Cambria Math" w:hAnsi="Cambria Math"/>
                    </w:rPr>
                  </m:ctrlPr>
                </m:dPr>
                <m:e>
                  <m:r>
                    <w:rPr>
                      <w:rFonts w:ascii="Cambria Math" w:hAnsi="Cambria Math"/>
                    </w:rPr>
                    <m:t>F</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A</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=A</m:t>
              </m:r>
              <m:d>
                <m:dPr>
                  <m:ctrlPr>
                    <w:rPr>
                      <w:rFonts w:ascii="Cambria Math" w:hAnsi="Cambria Math"/>
                    </w:rPr>
                  </m:ctrlPr>
                </m:dPr>
                <m:e>
                  <m:r>
                    <w:rPr>
                      <w:rFonts w:ascii="Cambria Math" w:hAnsi="Cambria Math"/>
                    </w:rPr>
                    <m:t>G</m:t>
                  </m:r>
                </m:e>
              </m:d>
            </m:e>
          </m:borderBox>
        </m:oMath>
      </m:oMathPara>
    </w:p>
    <w:p w14:paraId="57A0010A" w14:textId="77777777" w:rsidR="00ED2761" w:rsidRPr="00ED2761" w:rsidRDefault="00ED2761" w:rsidP="00ED2761">
      <w:r w:rsidRPr="00ED2761">
        <w:t>This is the fundamental principle of area-preserving rearrangement.</w:t>
      </w:r>
    </w:p>
    <w:p w14:paraId="3054AEE8" w14:textId="70EC973B" w:rsidR="00ED2761" w:rsidRDefault="00ED2761" w:rsidP="003462C3">
      <w:pPr>
        <w:pStyle w:val="Heading2"/>
      </w:pPr>
      <w:r w:rsidRPr="00ED2761">
        <w:t>Detailed Mathematical Example</w:t>
      </w:r>
    </w:p>
    <w:p w14:paraId="5290E983" w14:textId="1C5B2228"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C6BEB1" w14:textId="47865387" w:rsidR="00ED2761" w:rsidRPr="00ED2761" w:rsidRDefault="00ED2761" w:rsidP="00ED2761">
      <w:r w:rsidRPr="00ED2761">
        <w:t xml:space="preserve">Consider a parallelogram with base </w:t>
      </w:r>
      <m:oMath>
        <m:r>
          <w:rPr>
            <w:rFonts w:ascii="Cambria Math" w:hAnsi="Cambria Math"/>
          </w:rPr>
          <m:t>b=8</m:t>
        </m:r>
      </m:oMath>
      <w:r w:rsidRPr="00ED2761">
        <w:t xml:space="preserve"> units and perpendicular height </w:t>
      </w:r>
      <m:oMath>
        <m:r>
          <w:rPr>
            <w:rFonts w:ascii="Cambria Math" w:hAnsi="Cambria Math"/>
          </w:rPr>
          <m:t>h=5</m:t>
        </m:r>
      </m:oMath>
      <w:r w:rsidRPr="00ED2761">
        <w:t xml:space="preserve"> units.</w:t>
      </w:r>
    </w:p>
    <w:p w14:paraId="528E5FEC" w14:textId="77777777" w:rsidR="00ED2761" w:rsidRPr="00ED2761" w:rsidRDefault="00ED2761" w:rsidP="00ED2761">
      <w:r w:rsidRPr="00ED2761">
        <w:lastRenderedPageBreak/>
        <w:t>Its area is</w:t>
      </w:r>
    </w:p>
    <w:p w14:paraId="3B02AF7C" w14:textId="3FAFC872" w:rsidR="00ED2761" w:rsidRPr="00ED2761" w:rsidRDefault="005E6D36" w:rsidP="00ED2761">
      <m:oMathPara>
        <m:oMath>
          <m:sSub>
            <m:sSubPr>
              <m:ctrlPr>
                <w:rPr>
                  <w:rFonts w:ascii="Cambria Math" w:hAnsi="Cambria Math"/>
                </w:rPr>
              </m:ctrlPr>
            </m:sSubPr>
            <m:e>
              <m:r>
                <w:rPr>
                  <w:rFonts w:ascii="Cambria Math" w:hAnsi="Cambria Math"/>
                </w:rPr>
                <m:t>A</m:t>
              </m:r>
            </m:e>
            <m:sub>
              <m:r>
                <m:rPr>
                  <m:nor/>
                </m:rPr>
                <w:rPr>
                  <w:rFonts w:ascii="Cambria Math" w:hAnsi="Cambria Math"/>
                </w:rPr>
                <m:t>parallelogram</m:t>
              </m:r>
            </m:sub>
          </m:sSub>
          <m:r>
            <w:rPr>
              <w:rFonts w:ascii="Cambria Math" w:hAnsi="Cambria Math"/>
            </w:rPr>
            <m:t>=bh</m:t>
          </m:r>
        </m:oMath>
      </m:oMathPara>
    </w:p>
    <w:p w14:paraId="7112FE36" w14:textId="58D2D191" w:rsidR="00ED2761" w:rsidRPr="00ED2761" w:rsidRDefault="005E6D36" w:rsidP="00ED2761">
      <m:oMathPara>
        <m:oMath>
          <m:sSub>
            <m:sSubPr>
              <m:ctrlPr>
                <w:rPr>
                  <w:rFonts w:ascii="Cambria Math" w:hAnsi="Cambria Math"/>
                </w:rPr>
              </m:ctrlPr>
            </m:sSubPr>
            <m:e>
              <m:r>
                <w:rPr>
                  <w:rFonts w:ascii="Cambria Math" w:hAnsi="Cambria Math"/>
                </w:rPr>
                <m:t>A</m:t>
              </m:r>
            </m:e>
            <m:sub>
              <m:r>
                <m:rPr>
                  <m:nor/>
                </m:rPr>
                <w:rPr>
                  <w:rFonts w:ascii="Cambria Math" w:hAnsi="Cambria Math"/>
                </w:rPr>
                <m:t>parallelogram</m:t>
              </m:r>
            </m:sub>
          </m:sSub>
          <m:r>
            <w:rPr>
              <w:rFonts w:ascii="Cambria Math" w:hAnsi="Cambria Math"/>
            </w:rPr>
            <m:t>=8</m:t>
          </m:r>
          <m:d>
            <m:dPr>
              <m:ctrlPr>
                <w:rPr>
                  <w:rFonts w:ascii="Cambria Math" w:hAnsi="Cambria Math"/>
                </w:rPr>
              </m:ctrlPr>
            </m:dPr>
            <m:e>
              <m:r>
                <w:rPr>
                  <w:rFonts w:ascii="Cambria Math" w:hAnsi="Cambria Math"/>
                </w:rPr>
                <m:t>5</m:t>
              </m:r>
            </m:e>
          </m:d>
          <m:r>
            <w:rPr>
              <w:rFonts w:ascii="Cambria Math" w:hAnsi="Cambria Math"/>
            </w:rPr>
            <m:t>=40</m:t>
          </m:r>
        </m:oMath>
      </m:oMathPara>
    </w:p>
    <w:p w14:paraId="00AF597A" w14:textId="77777777" w:rsidR="00ED2761" w:rsidRPr="00ED2761" w:rsidRDefault="00ED2761" w:rsidP="00ED2761">
      <w:r w:rsidRPr="00ED2761">
        <w:t>Cut a triangular section from one end and move it to the opposite end to form a rectangle with the same base and height.</w:t>
      </w:r>
    </w:p>
    <w:p w14:paraId="62085A89" w14:textId="77777777" w:rsidR="00ED2761" w:rsidRPr="00ED2761" w:rsidRDefault="00ED2761" w:rsidP="00ED2761">
      <w:r w:rsidRPr="00ED2761">
        <w:t>The rectangle's area is</w:t>
      </w:r>
    </w:p>
    <w:p w14:paraId="758622F8" w14:textId="69733355" w:rsidR="00ED2761" w:rsidRPr="00ED2761" w:rsidRDefault="005E6D36" w:rsidP="00ED2761">
      <m:oMathPara>
        <m:oMath>
          <m:sSub>
            <m:sSubPr>
              <m:ctrlPr>
                <w:rPr>
                  <w:rFonts w:ascii="Cambria Math" w:hAnsi="Cambria Math"/>
                </w:rPr>
              </m:ctrlPr>
            </m:sSubPr>
            <m:e>
              <m:r>
                <w:rPr>
                  <w:rFonts w:ascii="Cambria Math" w:hAnsi="Cambria Math"/>
                </w:rPr>
                <m:t>A</m:t>
              </m:r>
            </m:e>
            <m:sub>
              <m:r>
                <m:rPr>
                  <m:nor/>
                </m:rPr>
                <w:rPr>
                  <w:rFonts w:ascii="Cambria Math" w:hAnsi="Cambria Math"/>
                </w:rPr>
                <m:t>rectangle</m:t>
              </m:r>
            </m:sub>
          </m:sSub>
          <m:r>
            <w:rPr>
              <w:rFonts w:ascii="Cambria Math" w:hAnsi="Cambria Math"/>
            </w:rPr>
            <m:t>=bh=8</m:t>
          </m:r>
          <m:d>
            <m:dPr>
              <m:ctrlPr>
                <w:rPr>
                  <w:rFonts w:ascii="Cambria Math" w:hAnsi="Cambria Math"/>
                </w:rPr>
              </m:ctrlPr>
            </m:dPr>
            <m:e>
              <m:r>
                <w:rPr>
                  <w:rFonts w:ascii="Cambria Math" w:hAnsi="Cambria Math"/>
                </w:rPr>
                <m:t>5</m:t>
              </m:r>
            </m:e>
          </m:d>
          <m:r>
            <w:rPr>
              <w:rFonts w:ascii="Cambria Math" w:hAnsi="Cambria Math"/>
            </w:rPr>
            <m:t>=40</m:t>
          </m:r>
        </m:oMath>
      </m:oMathPara>
    </w:p>
    <w:p w14:paraId="35F86A4C" w14:textId="77777777" w:rsidR="00ED2761" w:rsidRPr="00ED2761" w:rsidRDefault="00ED2761" w:rsidP="00ED2761">
      <w:r w:rsidRPr="00ED2761">
        <w:t>Therefore,</w:t>
      </w:r>
    </w:p>
    <w:p w14:paraId="1612B629" w14:textId="2342ABF2" w:rsidR="00ED2761" w:rsidRPr="00ED2761" w:rsidRDefault="005E6D36" w:rsidP="00ED276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parallelogram</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rectangle</m:t>
                  </m:r>
                </m:sub>
              </m:sSub>
              <m:r>
                <w:rPr>
                  <w:rFonts w:ascii="Cambria Math" w:hAnsi="Cambria Math"/>
                </w:rPr>
                <m:t>=40</m:t>
              </m:r>
            </m:e>
          </m:borderBox>
        </m:oMath>
      </m:oMathPara>
    </w:p>
    <w:p w14:paraId="66E3007C" w14:textId="77777777" w:rsidR="00ED2761" w:rsidRPr="00ED2761" w:rsidRDefault="00ED2761" w:rsidP="00ED2761">
      <w:r w:rsidRPr="00ED2761">
        <w:t>The rearrangement changes the outer shape but preserves the total area.</w:t>
      </w:r>
    </w:p>
    <w:p w14:paraId="2D967ABA" w14:textId="366E4BAD" w:rsidR="00ED2761" w:rsidRDefault="00ED2761" w:rsidP="003462C3">
      <w:pPr>
        <w:pStyle w:val="Heading2"/>
      </w:pPr>
      <w:r w:rsidRPr="00ED2761">
        <w:t>Properties of Area-Preserving Rearrangement</w:t>
      </w:r>
    </w:p>
    <w:p w14:paraId="72772BAC" w14:textId="60D356C6"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EEF7B5" w14:textId="77777777" w:rsidR="00ED2761" w:rsidRPr="00ED2761" w:rsidRDefault="00ED2761" w:rsidP="00ED2761">
      <w:pPr>
        <w:numPr>
          <w:ilvl w:val="0"/>
          <w:numId w:val="1"/>
        </w:numPr>
      </w:pPr>
      <w:r w:rsidRPr="00ED2761">
        <w:t>Area conservation: The total area remains unchanged.</w:t>
      </w:r>
    </w:p>
    <w:p w14:paraId="6AA18ED4" w14:textId="77777777" w:rsidR="00ED2761" w:rsidRPr="00ED2761" w:rsidRDefault="00ED2761" w:rsidP="00ED2761">
      <w:pPr>
        <w:numPr>
          <w:ilvl w:val="0"/>
          <w:numId w:val="1"/>
        </w:numPr>
      </w:pPr>
      <w:r w:rsidRPr="00ED2761">
        <w:t>Piece preservation: The same pieces are used before and after rearrangement.</w:t>
      </w:r>
    </w:p>
    <w:p w14:paraId="52F13E12" w14:textId="77777777" w:rsidR="00ED2761" w:rsidRPr="00ED2761" w:rsidRDefault="00ED2761" w:rsidP="00ED2761">
      <w:pPr>
        <w:numPr>
          <w:ilvl w:val="0"/>
          <w:numId w:val="1"/>
        </w:numPr>
      </w:pPr>
      <w:r w:rsidRPr="00ED2761">
        <w:t>Shape flexibility: The final figure may have a different shape from the original.</w:t>
      </w:r>
    </w:p>
    <w:p w14:paraId="0BE722CA" w14:textId="77777777" w:rsidR="00ED2761" w:rsidRPr="00ED2761" w:rsidRDefault="00ED2761" w:rsidP="00ED2761">
      <w:pPr>
        <w:numPr>
          <w:ilvl w:val="0"/>
          <w:numId w:val="1"/>
        </w:numPr>
      </w:pPr>
      <w:r w:rsidRPr="00ED2761">
        <w:t>Size flexibility: The overall dimensions and perimeter may change.</w:t>
      </w:r>
    </w:p>
    <w:p w14:paraId="3D2E6897" w14:textId="77777777" w:rsidR="00ED2761" w:rsidRPr="00ED2761" w:rsidRDefault="00ED2761" w:rsidP="00ED2761">
      <w:pPr>
        <w:numPr>
          <w:ilvl w:val="0"/>
          <w:numId w:val="1"/>
        </w:numPr>
      </w:pPr>
      <w:r w:rsidRPr="00ED2761">
        <w:t>Rigid-motion compatibility: Translation, rotation, and reflection preserve the area of each piece.</w:t>
      </w:r>
    </w:p>
    <w:p w14:paraId="386F2E17" w14:textId="77777777" w:rsidR="00ED2761" w:rsidRPr="00ED2761" w:rsidRDefault="00ED2761" w:rsidP="00ED2761">
      <w:pPr>
        <w:numPr>
          <w:ilvl w:val="0"/>
          <w:numId w:val="1"/>
        </w:numPr>
      </w:pPr>
      <w:r w:rsidRPr="00ED2761">
        <w:t>Exact coverage: A valid dissection must cover the target without gaps or overlapping interiors.</w:t>
      </w:r>
    </w:p>
    <w:p w14:paraId="1C47FBE7" w14:textId="77777777" w:rsidR="00ED2761" w:rsidRPr="00ED2761" w:rsidRDefault="00ED2761" w:rsidP="00ED2761">
      <w:pPr>
        <w:numPr>
          <w:ilvl w:val="0"/>
          <w:numId w:val="1"/>
        </w:numPr>
      </w:pPr>
      <w:r w:rsidRPr="00ED2761">
        <w:t>Area proof: Rearrangement can demonstrate area formulas and equal-area relationships.</w:t>
      </w:r>
    </w:p>
    <w:p w14:paraId="109794B4" w14:textId="77777777" w:rsidR="00ED2761" w:rsidRPr="00ED2761" w:rsidRDefault="00ED2761" w:rsidP="00ED2761">
      <w:pPr>
        <w:numPr>
          <w:ilvl w:val="0"/>
          <w:numId w:val="1"/>
        </w:numPr>
      </w:pPr>
      <w:r w:rsidRPr="00ED2761">
        <w:lastRenderedPageBreak/>
        <w:t>Perimeter variation: Equal-area figures do not necessarily have equal perimeters.</w:t>
      </w:r>
    </w:p>
    <w:p w14:paraId="22307151" w14:textId="200D144A" w:rsidR="00ED2761" w:rsidRDefault="00ED2761" w:rsidP="003462C3">
      <w:pPr>
        <w:pStyle w:val="Heading2"/>
      </w:pPr>
      <w:r w:rsidRPr="00ED2761">
        <w:t>Area-Preserving Rearrangement vs. Related Concepts</w:t>
      </w:r>
    </w:p>
    <w:p w14:paraId="1ECFD643" w14:textId="265B913F" w:rsidR="003462C3" w:rsidRDefault="003462C3" w:rsidP="003462C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B50992" w14:textId="726F9078" w:rsidR="005E6D36" w:rsidRPr="003462C3" w:rsidRDefault="005E6D36" w:rsidP="003462C3">
      <w:r>
        <w:rPr>
          <w:noProof/>
        </w:rPr>
        <w:drawing>
          <wp:inline distT="0" distB="0" distL="0" distR="0" wp14:anchorId="1EE08BBD" wp14:editId="1D437086">
            <wp:extent cx="5943600" cy="1931670"/>
            <wp:effectExtent l="0" t="0" r="0" b="0"/>
            <wp:docPr id="1268423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316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5990"/>
      </w:tblGrid>
      <w:tr w:rsidR="00ED2761" w:rsidRPr="00ED2761" w14:paraId="5C10C127" w14:textId="77777777">
        <w:trPr>
          <w:tblCellSpacing w:w="15" w:type="dxa"/>
        </w:trPr>
        <w:tc>
          <w:tcPr>
            <w:tcW w:w="0" w:type="auto"/>
            <w:vAlign w:val="center"/>
            <w:hideMark/>
          </w:tcPr>
          <w:p w14:paraId="3778058C" w14:textId="77777777" w:rsidR="00ED2761" w:rsidRPr="00ED2761" w:rsidRDefault="00ED2761" w:rsidP="00ED2761">
            <w:pPr>
              <w:rPr>
                <w:b/>
                <w:bCs/>
              </w:rPr>
            </w:pPr>
            <w:r w:rsidRPr="00ED2761">
              <w:rPr>
                <w:b/>
                <w:bCs/>
              </w:rPr>
              <w:t>Concept</w:t>
            </w:r>
          </w:p>
        </w:tc>
        <w:tc>
          <w:tcPr>
            <w:tcW w:w="0" w:type="auto"/>
            <w:vAlign w:val="center"/>
            <w:hideMark/>
          </w:tcPr>
          <w:p w14:paraId="12798C87" w14:textId="77777777" w:rsidR="00ED2761" w:rsidRPr="00ED2761" w:rsidRDefault="00ED2761" w:rsidP="00ED2761">
            <w:pPr>
              <w:rPr>
                <w:b/>
                <w:bCs/>
              </w:rPr>
            </w:pPr>
            <w:r w:rsidRPr="00ED2761">
              <w:rPr>
                <w:b/>
                <w:bCs/>
              </w:rPr>
              <w:t>Meaning</w:t>
            </w:r>
          </w:p>
        </w:tc>
      </w:tr>
      <w:tr w:rsidR="00ED2761" w:rsidRPr="00ED2761" w14:paraId="4C14EEDA" w14:textId="77777777">
        <w:trPr>
          <w:tblCellSpacing w:w="15" w:type="dxa"/>
        </w:trPr>
        <w:tc>
          <w:tcPr>
            <w:tcW w:w="0" w:type="auto"/>
            <w:vAlign w:val="center"/>
            <w:hideMark/>
          </w:tcPr>
          <w:p w14:paraId="09CED228" w14:textId="77777777" w:rsidR="00ED2761" w:rsidRPr="00ED2761" w:rsidRDefault="00ED2761" w:rsidP="00ED2761">
            <w:r w:rsidRPr="00ED2761">
              <w:t>Area-preserving rearrangement</w:t>
            </w:r>
          </w:p>
        </w:tc>
        <w:tc>
          <w:tcPr>
            <w:tcW w:w="0" w:type="auto"/>
            <w:vAlign w:val="center"/>
            <w:hideMark/>
          </w:tcPr>
          <w:p w14:paraId="5E610BF7" w14:textId="77777777" w:rsidR="00ED2761" w:rsidRPr="00ED2761" w:rsidRDefault="00ED2761" w:rsidP="00ED2761">
            <w:r w:rsidRPr="00ED2761">
              <w:t>Rearranges pieces while preserving total area</w:t>
            </w:r>
          </w:p>
        </w:tc>
      </w:tr>
      <w:tr w:rsidR="00ED2761" w:rsidRPr="00ED2761" w14:paraId="67FA0BED" w14:textId="77777777">
        <w:trPr>
          <w:tblCellSpacing w:w="15" w:type="dxa"/>
        </w:trPr>
        <w:tc>
          <w:tcPr>
            <w:tcW w:w="0" w:type="auto"/>
            <w:vAlign w:val="center"/>
            <w:hideMark/>
          </w:tcPr>
          <w:p w14:paraId="5A1BFF27" w14:textId="77777777" w:rsidR="00ED2761" w:rsidRPr="00ED2761" w:rsidRDefault="00ED2761" w:rsidP="00ED2761">
            <w:r w:rsidRPr="00ED2761">
              <w:t>Shape-forming rearrangement</w:t>
            </w:r>
          </w:p>
        </w:tc>
        <w:tc>
          <w:tcPr>
            <w:tcW w:w="0" w:type="auto"/>
            <w:vAlign w:val="center"/>
            <w:hideMark/>
          </w:tcPr>
          <w:p w14:paraId="7F1872D3" w14:textId="77777777" w:rsidR="00ED2761" w:rsidRPr="00ED2761" w:rsidRDefault="00ED2761" w:rsidP="00ED2761">
            <w:r w:rsidRPr="00ED2761">
              <w:t>Focuses on creating a desired target shape</w:t>
            </w:r>
          </w:p>
        </w:tc>
      </w:tr>
      <w:tr w:rsidR="00ED2761" w:rsidRPr="00ED2761" w14:paraId="4CB45857" w14:textId="77777777">
        <w:trPr>
          <w:tblCellSpacing w:w="15" w:type="dxa"/>
        </w:trPr>
        <w:tc>
          <w:tcPr>
            <w:tcW w:w="0" w:type="auto"/>
            <w:vAlign w:val="center"/>
            <w:hideMark/>
          </w:tcPr>
          <w:p w14:paraId="7EA865ED" w14:textId="77777777" w:rsidR="00ED2761" w:rsidRPr="00ED2761" w:rsidRDefault="00ED2761" w:rsidP="00ED2761">
            <w:r w:rsidRPr="00ED2761">
              <w:t>Piece-reordering rearrangement</w:t>
            </w:r>
          </w:p>
        </w:tc>
        <w:tc>
          <w:tcPr>
            <w:tcW w:w="0" w:type="auto"/>
            <w:vAlign w:val="center"/>
            <w:hideMark/>
          </w:tcPr>
          <w:p w14:paraId="1D5B2558" w14:textId="77777777" w:rsidR="00ED2761" w:rsidRPr="00ED2761" w:rsidRDefault="00ED2761" w:rsidP="00ED2761">
            <w:r w:rsidRPr="00ED2761">
              <w:t>Focuses on changing the order or placement of pieces</w:t>
            </w:r>
          </w:p>
        </w:tc>
      </w:tr>
      <w:tr w:rsidR="00ED2761" w:rsidRPr="00ED2761" w14:paraId="55223C5F" w14:textId="77777777">
        <w:trPr>
          <w:tblCellSpacing w:w="15" w:type="dxa"/>
        </w:trPr>
        <w:tc>
          <w:tcPr>
            <w:tcW w:w="0" w:type="auto"/>
            <w:vAlign w:val="center"/>
            <w:hideMark/>
          </w:tcPr>
          <w:p w14:paraId="3DADE45D" w14:textId="77777777" w:rsidR="00ED2761" w:rsidRPr="00ED2761" w:rsidRDefault="00ED2761" w:rsidP="00ED2761">
            <w:r w:rsidRPr="00ED2761">
              <w:t>Geometric dissection</w:t>
            </w:r>
          </w:p>
        </w:tc>
        <w:tc>
          <w:tcPr>
            <w:tcW w:w="0" w:type="auto"/>
            <w:vAlign w:val="center"/>
            <w:hideMark/>
          </w:tcPr>
          <w:p w14:paraId="531E86B2" w14:textId="77777777" w:rsidR="00ED2761" w:rsidRPr="00ED2761" w:rsidRDefault="00ED2761" w:rsidP="00ED2761">
            <w:r w:rsidRPr="00ED2761">
              <w:t>Divides a figure into smaller pieces</w:t>
            </w:r>
          </w:p>
        </w:tc>
      </w:tr>
      <w:tr w:rsidR="00ED2761" w:rsidRPr="00ED2761" w14:paraId="657CEF68" w14:textId="77777777">
        <w:trPr>
          <w:tblCellSpacing w:w="15" w:type="dxa"/>
        </w:trPr>
        <w:tc>
          <w:tcPr>
            <w:tcW w:w="0" w:type="auto"/>
            <w:vAlign w:val="center"/>
            <w:hideMark/>
          </w:tcPr>
          <w:p w14:paraId="1D72DCF5" w14:textId="77777777" w:rsidR="00ED2761" w:rsidRPr="00ED2761" w:rsidRDefault="00ED2761" w:rsidP="00ED2761">
            <w:r w:rsidRPr="00ED2761">
              <w:t>Congruent transformation</w:t>
            </w:r>
          </w:p>
        </w:tc>
        <w:tc>
          <w:tcPr>
            <w:tcW w:w="0" w:type="auto"/>
            <w:vAlign w:val="center"/>
            <w:hideMark/>
          </w:tcPr>
          <w:p w14:paraId="5A9371AD" w14:textId="77777777" w:rsidR="00ED2761" w:rsidRPr="00ED2761" w:rsidRDefault="00ED2761" w:rsidP="00ED2761">
            <w:r w:rsidRPr="00ED2761">
              <w:t>Preserves lengths and angles as well as area</w:t>
            </w:r>
          </w:p>
        </w:tc>
      </w:tr>
      <w:tr w:rsidR="00ED2761" w:rsidRPr="00ED2761" w14:paraId="555AC90F" w14:textId="77777777">
        <w:trPr>
          <w:tblCellSpacing w:w="15" w:type="dxa"/>
        </w:trPr>
        <w:tc>
          <w:tcPr>
            <w:tcW w:w="0" w:type="auto"/>
            <w:vAlign w:val="center"/>
            <w:hideMark/>
          </w:tcPr>
          <w:p w14:paraId="04F968C3" w14:textId="77777777" w:rsidR="00ED2761" w:rsidRPr="00ED2761" w:rsidRDefault="00ED2761" w:rsidP="00ED2761">
            <w:r w:rsidRPr="00ED2761">
              <w:t>Equal-area figures</w:t>
            </w:r>
          </w:p>
        </w:tc>
        <w:tc>
          <w:tcPr>
            <w:tcW w:w="0" w:type="auto"/>
            <w:vAlign w:val="center"/>
            <w:hideMark/>
          </w:tcPr>
          <w:p w14:paraId="6F34BD9B" w14:textId="77777777" w:rsidR="00ED2761" w:rsidRPr="00ED2761" w:rsidRDefault="00ED2761" w:rsidP="00ED2761">
            <w:r w:rsidRPr="00ED2761">
              <w:t>Figures whose areas are equal, whether or not a dissection is used</w:t>
            </w:r>
          </w:p>
        </w:tc>
      </w:tr>
    </w:tbl>
    <w:p w14:paraId="16E03811" w14:textId="77777777" w:rsidR="00ED2761" w:rsidRPr="00ED2761" w:rsidRDefault="00ED2761" w:rsidP="00ED2761">
      <w:r w:rsidRPr="00ED2761">
        <w:t>Important distinction: Area preservation is a property of the rearrangement, whereas shape-forming describes its objective. A single rearrangement can be both area-preserving and shape-forming.</w:t>
      </w:r>
    </w:p>
    <w:p w14:paraId="32D3A211" w14:textId="317474FF" w:rsidR="00ED2761" w:rsidRDefault="00ED2761" w:rsidP="003462C3">
      <w:pPr>
        <w:pStyle w:val="Heading2"/>
      </w:pPr>
      <w:r w:rsidRPr="00ED2761">
        <w:lastRenderedPageBreak/>
        <w:t>Classification Summary</w:t>
      </w:r>
    </w:p>
    <w:p w14:paraId="248BFE00" w14:textId="299C0FA8" w:rsidR="003462C3" w:rsidRDefault="003462C3" w:rsidP="003462C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B813FF" w14:textId="2D8AFA8D" w:rsidR="006C026B" w:rsidRPr="003462C3" w:rsidRDefault="006C026B" w:rsidP="003462C3">
      <w:r>
        <w:rPr>
          <w:noProof/>
        </w:rPr>
        <w:drawing>
          <wp:inline distT="0" distB="0" distL="0" distR="0" wp14:anchorId="2CAFA51D" wp14:editId="75EFB597">
            <wp:extent cx="5943600" cy="2058035"/>
            <wp:effectExtent l="0" t="0" r="0" b="0"/>
            <wp:docPr id="3439523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BFD415C" w14:textId="77777777" w:rsidR="00ED2761" w:rsidRPr="00ED2761" w:rsidRDefault="00ED2761" w:rsidP="00ED2761">
      <w:r w:rsidRPr="00ED2761">
        <w:t>Geometric Figure Rearrangement</w:t>
      </w:r>
    </w:p>
    <w:p w14:paraId="3DC168CC" w14:textId="77777777" w:rsidR="00ED2761" w:rsidRPr="00ED2761" w:rsidRDefault="00ED2761" w:rsidP="00ED2761">
      <w:r w:rsidRPr="00ED2761">
        <w:rPr>
          <w:rFonts w:ascii="MS Gothic" w:eastAsia="MS Gothic" w:hAnsi="MS Gothic" w:cs="MS Gothic" w:hint="eastAsia"/>
        </w:rPr>
        <w:t>└──</w:t>
      </w:r>
      <w:r w:rsidRPr="00ED2761">
        <w:t xml:space="preserve"> Area-Preserving Rearrangement</w:t>
      </w:r>
    </w:p>
    <w:p w14:paraId="3FDE360C"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1. Polygon-to-Rectangle Rearrangement</w:t>
      </w:r>
    </w:p>
    <w:p w14:paraId="4ACC3F54"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2. Triangle-to-Parallelogram Rearrangement</w:t>
      </w:r>
    </w:p>
    <w:p w14:paraId="18A6529C"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3. Parallelogram-to-Rectangle Rearrangement</w:t>
      </w:r>
    </w:p>
    <w:p w14:paraId="3FBBDD06"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4. Trapezoid-to-Parallelogram Rearrangement</w:t>
      </w:r>
    </w:p>
    <w:p w14:paraId="251B0B6B"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5. Polygon-to-Triangle Rearrangement</w:t>
      </w:r>
    </w:p>
    <w:p w14:paraId="1991D25A"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6. Square-to-Rectangle Rearrangement</w:t>
      </w:r>
    </w:p>
    <w:p w14:paraId="0A3F8F4E"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7. Rearrangement for Area Comparison</w:t>
      </w:r>
    </w:p>
    <w:p w14:paraId="43695730" w14:textId="77777777" w:rsidR="00ED2761" w:rsidRPr="00ED2761" w:rsidRDefault="00ED2761" w:rsidP="00ED2761">
      <w:r w:rsidRPr="00ED2761">
        <w:t xml:space="preserve">    </w:t>
      </w:r>
      <w:r w:rsidRPr="00ED2761">
        <w:rPr>
          <w:rFonts w:ascii="MS Gothic" w:eastAsia="MS Gothic" w:hAnsi="MS Gothic" w:cs="MS Gothic" w:hint="eastAsia"/>
        </w:rPr>
        <w:t>└──</w:t>
      </w:r>
      <w:r w:rsidRPr="00ED2761">
        <w:t xml:space="preserve"> 8. Dissection-Based Area-Preserving Rearrangement</w:t>
      </w:r>
    </w:p>
    <w:p w14:paraId="3B429A97" w14:textId="77777777" w:rsidR="00ED2761" w:rsidRPr="00ED2761" w:rsidRDefault="00ED2761" w:rsidP="00ED2761">
      <w:r w:rsidRPr="00ED2761">
        <w:t>These are practical descriptive categories rather than mutually exclusive or universally standardized mathematical classes.</w:t>
      </w:r>
    </w:p>
    <w:p w14:paraId="053157A5" w14:textId="4E2369D9" w:rsidR="00ED2761" w:rsidRDefault="00ED2761" w:rsidP="003462C3">
      <w:pPr>
        <w:pStyle w:val="Heading2"/>
      </w:pPr>
      <w:r w:rsidRPr="00ED2761">
        <w:t>Key Points</w:t>
      </w:r>
    </w:p>
    <w:p w14:paraId="318F9D6C" w14:textId="2F38D0CF"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FBFEAD" w14:textId="77777777" w:rsidR="00ED2761" w:rsidRPr="00ED2761" w:rsidRDefault="00ED2761" w:rsidP="00ED2761">
      <w:pPr>
        <w:numPr>
          <w:ilvl w:val="0"/>
          <w:numId w:val="2"/>
        </w:numPr>
      </w:pPr>
      <w:r w:rsidRPr="00ED2761">
        <w:t>Area-preserving rearrangement demonstrates that different shapes can have equal areas.</w:t>
      </w:r>
    </w:p>
    <w:p w14:paraId="6E66135A" w14:textId="77777777" w:rsidR="00ED2761" w:rsidRPr="00ED2761" w:rsidRDefault="00ED2761" w:rsidP="00ED2761">
      <w:pPr>
        <w:numPr>
          <w:ilvl w:val="0"/>
          <w:numId w:val="2"/>
        </w:numPr>
      </w:pPr>
      <w:r w:rsidRPr="00ED2761">
        <w:lastRenderedPageBreak/>
        <w:t>The total area remains unchanged when the same pieces are rearranged exactly.</w:t>
      </w:r>
    </w:p>
    <w:p w14:paraId="5D016219" w14:textId="77777777" w:rsidR="00ED2761" w:rsidRPr="00ED2761" w:rsidRDefault="00ED2761" w:rsidP="00ED2761">
      <w:pPr>
        <w:numPr>
          <w:ilvl w:val="0"/>
          <w:numId w:val="2"/>
        </w:numPr>
      </w:pPr>
      <w:r w:rsidRPr="00ED2761">
        <w:t>The perimeter and outer boundary may change even when the area does not.</w:t>
      </w:r>
    </w:p>
    <w:p w14:paraId="191D4368" w14:textId="77777777" w:rsidR="00ED2761" w:rsidRPr="00ED2761" w:rsidRDefault="00ED2761" w:rsidP="00ED2761">
      <w:pPr>
        <w:numPr>
          <w:ilvl w:val="0"/>
          <w:numId w:val="2"/>
        </w:numPr>
      </w:pPr>
      <w:r w:rsidRPr="00ED2761">
        <w:t>Dissection is a common method for proving area relationships geometrically.</w:t>
      </w:r>
    </w:p>
    <w:p w14:paraId="12AFBCF5" w14:textId="77777777" w:rsidR="00ED2761" w:rsidRPr="00ED2761" w:rsidRDefault="00ED2761" w:rsidP="00ED2761">
      <w:pPr>
        <w:numPr>
          <w:ilvl w:val="0"/>
          <w:numId w:val="2"/>
        </w:numPr>
      </w:pPr>
      <w:r w:rsidRPr="00ED2761">
        <w:t>The method is useful in geometry education, area formulas, puzzles, and mathematical proofs.</w:t>
      </w:r>
    </w:p>
    <w:p w14:paraId="7AF0C41D" w14:textId="0B33D8F0" w:rsidR="00ED2761" w:rsidRDefault="00ED2761" w:rsidP="003462C3">
      <w:pPr>
        <w:pStyle w:val="Heading2"/>
      </w:pPr>
      <w:r w:rsidRPr="00ED2761">
        <w:t>Conclusion</w:t>
      </w:r>
    </w:p>
    <w:p w14:paraId="44ACB7B0" w14:textId="0B59D9FF" w:rsidR="003462C3" w:rsidRPr="003462C3" w:rsidRDefault="003462C3" w:rsidP="003462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A086D2" w14:textId="77777777" w:rsidR="00ED2761" w:rsidRPr="00ED2761" w:rsidRDefault="00ED2761" w:rsidP="00ED2761">
      <w:r w:rsidRPr="00ED2761">
        <w:t>Area-Preserving Rearrangement is a geometric method in which pieces of a figure are reorganized to form another figure of equal area. It provides a visual and mathematical way to demonstrate area equivalence without relying solely on algebraic formulas.</w:t>
      </w:r>
    </w:p>
    <w:p w14:paraId="22AF4B58" w14:textId="77777777" w:rsidR="00ED2761" w:rsidRPr="00ED2761" w:rsidRDefault="00ED2761" w:rsidP="00ED2761"/>
    <w:sectPr w:rsidR="00ED2761" w:rsidRPr="00ED2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C1697"/>
    <w:multiLevelType w:val="multilevel"/>
    <w:tmpl w:val="BC8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02305"/>
    <w:multiLevelType w:val="multilevel"/>
    <w:tmpl w:val="8240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50506">
    <w:abstractNumId w:val="1"/>
  </w:num>
  <w:num w:numId="2" w16cid:durableId="212310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E4"/>
    <w:rsid w:val="00004C7D"/>
    <w:rsid w:val="00062521"/>
    <w:rsid w:val="00097C84"/>
    <w:rsid w:val="0016192B"/>
    <w:rsid w:val="002852F1"/>
    <w:rsid w:val="002D1F4F"/>
    <w:rsid w:val="002E3C43"/>
    <w:rsid w:val="00332823"/>
    <w:rsid w:val="003462C3"/>
    <w:rsid w:val="00452FFA"/>
    <w:rsid w:val="00462965"/>
    <w:rsid w:val="005E6D36"/>
    <w:rsid w:val="006C026B"/>
    <w:rsid w:val="00711B4D"/>
    <w:rsid w:val="00724298"/>
    <w:rsid w:val="008952B3"/>
    <w:rsid w:val="00900FD1"/>
    <w:rsid w:val="009315E4"/>
    <w:rsid w:val="009E198F"/>
    <w:rsid w:val="009F0AC5"/>
    <w:rsid w:val="009F134A"/>
    <w:rsid w:val="00A70480"/>
    <w:rsid w:val="00A736EA"/>
    <w:rsid w:val="00A9153F"/>
    <w:rsid w:val="00B95918"/>
    <w:rsid w:val="00BC73B1"/>
    <w:rsid w:val="00BE7E53"/>
    <w:rsid w:val="00C55319"/>
    <w:rsid w:val="00D72898"/>
    <w:rsid w:val="00D778CD"/>
    <w:rsid w:val="00DD7138"/>
    <w:rsid w:val="00ED2761"/>
    <w:rsid w:val="00ED55BE"/>
    <w:rsid w:val="00F22F08"/>
    <w:rsid w:val="00FC22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7404"/>
  <w15:chartTrackingRefBased/>
  <w15:docId w15:val="{ED09DBDE-E417-4B08-8761-65D35C69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Mono" w:eastAsiaTheme="minorHAnsi" w:hAnsi="Roboto Mon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5E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5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15E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15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15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15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15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5E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5E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15E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15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15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15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15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1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5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5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15E4"/>
    <w:pPr>
      <w:spacing w:before="160"/>
      <w:jc w:val="center"/>
    </w:pPr>
    <w:rPr>
      <w:i/>
      <w:iCs/>
      <w:color w:val="404040" w:themeColor="text1" w:themeTint="BF"/>
    </w:rPr>
  </w:style>
  <w:style w:type="character" w:customStyle="1" w:styleId="QuoteChar">
    <w:name w:val="Quote Char"/>
    <w:basedOn w:val="DefaultParagraphFont"/>
    <w:link w:val="Quote"/>
    <w:uiPriority w:val="29"/>
    <w:rsid w:val="009315E4"/>
    <w:rPr>
      <w:i/>
      <w:iCs/>
      <w:color w:val="404040" w:themeColor="text1" w:themeTint="BF"/>
    </w:rPr>
  </w:style>
  <w:style w:type="paragraph" w:styleId="ListParagraph">
    <w:name w:val="List Paragraph"/>
    <w:basedOn w:val="Normal"/>
    <w:uiPriority w:val="34"/>
    <w:qFormat/>
    <w:rsid w:val="009315E4"/>
    <w:pPr>
      <w:ind w:left="720"/>
      <w:contextualSpacing/>
    </w:pPr>
  </w:style>
  <w:style w:type="character" w:styleId="IntenseEmphasis">
    <w:name w:val="Intense Emphasis"/>
    <w:basedOn w:val="DefaultParagraphFont"/>
    <w:uiPriority w:val="21"/>
    <w:qFormat/>
    <w:rsid w:val="009315E4"/>
    <w:rPr>
      <w:i/>
      <w:iCs/>
      <w:color w:val="2F5496" w:themeColor="accent1" w:themeShade="BF"/>
    </w:rPr>
  </w:style>
  <w:style w:type="paragraph" w:styleId="IntenseQuote">
    <w:name w:val="Intense Quote"/>
    <w:basedOn w:val="Normal"/>
    <w:next w:val="Normal"/>
    <w:link w:val="IntenseQuoteChar"/>
    <w:uiPriority w:val="30"/>
    <w:qFormat/>
    <w:rsid w:val="00931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5E4"/>
    <w:rPr>
      <w:i/>
      <w:iCs/>
      <w:color w:val="2F5496" w:themeColor="accent1" w:themeShade="BF"/>
    </w:rPr>
  </w:style>
  <w:style w:type="character" w:styleId="IntenseReference">
    <w:name w:val="Intense Reference"/>
    <w:basedOn w:val="DefaultParagraphFont"/>
    <w:uiPriority w:val="32"/>
    <w:qFormat/>
    <w:rsid w:val="009315E4"/>
    <w:rPr>
      <w:b/>
      <w:bCs/>
      <w:smallCaps/>
      <w:color w:val="2F5496" w:themeColor="accent1" w:themeShade="BF"/>
      <w:spacing w:val="5"/>
    </w:rPr>
  </w:style>
  <w:style w:type="character" w:styleId="Hyperlink">
    <w:name w:val="Hyperlink"/>
    <w:basedOn w:val="DefaultParagraphFont"/>
    <w:uiPriority w:val="99"/>
    <w:unhideWhenUsed/>
    <w:rsid w:val="00ED2761"/>
    <w:rPr>
      <w:color w:val="0563C1" w:themeColor="hyperlink"/>
      <w:u w:val="single"/>
    </w:rPr>
  </w:style>
  <w:style w:type="character" w:styleId="UnresolvedMention">
    <w:name w:val="Unresolved Mention"/>
    <w:basedOn w:val="DefaultParagraphFont"/>
    <w:uiPriority w:val="99"/>
    <w:semiHidden/>
    <w:unhideWhenUsed/>
    <w:rsid w:val="00ED2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1409</Words>
  <Characters>8034</Characters>
  <Application>Microsoft Office Word</Application>
  <DocSecurity>0</DocSecurity>
  <Lines>66</Lines>
  <Paragraphs>18</Paragraphs>
  <ScaleCrop>false</ScaleCrop>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2026-10-12T09:36:00Z</dcterms:created>
  <dcterms:modified xsi:type="dcterms:W3CDTF">2026-10-12T09:41:00Z</dcterms:modified>
</cp:coreProperties>
</file>