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BD6C" w14:textId="3B63DB71" w:rsidR="00A70480" w:rsidRDefault="00FC2CC6" w:rsidP="00FC2CC6">
      <w:pPr>
        <w:pStyle w:val="Heading1"/>
      </w:pPr>
      <w:r w:rsidRPr="00FC2CC6">
        <w:t>Open Convex-Looking Polygonal Chain</w:t>
      </w:r>
    </w:p>
    <w:p w14:paraId="2594A96B" w14:textId="3FD371FC" w:rsidR="00FC2CC6" w:rsidRPr="00FC2CC6" w:rsidRDefault="00ED3476" w:rsidP="00FC2CC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43AE6" w14:textId="2646F20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1EAD2C50" wp14:editId="74817A8A">
            <wp:extent cx="5943600" cy="2978785"/>
            <wp:effectExtent l="0" t="0" r="0" b="0"/>
            <wp:docPr id="124403663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58E8" w14:textId="71B5D086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7489C03E" wp14:editId="50CA0886">
            <wp:extent cx="5943600" cy="2828925"/>
            <wp:effectExtent l="0" t="0" r="0" b="9525"/>
            <wp:docPr id="138192307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7D78" w14:textId="0782828A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63A0F9CA" wp14:editId="72B792AA">
            <wp:extent cx="5943600" cy="3769360"/>
            <wp:effectExtent l="0" t="0" r="0" b="2540"/>
            <wp:docPr id="51418478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3F7B" w14:textId="77777777" w:rsidR="00FC2CC6" w:rsidRDefault="00FC2CC6" w:rsidP="00ED3476">
      <w:pPr>
        <w:pStyle w:val="Heading2"/>
      </w:pPr>
      <w:r w:rsidRPr="00FC2CC6">
        <w:t>Definition</w:t>
      </w:r>
    </w:p>
    <w:p w14:paraId="19630C4D" w14:textId="07DBB267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D3830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An </w:t>
      </w:r>
      <w:r w:rsidRPr="00FC2CC6">
        <w:rPr>
          <w:rFonts w:ascii="Roboto Mono" w:hAnsi="Roboto Mono"/>
          <w:b/>
          <w:bCs/>
        </w:rPr>
        <w:t>Open Convex-Looking Polygonal Chain</w:t>
      </w:r>
      <w:r w:rsidRPr="00FC2CC6">
        <w:rPr>
          <w:rFonts w:ascii="Roboto Mono" w:hAnsi="Roboto Mono"/>
        </w:rPr>
        <w:t xml:space="preserve"> is an </w:t>
      </w:r>
      <w:r w:rsidRPr="00FC2CC6">
        <w:rPr>
          <w:rFonts w:ascii="Roboto Mono" w:hAnsi="Roboto Mono"/>
          <w:b/>
          <w:bCs/>
        </w:rPr>
        <w:t>open chain of three or more connected straight-line segments that generally turns outward in one consistent direction</w:t>
      </w:r>
      <w:r w:rsidRPr="00FC2CC6">
        <w:rPr>
          <w:rFonts w:ascii="Roboto Mono" w:hAnsi="Roboto Mono"/>
        </w:rPr>
        <w:t>, giving the overall chain a shape that visually resembles part of a convex polygon.</w:t>
      </w:r>
    </w:p>
    <w:p w14:paraId="60D14F7E" w14:textId="77777777" w:rsidR="00FC2CC6" w:rsidRPr="00FC2CC6" w:rsidRDefault="00FC2CC6" w:rsidP="00FC2CC6">
      <w:pPr>
        <w:rPr>
          <w:rFonts w:ascii="Roboto Mono" w:hAnsi="Roboto Mono"/>
          <w:b/>
          <w:bCs/>
        </w:rPr>
      </w:pPr>
      <w:r w:rsidRPr="00FC2CC6">
        <w:rPr>
          <w:rFonts w:ascii="Roboto Mono" w:hAnsi="Roboto Mono"/>
          <w:b/>
          <w:bCs/>
        </w:rPr>
        <w:t>[</w:t>
      </w:r>
      <w:r w:rsidRPr="00FC2CC6">
        <w:rPr>
          <w:rFonts w:ascii="Roboto Mono" w:hAnsi="Roboto Mono"/>
          <w:b/>
          <w:bCs/>
        </w:rPr>
        <w:br/>
        <w:t>\</w:t>
      </w:r>
      <w:proofErr w:type="gramStart"/>
      <w:r w:rsidRPr="00FC2CC6">
        <w:rPr>
          <w:rFonts w:ascii="Roboto Mono" w:hAnsi="Roboto Mono"/>
          <w:b/>
          <w:bCs/>
        </w:rPr>
        <w:t>boxed{</w:t>
      </w:r>
      <w:proofErr w:type="gramEnd"/>
      <w:r w:rsidRPr="00FC2CC6">
        <w:rPr>
          <w:rFonts w:ascii="Roboto Mono" w:hAnsi="Roboto Mono"/>
          <w:b/>
          <w:bCs/>
        </w:rPr>
        <w:br/>
        <w:t>\</w:t>
      </w:r>
      <w:proofErr w:type="gramStart"/>
      <w:r w:rsidRPr="00FC2CC6">
        <w:rPr>
          <w:rFonts w:ascii="Roboto Mono" w:hAnsi="Roboto Mono"/>
          <w:b/>
          <w:bCs/>
        </w:rPr>
        <w:t>text{</w:t>
      </w:r>
      <w:proofErr w:type="gramEnd"/>
      <w:r w:rsidRPr="00FC2CC6">
        <w:rPr>
          <w:rFonts w:ascii="Roboto Mono" w:hAnsi="Roboto Mono"/>
          <w:b/>
          <w:bCs/>
        </w:rPr>
        <w:t>Open Convex-Looking Polygonal Chain}</w:t>
      </w:r>
    </w:p>
    <w:p w14:paraId="58E38E9B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\</w:t>
      </w:r>
      <w:proofErr w:type="gramStart"/>
      <w:r w:rsidRPr="00FC2CC6">
        <w:rPr>
          <w:rFonts w:ascii="Roboto Mono" w:hAnsi="Roboto Mono"/>
        </w:rPr>
        <w:t>text{</w:t>
      </w:r>
      <w:proofErr w:type="gramEnd"/>
      <w:r w:rsidRPr="00FC2CC6">
        <w:rPr>
          <w:rFonts w:ascii="Roboto Mono" w:hAnsi="Roboto Mono"/>
        </w:rPr>
        <w:t>Straight Segments}</w:t>
      </w:r>
      <w:r w:rsidRPr="00FC2CC6">
        <w:rPr>
          <w:rFonts w:ascii="Roboto Mono" w:hAnsi="Roboto Mono"/>
        </w:rPr>
        <w:br/>
        <w:t>+</w:t>
      </w:r>
      <w:r w:rsidRPr="00FC2CC6">
        <w:rPr>
          <w:rFonts w:ascii="Roboto Mono" w:hAnsi="Roboto Mono"/>
        </w:rPr>
        <w:br/>
        <w:t>\</w:t>
      </w:r>
      <w:proofErr w:type="gramStart"/>
      <w:r w:rsidRPr="00FC2CC6">
        <w:rPr>
          <w:rFonts w:ascii="Roboto Mono" w:hAnsi="Roboto Mono"/>
        </w:rPr>
        <w:t>text{</w:t>
      </w:r>
      <w:proofErr w:type="gramEnd"/>
      <w:r w:rsidRPr="00FC2CC6">
        <w:rPr>
          <w:rFonts w:ascii="Roboto Mono" w:hAnsi="Roboto Mono"/>
        </w:rPr>
        <w:t>Consistent Outward Turning}</w:t>
      </w:r>
      <w:r w:rsidRPr="00FC2CC6">
        <w:rPr>
          <w:rFonts w:ascii="Roboto Mono" w:hAnsi="Roboto Mono"/>
        </w:rPr>
        <w:br/>
        <w:t>+</w:t>
      </w:r>
      <w:r w:rsidRPr="00FC2CC6">
        <w:rPr>
          <w:rFonts w:ascii="Roboto Mono" w:hAnsi="Roboto Mono"/>
        </w:rPr>
        <w:br/>
        <w:t>\</w:t>
      </w:r>
      <w:proofErr w:type="gramStart"/>
      <w:r w:rsidRPr="00FC2CC6">
        <w:rPr>
          <w:rFonts w:ascii="Roboto Mono" w:hAnsi="Roboto Mono"/>
        </w:rPr>
        <w:t>text{</w:t>
      </w:r>
      <w:proofErr w:type="gramEnd"/>
      <w:r w:rsidRPr="00FC2CC6">
        <w:rPr>
          <w:rFonts w:ascii="Roboto Mono" w:hAnsi="Roboto Mono"/>
        </w:rPr>
        <w:t>Open Boundary}</w:t>
      </w:r>
      <w:r w:rsidRPr="00FC2CC6">
        <w:rPr>
          <w:rFonts w:ascii="Roboto Mono" w:hAnsi="Roboto Mono"/>
        </w:rPr>
        <w:br/>
        <w:t>}</w:t>
      </w:r>
      <w:r w:rsidRPr="00FC2CC6">
        <w:rPr>
          <w:rFonts w:ascii="Roboto Mono" w:hAnsi="Roboto Mono"/>
        </w:rPr>
        <w:br/>
        <w:t>]</w:t>
      </w:r>
    </w:p>
    <w:p w14:paraId="2CE2B77D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  <w:b/>
          <w:bCs/>
        </w:rPr>
        <w:lastRenderedPageBreak/>
        <w:t xml:space="preserve">Terminology </w:t>
      </w:r>
      <w:proofErr w:type="gramStart"/>
      <w:r w:rsidRPr="00FC2CC6">
        <w:rPr>
          <w:rFonts w:ascii="Roboto Mono" w:hAnsi="Roboto Mono"/>
          <w:b/>
          <w:bCs/>
        </w:rPr>
        <w:t>note</w:t>
      </w:r>
      <w:proofErr w:type="gramEnd"/>
      <w:r w:rsidRPr="00FC2CC6">
        <w:rPr>
          <w:rFonts w:ascii="Roboto Mono" w:hAnsi="Roboto Mono"/>
          <w:b/>
          <w:bCs/>
        </w:rPr>
        <w:t>:</w:t>
      </w:r>
      <w:r w:rsidRPr="00FC2CC6">
        <w:rPr>
          <w:rFonts w:ascii="Roboto Mono" w:hAnsi="Roboto Mono"/>
        </w:rPr>
        <w:t xml:space="preserve"> In strict geometry, </w:t>
      </w:r>
      <w:r w:rsidRPr="00FC2CC6">
        <w:rPr>
          <w:rFonts w:ascii="Roboto Mono" w:hAnsi="Roboto Mono"/>
          <w:b/>
          <w:bCs/>
        </w:rPr>
        <w:t>convexity applies to closed sets or polygons</w:t>
      </w:r>
      <w:r w:rsidRPr="00FC2CC6">
        <w:rPr>
          <w:rFonts w:ascii="Roboto Mono" w:hAnsi="Roboto Mono"/>
        </w:rPr>
        <w:t xml:space="preserve">. An open chain is therefore more precisely described as </w:t>
      </w:r>
      <w:r w:rsidRPr="00FC2CC6">
        <w:rPr>
          <w:rFonts w:ascii="Roboto Mono" w:hAnsi="Roboto Mono"/>
          <w:b/>
          <w:bCs/>
        </w:rPr>
        <w:t>convex-looking</w:t>
      </w:r>
      <w:r w:rsidRPr="00FC2CC6">
        <w:rPr>
          <w:rFonts w:ascii="Roboto Mono" w:hAnsi="Roboto Mono"/>
        </w:rPr>
        <w:t xml:space="preserve"> or an </w:t>
      </w:r>
      <w:r w:rsidRPr="00FC2CC6">
        <w:rPr>
          <w:rFonts w:ascii="Roboto Mono" w:hAnsi="Roboto Mono"/>
          <w:b/>
          <w:bCs/>
        </w:rPr>
        <w:t>outward-turning polygonal chain</w:t>
      </w:r>
      <w:r w:rsidRPr="00FC2CC6">
        <w:rPr>
          <w:rFonts w:ascii="Roboto Mono" w:hAnsi="Roboto Mono"/>
        </w:rPr>
        <w:t>, rather than a convex polygon.</w:t>
      </w:r>
    </w:p>
    <w:p w14:paraId="10A5EE76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319BB08C">
          <v:rect id="_x0000_i1264" style="width:0;height:1.5pt" o:hralign="center" o:hrstd="t" o:hr="t" fillcolor="#a0a0a0" stroked="f"/>
        </w:pict>
      </w:r>
    </w:p>
    <w:p w14:paraId="48B9D33F" w14:textId="77777777" w:rsidR="00FC2CC6" w:rsidRDefault="00FC2CC6" w:rsidP="00ED3476">
      <w:pPr>
        <w:pStyle w:val="Heading2"/>
      </w:pPr>
      <w:r w:rsidRPr="00FC2CC6">
        <w:t>Characteristics</w:t>
      </w:r>
    </w:p>
    <w:p w14:paraId="590E571F" w14:textId="16311888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A0270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An Open Convex-Looking Polygonal Chain:</w:t>
      </w:r>
    </w:p>
    <w:p w14:paraId="7B6C4166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Is </w:t>
      </w:r>
      <w:r w:rsidRPr="00FC2CC6">
        <w:rPr>
          <w:rFonts w:ascii="Roboto Mono" w:hAnsi="Roboto Mono"/>
          <w:b/>
          <w:bCs/>
        </w:rPr>
        <w:t>open</w:t>
      </w:r>
      <w:r w:rsidRPr="00FC2CC6">
        <w:rPr>
          <w:rFonts w:ascii="Roboto Mono" w:hAnsi="Roboto Mono"/>
        </w:rPr>
        <w:t>.</w:t>
      </w:r>
    </w:p>
    <w:p w14:paraId="0315E789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Contains </w:t>
      </w:r>
      <w:r w:rsidRPr="00FC2CC6">
        <w:rPr>
          <w:rFonts w:ascii="Roboto Mono" w:hAnsi="Roboto Mono"/>
          <w:b/>
          <w:bCs/>
        </w:rPr>
        <w:t>three or more straight segments</w:t>
      </w:r>
      <w:r w:rsidRPr="00FC2CC6">
        <w:rPr>
          <w:rFonts w:ascii="Roboto Mono" w:hAnsi="Roboto Mono"/>
        </w:rPr>
        <w:t>.</w:t>
      </w:r>
    </w:p>
    <w:p w14:paraId="7A602172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Has connected consecutive segments.</w:t>
      </w:r>
    </w:p>
    <w:p w14:paraId="54F018D6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Has </w:t>
      </w:r>
      <w:r w:rsidRPr="00FC2CC6">
        <w:rPr>
          <w:rFonts w:ascii="Roboto Mono" w:hAnsi="Roboto Mono"/>
          <w:b/>
          <w:bCs/>
        </w:rPr>
        <w:t>two unconnected endpoints</w:t>
      </w:r>
      <w:r w:rsidRPr="00FC2CC6">
        <w:rPr>
          <w:rFonts w:ascii="Roboto Mono" w:hAnsi="Roboto Mono"/>
        </w:rPr>
        <w:t>.</w:t>
      </w:r>
    </w:p>
    <w:p w14:paraId="19F5B56B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Does not enclose an area.</w:t>
      </w:r>
    </w:p>
    <w:p w14:paraId="023D7E06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proofErr w:type="gramStart"/>
      <w:r w:rsidRPr="00FC2CC6">
        <w:rPr>
          <w:rFonts w:ascii="Roboto Mono" w:hAnsi="Roboto Mono"/>
        </w:rPr>
        <w:t>Generally</w:t>
      </w:r>
      <w:proofErr w:type="gramEnd"/>
      <w:r w:rsidRPr="00FC2CC6">
        <w:rPr>
          <w:rFonts w:ascii="Roboto Mono" w:hAnsi="Roboto Mono"/>
        </w:rPr>
        <w:t xml:space="preserve"> turns in the </w:t>
      </w:r>
      <w:r w:rsidRPr="00FC2CC6">
        <w:rPr>
          <w:rFonts w:ascii="Roboto Mono" w:hAnsi="Roboto Mono"/>
          <w:b/>
          <w:bCs/>
        </w:rPr>
        <w:t>same rotational direction</w:t>
      </w:r>
      <w:r w:rsidRPr="00FC2CC6">
        <w:rPr>
          <w:rFonts w:ascii="Roboto Mono" w:hAnsi="Roboto Mono"/>
        </w:rPr>
        <w:t>.</w:t>
      </w:r>
    </w:p>
    <w:p w14:paraId="0C186FD8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Does not contain obvious inward indentations.</w:t>
      </w:r>
    </w:p>
    <w:p w14:paraId="208765C6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Can be regular-looking or irregular.</w:t>
      </w:r>
    </w:p>
    <w:p w14:paraId="05581F29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Can have equal or unequal segment lengths.</w:t>
      </w:r>
    </w:p>
    <w:p w14:paraId="20B02201" w14:textId="77777777" w:rsidR="00FC2CC6" w:rsidRPr="00FC2CC6" w:rsidRDefault="00FC2CC6" w:rsidP="00FC2CC6">
      <w:pPr>
        <w:numPr>
          <w:ilvl w:val="0"/>
          <w:numId w:val="1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Can be symmetric or asymmetric.</w:t>
      </w:r>
    </w:p>
    <w:p w14:paraId="201541BE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A simple representation is:</w:t>
      </w:r>
    </w:p>
    <w:p w14:paraId="6A87C8C9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[</w:t>
      </w:r>
      <w:r w:rsidRPr="00FC2CC6">
        <w:rPr>
          <w:rFonts w:ascii="Roboto Mono" w:hAnsi="Roboto Mono"/>
        </w:rPr>
        <w:br/>
        <w:t>\</w:t>
      </w:r>
      <w:proofErr w:type="gramStart"/>
      <w:r w:rsidRPr="00FC2CC6">
        <w:rPr>
          <w:rFonts w:ascii="Roboto Mono" w:hAnsi="Roboto Mono"/>
        </w:rPr>
        <w:t>boxed{</w:t>
      </w:r>
      <w:proofErr w:type="gramEnd"/>
      <w:r w:rsidRPr="00FC2CC6">
        <w:rPr>
          <w:rFonts w:ascii="Roboto Mono" w:hAnsi="Roboto Mono"/>
        </w:rPr>
        <w:br/>
        <w:t>A\</w:t>
      </w:r>
      <w:proofErr w:type="spellStart"/>
      <w:r w:rsidRPr="00FC2CC6">
        <w:rPr>
          <w:rFonts w:ascii="Roboto Mono" w:hAnsi="Roboto Mono"/>
        </w:rPr>
        <w:t>rightarrow</w:t>
      </w:r>
      <w:proofErr w:type="spellEnd"/>
      <w:r w:rsidRPr="00FC2CC6">
        <w:rPr>
          <w:rFonts w:ascii="Roboto Mono" w:hAnsi="Roboto Mono"/>
        </w:rPr>
        <w:t xml:space="preserve"> B\</w:t>
      </w:r>
      <w:proofErr w:type="spellStart"/>
      <w:r w:rsidRPr="00FC2CC6">
        <w:rPr>
          <w:rFonts w:ascii="Roboto Mono" w:hAnsi="Roboto Mono"/>
        </w:rPr>
        <w:t>rightarrow</w:t>
      </w:r>
      <w:proofErr w:type="spellEnd"/>
      <w:r w:rsidRPr="00FC2CC6">
        <w:rPr>
          <w:rFonts w:ascii="Roboto Mono" w:hAnsi="Roboto Mono"/>
        </w:rPr>
        <w:t xml:space="preserve"> C\</w:t>
      </w:r>
      <w:proofErr w:type="spellStart"/>
      <w:r w:rsidRPr="00FC2CC6">
        <w:rPr>
          <w:rFonts w:ascii="Roboto Mono" w:hAnsi="Roboto Mono"/>
        </w:rPr>
        <w:t>rightarrow</w:t>
      </w:r>
      <w:proofErr w:type="spellEnd"/>
      <w:r w:rsidRPr="00FC2CC6">
        <w:rPr>
          <w:rFonts w:ascii="Roboto Mono" w:hAnsi="Roboto Mono"/>
        </w:rPr>
        <w:t xml:space="preserve"> D\</w:t>
      </w:r>
      <w:proofErr w:type="spellStart"/>
      <w:r w:rsidRPr="00FC2CC6">
        <w:rPr>
          <w:rFonts w:ascii="Roboto Mono" w:hAnsi="Roboto Mono"/>
        </w:rPr>
        <w:t>rightarrow</w:t>
      </w:r>
      <w:proofErr w:type="spellEnd"/>
      <w:r w:rsidRPr="00FC2CC6">
        <w:rPr>
          <w:rFonts w:ascii="Roboto Mono" w:hAnsi="Roboto Mono"/>
        </w:rPr>
        <w:t xml:space="preserve"> E</w:t>
      </w:r>
      <w:r w:rsidRPr="00FC2CC6">
        <w:rPr>
          <w:rFonts w:ascii="Roboto Mono" w:hAnsi="Roboto Mono"/>
        </w:rPr>
        <w:br/>
        <w:t>}</w:t>
      </w:r>
      <w:r w:rsidRPr="00FC2CC6">
        <w:rPr>
          <w:rFonts w:ascii="Roboto Mono" w:hAnsi="Roboto Mono"/>
        </w:rPr>
        <w:br/>
        <w:t>]</w:t>
      </w:r>
    </w:p>
    <w:p w14:paraId="762EB666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where the chain continually bends outward rather than creating an inward notch.</w:t>
      </w:r>
    </w:p>
    <w:p w14:paraId="79185472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3CD0AF7F">
          <v:rect id="_x0000_i1265" style="width:0;height:1.5pt" o:hralign="center" o:hrstd="t" o:hr="t" fillcolor="#a0a0a0" stroked="f"/>
        </w:pict>
      </w:r>
    </w:p>
    <w:p w14:paraId="356CA11C" w14:textId="77777777" w:rsidR="00FC2CC6" w:rsidRPr="00FC2CC6" w:rsidRDefault="00FC2CC6" w:rsidP="00ED3476">
      <w:pPr>
        <w:pStyle w:val="Heading2"/>
      </w:pPr>
      <w:r w:rsidRPr="00FC2CC6">
        <w:lastRenderedPageBreak/>
        <w:t>Types of Open Convex-Looking Polygonal Chains</w:t>
      </w:r>
    </w:p>
    <w:p w14:paraId="236D8737" w14:textId="77777777" w:rsidR="00FC2CC6" w:rsidRDefault="00FC2CC6" w:rsidP="00ED3476">
      <w:pPr>
        <w:pStyle w:val="Heading3"/>
      </w:pPr>
      <w:r w:rsidRPr="00FC2CC6">
        <w:t>1. Simple Open Convex-Looking Chain</w:t>
      </w:r>
    </w:p>
    <w:p w14:paraId="19B70266" w14:textId="4352EE44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E90CDE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A basic chain that bends consistently outward without self-intersection.</w:t>
      </w:r>
    </w:p>
    <w:p w14:paraId="769F69DA" w14:textId="4CBD8DCB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2CE95D4D" wp14:editId="6769465F">
            <wp:extent cx="5943600" cy="2978785"/>
            <wp:effectExtent l="0" t="0" r="0" b="0"/>
            <wp:docPr id="131433949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BBCA" w14:textId="6DADF436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0FAD155D" wp14:editId="2213D3B8">
            <wp:extent cx="3893820" cy="3962400"/>
            <wp:effectExtent l="0" t="0" r="0" b="0"/>
            <wp:docPr id="7751776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2E4A" w14:textId="68D70530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7E1941B6" wp14:editId="71D3E3CC">
            <wp:extent cx="4975860" cy="3840480"/>
            <wp:effectExtent l="0" t="0" r="0" b="7620"/>
            <wp:docPr id="184714746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BB07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t>This is the basic form of the category.</w:t>
      </w:r>
    </w:p>
    <w:p w14:paraId="2974D5D5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29FAD469">
          <v:rect id="_x0000_i1269" style="width:0;height:1.5pt" o:hralign="center" o:hrstd="t" o:hr="t" fillcolor="#a0a0a0" stroked="f"/>
        </w:pict>
      </w:r>
    </w:p>
    <w:p w14:paraId="023C2180" w14:textId="77777777" w:rsidR="00FC2CC6" w:rsidRDefault="00FC2CC6" w:rsidP="00ED3476">
      <w:pPr>
        <w:pStyle w:val="Heading3"/>
      </w:pPr>
      <w:r w:rsidRPr="00FC2CC6">
        <w:t>2. Open Smoothly Turning Polygonal Chain</w:t>
      </w:r>
    </w:p>
    <w:p w14:paraId="70A0ECF3" w14:textId="68AF0EE0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DEC29" w14:textId="77777777" w:rsid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segments change direction gradually, producing a visually smooth overall turn.</w:t>
      </w:r>
    </w:p>
    <w:p w14:paraId="5DA1C61B" w14:textId="78EE672E" w:rsidR="00B22431" w:rsidRDefault="00B22431" w:rsidP="00FC2C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B9BF0" wp14:editId="50C6E28F">
            <wp:extent cx="5829300" cy="3634740"/>
            <wp:effectExtent l="0" t="0" r="0" b="3810"/>
            <wp:docPr id="999070933" name="Picture 57" descr="real analysis - How does approximating the circumference of a circle using regular n-gons work, if each regular n-gon isn't continuously differentiable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real analysis - How does approximating the circumference of a circle using regular n-gons work, if each regular n-gon isn't continuously differentiable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3EC1" w14:textId="28C43E7F" w:rsidR="00B22431" w:rsidRDefault="00B22431" w:rsidP="00FC2CC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9D516E" wp14:editId="01FC6069">
            <wp:extent cx="5943600" cy="4457700"/>
            <wp:effectExtent l="0" t="0" r="0" b="0"/>
            <wp:docPr id="1013380531" name="Picture 58" descr="PPT - MAE 152 Computer Graphics for Scientists and Engineers PowerPoint Presentation - ID:4050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PPT - MAE 152 Computer Graphics for Scientists and Engineers PowerPoint Presentation - ID:40507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98A4" w14:textId="508A6808" w:rsidR="00B22431" w:rsidRDefault="00B22431" w:rsidP="00FC2C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C1DBC8" wp14:editId="238215C8">
            <wp:extent cx="5707380" cy="3383280"/>
            <wp:effectExtent l="0" t="0" r="7620" b="7620"/>
            <wp:docPr id="46820012" name="Picture 59" descr="What makes the Bezier curves so popular in applications? | Research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What makes the Bezier curves so popular in applications? | ResearchG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B552" w14:textId="17923C1E" w:rsidR="00B22431" w:rsidRPr="00FC2CC6" w:rsidRDefault="00B22431" w:rsidP="00FC2CC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A3AD52" wp14:editId="4545887F">
            <wp:extent cx="5707380" cy="3383280"/>
            <wp:effectExtent l="0" t="0" r="7620" b="7620"/>
            <wp:docPr id="438856918" name="Picture 60" descr="What makes the Bezier curves so popular in applications? | Research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What makes the Bezier curves so popular in applications? | ResearchGa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D7BB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Each segment is still straight; the overall appearance comes from many small changes in direction.</w:t>
      </w:r>
    </w:p>
    <w:p w14:paraId="2F9614ED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16B38C33">
          <v:rect id="_x0000_i1270" style="width:0;height:1.5pt" o:hralign="center" o:hrstd="t" o:hr="t" fillcolor="#a0a0a0" stroked="f"/>
        </w:pict>
      </w:r>
    </w:p>
    <w:p w14:paraId="2BAD8278" w14:textId="77777777" w:rsidR="00FC2CC6" w:rsidRDefault="00FC2CC6" w:rsidP="00ED3476">
      <w:pPr>
        <w:pStyle w:val="Heading3"/>
      </w:pPr>
      <w:r w:rsidRPr="00FC2CC6">
        <w:t>3. Open Arc-Like Polygonal Chain</w:t>
      </w:r>
    </w:p>
    <w:p w14:paraId="63E08D0E" w14:textId="3890439A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2FC2D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segments approximate part of a circular or curved arc.</w:t>
      </w:r>
    </w:p>
    <w:p w14:paraId="6841283B" w14:textId="6A289B9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01164205" wp14:editId="4099DFB9">
            <wp:extent cx="5943600" cy="2881630"/>
            <wp:effectExtent l="0" t="0" r="0" b="0"/>
            <wp:docPr id="213449486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5021" w14:textId="73BB5752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4DEF63DA" wp14:editId="6912079F">
            <wp:extent cx="3329940" cy="5570220"/>
            <wp:effectExtent l="0" t="0" r="3810" b="0"/>
            <wp:docPr id="9669659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BCA7" w14:textId="39446C06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73D67836" wp14:editId="4AE11DE3">
            <wp:extent cx="5943600" cy="3258185"/>
            <wp:effectExtent l="0" t="0" r="0" b="0"/>
            <wp:docPr id="3497887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5B7E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With sufficiently many short segments, the chain can visually approximate part of a curve.</w:t>
      </w:r>
    </w:p>
    <w:p w14:paraId="76FF97F5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05CEA901">
          <v:rect id="_x0000_i1274" style="width:0;height:1.5pt" o:hralign="center" o:hrstd="t" o:hr="t" fillcolor="#a0a0a0" stroked="f"/>
        </w:pict>
      </w:r>
    </w:p>
    <w:p w14:paraId="46759222" w14:textId="77777777" w:rsidR="00FC2CC6" w:rsidRDefault="00FC2CC6" w:rsidP="00ED3476">
      <w:pPr>
        <w:pStyle w:val="Heading3"/>
      </w:pPr>
      <w:r w:rsidRPr="00FC2CC6">
        <w:t>4. Open Convex-Looking Zigzag Chain</w:t>
      </w:r>
    </w:p>
    <w:p w14:paraId="1C406716" w14:textId="6DBF77A7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3ED35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chain has visible direction changes but generally maintains an outward-turning structure.</w:t>
      </w:r>
    </w:p>
    <w:p w14:paraId="255FCF57" w14:textId="273F012F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643648BA" wp14:editId="384DB554">
            <wp:extent cx="5943600" cy="3325495"/>
            <wp:effectExtent l="0" t="0" r="0" b="8255"/>
            <wp:docPr id="60068929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0236" w14:textId="644168A8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1190FEB6" wp14:editId="0F8108F5">
            <wp:extent cx="5943600" cy="2946400"/>
            <wp:effectExtent l="0" t="0" r="0" b="6350"/>
            <wp:docPr id="44995010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C801" w14:textId="3BB4D53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02883841" wp14:editId="6D964122">
            <wp:extent cx="5943600" cy="3343275"/>
            <wp:effectExtent l="0" t="0" r="0" b="9525"/>
            <wp:docPr id="168776267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A7E8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zigzag pattern should not create a strong inward indentation.</w:t>
      </w:r>
    </w:p>
    <w:p w14:paraId="5B5A2514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3EE2C891">
          <v:rect id="_x0000_i1278" style="width:0;height:1.5pt" o:hralign="center" o:hrstd="t" o:hr="t" fillcolor="#a0a0a0" stroked="f"/>
        </w:pict>
      </w:r>
    </w:p>
    <w:p w14:paraId="2C4D5A24" w14:textId="77777777" w:rsidR="00FC2CC6" w:rsidRDefault="00FC2CC6" w:rsidP="00ED3476">
      <w:pPr>
        <w:pStyle w:val="Heading3"/>
      </w:pPr>
      <w:r w:rsidRPr="00FC2CC6">
        <w:t>5. Open Convex-Looking Stair-Step Chain</w:t>
      </w:r>
    </w:p>
    <w:p w14:paraId="3FAB7BE5" w14:textId="30BCDB9B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7E3CE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A horizontal/vertical chain that generally progresses around one side of an imaginary convex region.</w:t>
      </w:r>
    </w:p>
    <w:p w14:paraId="2E3B2FAD" w14:textId="45362F6D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1D3529F0" wp14:editId="172A1A0D">
            <wp:extent cx="3810000" cy="3810000"/>
            <wp:effectExtent l="0" t="0" r="0" b="0"/>
            <wp:docPr id="213837383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D185" w14:textId="53653C91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1B969CB4" wp14:editId="14B3DE56">
            <wp:extent cx="5227320" cy="5029200"/>
            <wp:effectExtent l="0" t="0" r="0" b="0"/>
            <wp:docPr id="89294579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B4B5" w14:textId="76FEEDDD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7C0667EC" wp14:editId="3E2D9D79">
            <wp:extent cx="5943600" cy="5937250"/>
            <wp:effectExtent l="0" t="0" r="0" b="6350"/>
            <wp:docPr id="37153918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51FA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This is a rectilinear subtype.</w:t>
      </w:r>
    </w:p>
    <w:p w14:paraId="32F4D5F0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1CCDD454">
          <v:rect id="_x0000_i1282" style="width:0;height:1.5pt" o:hralign="center" o:hrstd="t" o:hr="t" fillcolor="#a0a0a0" stroked="f"/>
        </w:pict>
      </w:r>
    </w:p>
    <w:p w14:paraId="75C02429" w14:textId="77777777" w:rsidR="00FC2CC6" w:rsidRDefault="00FC2CC6" w:rsidP="00ED3476">
      <w:pPr>
        <w:pStyle w:val="Heading3"/>
      </w:pPr>
      <w:r w:rsidRPr="00FC2CC6">
        <w:t>6. Symmetric Open Convex-Looking Chain</w:t>
      </w:r>
    </w:p>
    <w:p w14:paraId="4FB5CEF7" w14:textId="0CD1C28F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84023" w14:textId="77777777" w:rsid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chain has an axis of symmetry while remaining open.</w:t>
      </w:r>
    </w:p>
    <w:p w14:paraId="068276E6" w14:textId="76D1D39E" w:rsidR="00C218D4" w:rsidRDefault="00C218D4" w:rsidP="00FC2CC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382D22" wp14:editId="60EEDD0B">
            <wp:extent cx="5943600" cy="3640455"/>
            <wp:effectExtent l="0" t="0" r="0" b="0"/>
            <wp:docPr id="2116087276" name="Picture 61" descr="Осевая и центральная симметрия  — Блог Тетр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Осевая и центральная симметрия  — Блог Тетрики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6301" w14:textId="7F47EA3C" w:rsidR="00C218D4" w:rsidRPr="00FC2CC6" w:rsidRDefault="00C218D4" w:rsidP="00FC2C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33BA6D" wp14:editId="38DAE0B3">
            <wp:extent cx="5943600" cy="4224655"/>
            <wp:effectExtent l="0" t="0" r="0" b="4445"/>
            <wp:docPr id="903568175" name="Picture 62" descr="Study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StudyG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79AB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t>For example, the two halves may mirror one another about a vertical axis.</w:t>
      </w:r>
    </w:p>
    <w:p w14:paraId="77A59818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1F575D47">
          <v:rect id="_x0000_i1283" style="width:0;height:1.5pt" o:hralign="center" o:hrstd="t" o:hr="t" fillcolor="#a0a0a0" stroked="f"/>
        </w:pict>
      </w:r>
    </w:p>
    <w:p w14:paraId="26C8BE0A" w14:textId="77777777" w:rsidR="00FC2CC6" w:rsidRDefault="00FC2CC6" w:rsidP="00ED3476">
      <w:pPr>
        <w:pStyle w:val="Heading3"/>
      </w:pPr>
      <w:r w:rsidRPr="00FC2CC6">
        <w:t>7. Asymmetric Open Convex-Looking Chain</w:t>
      </w:r>
    </w:p>
    <w:p w14:paraId="5FECE277" w14:textId="1DB8E518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F601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chain generally turns outward but has no regular symmetry.</w:t>
      </w:r>
    </w:p>
    <w:p w14:paraId="7A857597" w14:textId="62197135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75A2408F" wp14:editId="705759B5">
            <wp:extent cx="4975860" cy="3840480"/>
            <wp:effectExtent l="0" t="0" r="0" b="7620"/>
            <wp:docPr id="153101056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2727" w14:textId="22DE6E7C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6C93B0FF" wp14:editId="41422DA8">
            <wp:extent cx="5326380" cy="4122420"/>
            <wp:effectExtent l="0" t="0" r="7620" b="0"/>
            <wp:docPr id="76057898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E267" w14:textId="31B2A82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78FA1AFF" wp14:editId="18D63AB0">
            <wp:extent cx="5943600" cy="1651000"/>
            <wp:effectExtent l="0" t="0" r="0" b="6350"/>
            <wp:docPr id="17402019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5E29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segments can have different lengths and different turning angles.</w:t>
      </w:r>
    </w:p>
    <w:p w14:paraId="4EA6357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2DEAAC4A">
          <v:rect id="_x0000_i1287" style="width:0;height:1.5pt" o:hralign="center" o:hrstd="t" o:hr="t" fillcolor="#a0a0a0" stroked="f"/>
        </w:pict>
      </w:r>
    </w:p>
    <w:p w14:paraId="595D1521" w14:textId="77777777" w:rsidR="00FC2CC6" w:rsidRDefault="00FC2CC6" w:rsidP="00ED3476">
      <w:pPr>
        <w:pStyle w:val="Heading3"/>
      </w:pPr>
      <w:r w:rsidRPr="00FC2CC6">
        <w:t>8. Equal-Segment Open Convex-Looking Chain</w:t>
      </w:r>
    </w:p>
    <w:p w14:paraId="59CFBBA2" w14:textId="115E0C2C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8CB07E" w14:textId="03A39951" w:rsidR="00FC2CC6" w:rsidRPr="00FC2CC6" w:rsidRDefault="00FC2CC6" w:rsidP="004B1FEE">
      <w:pPr>
        <w:rPr>
          <w:rFonts w:ascii="Roboto Mono" w:hAnsi="Roboto Mono"/>
        </w:rPr>
      </w:pPr>
      <w:r w:rsidRPr="00FC2CC6">
        <w:rPr>
          <w:rFonts w:ascii="Roboto Mono" w:hAnsi="Roboto Mono"/>
        </w:rPr>
        <w:t>All or most segments have equal lengths.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</m:t>
              </m:r>
            </m:e>
          </m:borderBox>
        </m:oMath>
      </m:oMathPara>
    </w:p>
    <w:p w14:paraId="0A5B8B79" w14:textId="5CB03600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1EE04BE8" wp14:editId="4F67D055">
            <wp:extent cx="5943600" cy="3470910"/>
            <wp:effectExtent l="0" t="0" r="0" b="0"/>
            <wp:docPr id="62306524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4F2F" w14:textId="34EB1732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1DCCBF87" wp14:editId="72DD7554">
            <wp:extent cx="5943600" cy="3769360"/>
            <wp:effectExtent l="0" t="0" r="0" b="2540"/>
            <wp:docPr id="7444375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4C10C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Equal lengths do not make the chain a closed polygon.</w:t>
      </w:r>
    </w:p>
    <w:p w14:paraId="6F8ED6AD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52DC5304">
          <v:rect id="_x0000_i1290" style="width:0;height:1.5pt" o:hralign="center" o:hrstd="t" o:hr="t" fillcolor="#a0a0a0" stroked="f"/>
        </w:pict>
      </w:r>
    </w:p>
    <w:p w14:paraId="55CEABA6" w14:textId="77777777" w:rsidR="00FC2CC6" w:rsidRDefault="00FC2CC6" w:rsidP="00ED3476">
      <w:pPr>
        <w:pStyle w:val="Heading3"/>
      </w:pPr>
      <w:r w:rsidRPr="00FC2CC6">
        <w:lastRenderedPageBreak/>
        <w:t>9. Unequal-Segment Open Convex-Looking Chain</w:t>
      </w:r>
    </w:p>
    <w:p w14:paraId="45B424BF" w14:textId="2AF285A9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4AA214" w14:textId="392BA636" w:rsidR="00FC2CC6" w:rsidRPr="00FC2CC6" w:rsidRDefault="00FC2CC6" w:rsidP="005A071E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segments have different lengths while the overall chain maintains an outward-turning appearance.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≠⋯</m:t>
              </m:r>
            </m:e>
          </m:borderBox>
        </m:oMath>
      </m:oMathPara>
    </w:p>
    <w:p w14:paraId="1938A685" w14:textId="38B9CE3C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6969AA66" wp14:editId="3A390677">
            <wp:extent cx="4975860" cy="3840480"/>
            <wp:effectExtent l="0" t="0" r="0" b="7620"/>
            <wp:docPr id="17526911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FA35" w14:textId="3BB19AF4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15BB051E" wp14:editId="1856240C">
            <wp:extent cx="5943600" cy="2978785"/>
            <wp:effectExtent l="0" t="0" r="0" b="0"/>
            <wp:docPr id="4697616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9E7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42BFFF41">
          <v:rect id="_x0000_i1293" style="width:0;height:1.5pt" o:hralign="center" o:hrstd="t" o:hr="t" fillcolor="#a0a0a0" stroked="f"/>
        </w:pict>
      </w:r>
    </w:p>
    <w:p w14:paraId="59623110" w14:textId="77777777" w:rsidR="00FC2CC6" w:rsidRDefault="00FC2CC6" w:rsidP="00ED3476">
      <w:pPr>
        <w:pStyle w:val="Heading3"/>
      </w:pPr>
      <w:r w:rsidRPr="00FC2CC6">
        <w:t>10. Open Convex-Looking Self-Intersecting Chain</w:t>
      </w:r>
    </w:p>
    <w:p w14:paraId="7F0E2A3E" w14:textId="5D77812F" w:rsidR="00ED3476" w:rsidRPr="00ED3476" w:rsidRDefault="00ED3476" w:rsidP="00ED34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10EC0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A chain can visually suggest an outward pattern but contain segment crossings.</w:t>
      </w:r>
    </w:p>
    <w:p w14:paraId="6E9FB0B7" w14:textId="11707E3F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5AB032A9" wp14:editId="40A83E72">
            <wp:extent cx="5486400" cy="4480560"/>
            <wp:effectExtent l="0" t="0" r="0" b="0"/>
            <wp:docPr id="55176780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5BEE" w14:textId="1243CC6D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34945343" wp14:editId="07CB0321">
            <wp:extent cx="5943600" cy="3199765"/>
            <wp:effectExtent l="0" t="0" r="0" b="635"/>
            <wp:docPr id="30749630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B89E" w14:textId="73B5A90A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394B1153" wp14:editId="6178D5F9">
            <wp:extent cx="3749040" cy="3352800"/>
            <wp:effectExtent l="0" t="0" r="3810" b="0"/>
            <wp:docPr id="1699902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425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However, once substantial self-intersection occurs, describing the chain as </w:t>
      </w:r>
      <w:r w:rsidRPr="00FC2CC6">
        <w:rPr>
          <w:rFonts w:ascii="Roboto Mono" w:hAnsi="Roboto Mono"/>
          <w:b/>
          <w:bCs/>
        </w:rPr>
        <w:t>convex-looking</w:t>
      </w:r>
      <w:r w:rsidRPr="00FC2CC6">
        <w:rPr>
          <w:rFonts w:ascii="Roboto Mono" w:hAnsi="Roboto Mono"/>
        </w:rPr>
        <w:t xml:space="preserve"> becomes less useful.</w:t>
      </w:r>
    </w:p>
    <w:p w14:paraId="1899EAC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0FE46AC8">
          <v:rect id="_x0000_i1297" style="width:0;height:1.5pt" o:hralign="center" o:hrstd="t" o:hr="t" fillcolor="#a0a0a0" stroked="f"/>
        </w:pict>
      </w:r>
    </w:p>
    <w:p w14:paraId="63CFB2F8" w14:textId="77777777" w:rsidR="00FC2CC6" w:rsidRDefault="00FC2CC6" w:rsidP="00ED3476">
      <w:pPr>
        <w:pStyle w:val="Heading2"/>
      </w:pPr>
      <w:r w:rsidRPr="00FC2CC6">
        <w:t>Convex-Looking vs. Concave-Looking Open Chains</w:t>
      </w:r>
    </w:p>
    <w:p w14:paraId="23D61AB5" w14:textId="67CB4813" w:rsidR="00ED3476" w:rsidRDefault="00ED3476" w:rsidP="00ED34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12782D" w14:textId="5DD8028F" w:rsidR="00614464" w:rsidRPr="00ED3476" w:rsidRDefault="00614464" w:rsidP="00ED3476">
      <w:r>
        <w:rPr>
          <w:noProof/>
        </w:rPr>
        <w:drawing>
          <wp:inline distT="0" distB="0" distL="0" distR="0" wp14:anchorId="12C0745E" wp14:editId="267F0D4E">
            <wp:extent cx="5943600" cy="2241550"/>
            <wp:effectExtent l="0" t="0" r="0" b="6350"/>
            <wp:docPr id="2059772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2682"/>
        <w:gridCol w:w="2815"/>
      </w:tblGrid>
      <w:tr w:rsidR="00FC2CC6" w:rsidRPr="00FC2CC6" w14:paraId="4EFE2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1D186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09FDE10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t>Convex-Looking Chain</w:t>
            </w:r>
          </w:p>
        </w:tc>
        <w:tc>
          <w:tcPr>
            <w:tcW w:w="0" w:type="auto"/>
            <w:vAlign w:val="center"/>
            <w:hideMark/>
          </w:tcPr>
          <w:p w14:paraId="40170A97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t>Concave-Looking Chain</w:t>
            </w:r>
          </w:p>
        </w:tc>
      </w:tr>
      <w:tr w:rsidR="00FC2CC6" w:rsidRPr="00FC2CC6" w14:paraId="6EA60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1418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0A5A3D3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8ABDF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Yes</w:t>
            </w:r>
          </w:p>
        </w:tc>
      </w:tr>
      <w:tr w:rsidR="00FC2CC6" w:rsidRPr="00FC2CC6" w14:paraId="46ED1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31B3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4C5F9058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0931649A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3+</w:t>
            </w:r>
          </w:p>
        </w:tc>
      </w:tr>
      <w:tr w:rsidR="00FC2CC6" w:rsidRPr="00FC2CC6" w14:paraId="7137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73A9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General direction</w:t>
            </w:r>
          </w:p>
        </w:tc>
        <w:tc>
          <w:tcPr>
            <w:tcW w:w="0" w:type="auto"/>
            <w:vAlign w:val="center"/>
            <w:hideMark/>
          </w:tcPr>
          <w:p w14:paraId="26D7D1D8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Outward</w:t>
            </w:r>
          </w:p>
        </w:tc>
        <w:tc>
          <w:tcPr>
            <w:tcW w:w="0" w:type="auto"/>
            <w:vAlign w:val="center"/>
            <w:hideMark/>
          </w:tcPr>
          <w:p w14:paraId="409A0ED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Contains inward turns</w:t>
            </w:r>
          </w:p>
        </w:tc>
      </w:tr>
      <w:tr w:rsidR="00FC2CC6" w:rsidRPr="00FC2CC6" w14:paraId="6098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13B5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Inward indentation</w:t>
            </w:r>
          </w:p>
        </w:tc>
        <w:tc>
          <w:tcPr>
            <w:tcW w:w="0" w:type="auto"/>
            <w:vAlign w:val="center"/>
            <w:hideMark/>
          </w:tcPr>
          <w:p w14:paraId="1D04B16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proofErr w:type="gramStart"/>
            <w:r w:rsidRPr="00FC2CC6">
              <w:rPr>
                <w:rFonts w:ascii="Roboto Mono" w:hAnsi="Roboto Mono"/>
              </w:rPr>
              <w:t>Usually</w:t>
            </w:r>
            <w:proofErr w:type="gramEnd"/>
            <w:r w:rsidRPr="00FC2CC6">
              <w:rPr>
                <w:rFonts w:ascii="Roboto Mono" w:hAnsi="Roboto Mono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8160A5E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proofErr w:type="gramStart"/>
            <w:r w:rsidRPr="00FC2CC6">
              <w:rPr>
                <w:rFonts w:ascii="Roboto Mono" w:hAnsi="Roboto Mono"/>
              </w:rPr>
              <w:t>Usually</w:t>
            </w:r>
            <w:proofErr w:type="gramEnd"/>
            <w:r w:rsidRPr="00FC2CC6">
              <w:rPr>
                <w:rFonts w:ascii="Roboto Mono" w:hAnsi="Roboto Mono"/>
              </w:rPr>
              <w:t xml:space="preserve"> present</w:t>
            </w:r>
          </w:p>
        </w:tc>
      </w:tr>
      <w:tr w:rsidR="00FC2CC6" w:rsidRPr="00FC2CC6" w14:paraId="5491D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771F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Enclosed area</w:t>
            </w:r>
          </w:p>
        </w:tc>
        <w:tc>
          <w:tcPr>
            <w:tcW w:w="0" w:type="auto"/>
            <w:vAlign w:val="center"/>
            <w:hideMark/>
          </w:tcPr>
          <w:p w14:paraId="554BCCC2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FB08EA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No</w:t>
            </w:r>
          </w:p>
        </w:tc>
      </w:tr>
      <w:tr w:rsidR="00FC2CC6" w:rsidRPr="00FC2CC6" w14:paraId="261E3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3098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Strict polygon classification</w:t>
            </w:r>
          </w:p>
        </w:tc>
        <w:tc>
          <w:tcPr>
            <w:tcW w:w="0" w:type="auto"/>
            <w:vAlign w:val="center"/>
            <w:hideMark/>
          </w:tcPr>
          <w:p w14:paraId="6DB92ECD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4456AC7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Not applicable</w:t>
            </w:r>
          </w:p>
        </w:tc>
      </w:tr>
    </w:tbl>
    <w:p w14:paraId="70D68956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The distinction is visual rather than a strict convex/concave polygon classification.</w:t>
      </w:r>
    </w:p>
    <w:p w14:paraId="715F8C32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48E13506">
          <v:rect id="_x0000_i1298" style="width:0;height:1.5pt" o:hralign="center" o:hrstd="t" o:hr="t" fillcolor="#a0a0a0" stroked="f"/>
        </w:pict>
      </w:r>
    </w:p>
    <w:p w14:paraId="79923FFD" w14:textId="77777777" w:rsidR="00FC2CC6" w:rsidRDefault="00FC2CC6" w:rsidP="002D42B3">
      <w:pPr>
        <w:pStyle w:val="Heading2"/>
      </w:pPr>
      <w:r w:rsidRPr="00FC2CC6">
        <w:t>Convex-Looking Chain vs. Closed Convex Polygon</w:t>
      </w:r>
    </w:p>
    <w:p w14:paraId="6938E148" w14:textId="46276BC9" w:rsidR="002D42B3" w:rsidRPr="002D42B3" w:rsidRDefault="002D42B3" w:rsidP="002D42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DC76A" w14:textId="05041086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02BC1421" wp14:editId="17FAA120">
            <wp:extent cx="5943600" cy="3665220"/>
            <wp:effectExtent l="0" t="0" r="0" b="0"/>
            <wp:docPr id="154297542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2D1C" w14:textId="42C7EAE1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drawing>
          <wp:inline distT="0" distB="0" distL="0" distR="0" wp14:anchorId="045CED84" wp14:editId="2BA5F5DF">
            <wp:extent cx="5943600" cy="3342005"/>
            <wp:effectExtent l="0" t="0" r="0" b="0"/>
            <wp:docPr id="63611204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71E6" w14:textId="014B2849" w:rsid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lastRenderedPageBreak/>
        <w:drawing>
          <wp:inline distT="0" distB="0" distL="0" distR="0" wp14:anchorId="7C1084EB" wp14:editId="72C817EF">
            <wp:extent cx="5943600" cy="3731895"/>
            <wp:effectExtent l="0" t="0" r="0" b="1905"/>
            <wp:docPr id="77407435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267C" w14:textId="09D13177" w:rsidR="00FA3222" w:rsidRPr="00FC2CC6" w:rsidRDefault="00FA3222" w:rsidP="00FC2C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7D5D8" wp14:editId="09C3C4DC">
            <wp:extent cx="5943600" cy="2225040"/>
            <wp:effectExtent l="0" t="0" r="0" b="3810"/>
            <wp:docPr id="166412327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450"/>
        <w:gridCol w:w="3626"/>
      </w:tblGrid>
      <w:tr w:rsidR="00FC2CC6" w:rsidRPr="00FC2CC6" w14:paraId="51AEF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95F97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9B5184C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t>Open Convex-Looking Chain</w:t>
            </w:r>
          </w:p>
        </w:tc>
        <w:tc>
          <w:tcPr>
            <w:tcW w:w="0" w:type="auto"/>
            <w:vAlign w:val="center"/>
            <w:hideMark/>
          </w:tcPr>
          <w:p w14:paraId="5371D96D" w14:textId="77777777" w:rsidR="00FC2CC6" w:rsidRPr="00FC2CC6" w:rsidRDefault="00FC2CC6" w:rsidP="00FC2CC6">
            <w:pPr>
              <w:rPr>
                <w:rFonts w:ascii="Roboto Mono" w:hAnsi="Roboto Mono"/>
                <w:b/>
                <w:bCs/>
              </w:rPr>
            </w:pPr>
            <w:r w:rsidRPr="00FC2CC6">
              <w:rPr>
                <w:rFonts w:ascii="Roboto Mono" w:hAnsi="Roboto Mono"/>
                <w:b/>
                <w:bCs/>
              </w:rPr>
              <w:t>Convex Polygon</w:t>
            </w:r>
          </w:p>
        </w:tc>
      </w:tr>
      <w:tr w:rsidR="00FC2CC6" w:rsidRPr="00FC2CC6" w14:paraId="0FE0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80F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5F74B303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1B045295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3+</w:t>
            </w:r>
          </w:p>
        </w:tc>
      </w:tr>
      <w:tr w:rsidR="00FC2CC6" w:rsidRPr="00FC2CC6" w14:paraId="7093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B6B6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58A12B99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12715C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Segoe UI Symbol" w:hAnsi="Segoe UI Symbol" w:cs="Segoe UI Symbol"/>
              </w:rPr>
              <w:t>✓</w:t>
            </w:r>
          </w:p>
        </w:tc>
      </w:tr>
      <w:tr w:rsidR="00FC2CC6" w:rsidRPr="00FC2CC6" w14:paraId="659F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17B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517596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CD14B0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FC2CC6" w:rsidRPr="00FC2CC6" w14:paraId="7064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1970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lastRenderedPageBreak/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25EBAE9D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96771A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Yes</w:t>
            </w:r>
          </w:p>
        </w:tc>
      </w:tr>
      <w:tr w:rsidR="00FC2CC6" w:rsidRPr="00FC2CC6" w14:paraId="09B9B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11B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34385814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Visual/approximate</w:t>
            </w:r>
          </w:p>
        </w:tc>
        <w:tc>
          <w:tcPr>
            <w:tcW w:w="0" w:type="auto"/>
            <w:vAlign w:val="center"/>
            <w:hideMark/>
          </w:tcPr>
          <w:p w14:paraId="7097C6FD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Strict mathematical property</w:t>
            </w:r>
          </w:p>
        </w:tc>
      </w:tr>
      <w:tr w:rsidR="00FC2CC6" w:rsidRPr="00FC2CC6" w14:paraId="6831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D2E9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Open endpoints</w:t>
            </w:r>
          </w:p>
        </w:tc>
        <w:tc>
          <w:tcPr>
            <w:tcW w:w="0" w:type="auto"/>
            <w:vAlign w:val="center"/>
            <w:hideMark/>
          </w:tcPr>
          <w:p w14:paraId="0486FDA1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BCB9D1" w14:textId="77777777" w:rsidR="00FC2CC6" w:rsidRPr="00FC2CC6" w:rsidRDefault="00FC2CC6" w:rsidP="00FC2CC6">
            <w:pPr>
              <w:rPr>
                <w:rFonts w:ascii="Roboto Mono" w:hAnsi="Roboto Mono"/>
              </w:rPr>
            </w:pPr>
            <w:r w:rsidRPr="00FC2CC6">
              <w:rPr>
                <w:rFonts w:ascii="Roboto Mono" w:hAnsi="Roboto Mono"/>
              </w:rPr>
              <w:t>0</w:t>
            </w:r>
          </w:p>
        </w:tc>
      </w:tr>
    </w:tbl>
    <w:p w14:paraId="4A42E666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The most important difference is </w:t>
      </w:r>
      <w:r w:rsidRPr="00FC2CC6">
        <w:rPr>
          <w:rFonts w:ascii="Roboto Mono" w:hAnsi="Roboto Mono"/>
          <w:b/>
          <w:bCs/>
        </w:rPr>
        <w:t>closure</w:t>
      </w:r>
      <w:r w:rsidRPr="00FC2CC6">
        <w:rPr>
          <w:rFonts w:ascii="Roboto Mono" w:hAnsi="Roboto Mono"/>
        </w:rPr>
        <w:t>.</w:t>
      </w:r>
    </w:p>
    <w:p w14:paraId="038DBBEA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20C82366">
          <v:rect id="_x0000_i1302" style="width:0;height:1.5pt" o:hralign="center" o:hrstd="t" o:hr="t" fillcolor="#a0a0a0" stroked="f"/>
        </w:pict>
      </w:r>
    </w:p>
    <w:p w14:paraId="6F6E9FDA" w14:textId="77777777" w:rsidR="00FC2CC6" w:rsidRDefault="00FC2CC6" w:rsidP="002D42B3">
      <w:pPr>
        <w:pStyle w:val="Heading2"/>
      </w:pPr>
      <w:r w:rsidRPr="00FC2CC6">
        <w:t>Area and Length</w:t>
      </w:r>
    </w:p>
    <w:p w14:paraId="0030D814" w14:textId="6CDE2053" w:rsidR="002D42B3" w:rsidRPr="002D42B3" w:rsidRDefault="002D42B3" w:rsidP="002D42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F74F9B" w14:textId="77777777" w:rsidR="00FC2CC6" w:rsidRPr="00FC2CC6" w:rsidRDefault="00FC2CC6" w:rsidP="00FC2CC6">
      <w:pPr>
        <w:rPr>
          <w:rFonts w:ascii="Roboto Mono" w:hAnsi="Roboto Mono"/>
          <w:b/>
          <w:bCs/>
        </w:rPr>
      </w:pPr>
      <w:r w:rsidRPr="00FC2CC6">
        <w:rPr>
          <w:rFonts w:ascii="Roboto Mono" w:hAnsi="Roboto Mono"/>
          <w:b/>
          <w:bCs/>
        </w:rPr>
        <w:t>Area</w:t>
      </w:r>
    </w:p>
    <w:p w14:paraId="5EA987E6" w14:textId="2191A758" w:rsidR="00FC2CC6" w:rsidRPr="00FC2CC6" w:rsidRDefault="00FC2CC6" w:rsidP="006F5806">
      <w:pPr>
        <w:rPr>
          <w:rFonts w:ascii="Roboto Mono" w:hAnsi="Roboto Mono"/>
        </w:rPr>
      </w:pPr>
      <w:r w:rsidRPr="00FC2CC6">
        <w:rPr>
          <w:rFonts w:ascii="Roboto Mono" w:hAnsi="Roboto Mono"/>
        </w:rPr>
        <w:t>Because the chain is open: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enclosed area</m:t>
              </m:r>
            </m:e>
          </m:borderBox>
        </m:oMath>
      </m:oMathPara>
    </w:p>
    <w:p w14:paraId="28CF6740" w14:textId="77777777" w:rsidR="00FC2CC6" w:rsidRPr="00FC2CC6" w:rsidRDefault="00FC2CC6" w:rsidP="00FC2CC6">
      <w:pPr>
        <w:rPr>
          <w:rFonts w:ascii="Roboto Mono" w:hAnsi="Roboto Mono"/>
          <w:b/>
          <w:bCs/>
        </w:rPr>
      </w:pPr>
      <w:r w:rsidRPr="00FC2CC6">
        <w:rPr>
          <w:rFonts w:ascii="Roboto Mono" w:hAnsi="Roboto Mono"/>
          <w:b/>
          <w:bCs/>
        </w:rPr>
        <w:t>Total Chain Length</w:t>
      </w:r>
    </w:p>
    <w:p w14:paraId="484DC222" w14:textId="05807B95" w:rsidR="00FC2CC6" w:rsidRPr="00FC2CC6" w:rsidRDefault="00FC2CC6" w:rsidP="006F580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</m:t>
        </m:r>
      </m:oMath>
      <w:r w:rsidRPr="00FC2CC6">
        <w:rPr>
          <w:rFonts w:ascii="Roboto Mono" w:hAnsi="Roboto Mono"/>
        </w:rPr>
        <w:t xml:space="preserve"> segments: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F73483F" w14:textId="13398A77" w:rsidR="00FC2CC6" w:rsidRPr="00FC2CC6" w:rsidRDefault="00FC2CC6" w:rsidP="002D42B3">
      <w:pPr>
        <w:rPr>
          <w:rFonts w:ascii="Roboto Mono" w:hAnsi="Roboto Mono"/>
        </w:rPr>
      </w:pPr>
      <w:r w:rsidRPr="00FC2CC6">
        <w:rPr>
          <w:rFonts w:ascii="Roboto Mono" w:hAnsi="Roboto Mono"/>
        </w:rPr>
        <w:pict w14:anchorId="3902CA4F">
          <v:rect id="_x0000_i1303" style="width:0;height:1.5pt" o:hralign="center" o:hrstd="t" o:hr="t" fillcolor="#a0a0a0" stroked="f"/>
        </w:pict>
      </w:r>
    </w:p>
    <w:p w14:paraId="64A78FDF" w14:textId="77777777" w:rsidR="00FC2CC6" w:rsidRDefault="00FC2CC6" w:rsidP="002D42B3">
      <w:pPr>
        <w:pStyle w:val="Heading2"/>
      </w:pPr>
      <w:r w:rsidRPr="00FC2CC6">
        <w:t>Key Points</w:t>
      </w:r>
    </w:p>
    <w:p w14:paraId="4B66505A" w14:textId="2F25687C" w:rsidR="002D42B3" w:rsidRPr="002D42B3" w:rsidRDefault="002D42B3" w:rsidP="002D42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5DA61" w14:textId="00BF1C7E" w:rsidR="00FC2CC6" w:rsidRPr="00FC2CC6" w:rsidRDefault="00FC2CC6" w:rsidP="006F580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An </w:t>
      </w:r>
      <w:r w:rsidRPr="00FC2CC6">
        <w:rPr>
          <w:rFonts w:ascii="Roboto Mono" w:hAnsi="Roboto Mono"/>
          <w:b/>
          <w:bCs/>
        </w:rPr>
        <w:t>Open Convex-Looking Polygonal Chain</w:t>
      </w:r>
      <w:r w:rsidRPr="00FC2CC6">
        <w:rPr>
          <w:rFonts w:ascii="Roboto Mono" w:hAnsi="Roboto Mono"/>
        </w:rPr>
        <w:t xml:space="preserve"> is: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Generally Outward Turning</m:t>
              </m:r>
            </m:e>
          </m:borderBox>
        </m:oMath>
      </m:oMathPara>
    </w:p>
    <w:p w14:paraId="6957A81B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>It:</w:t>
      </w:r>
    </w:p>
    <w:p w14:paraId="62D91116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Has </w:t>
      </w:r>
      <w:r w:rsidRPr="00FC2CC6">
        <w:rPr>
          <w:rFonts w:ascii="Roboto Mono" w:hAnsi="Roboto Mono"/>
          <w:b/>
          <w:bCs/>
        </w:rPr>
        <w:t>three or more straight segments</w:t>
      </w:r>
      <w:r w:rsidRPr="00FC2CC6">
        <w:rPr>
          <w:rFonts w:ascii="Roboto Mono" w:hAnsi="Roboto Mono"/>
        </w:rPr>
        <w:t>.</w:t>
      </w:r>
    </w:p>
    <w:p w14:paraId="3C716DCE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Has </w:t>
      </w:r>
      <w:r w:rsidRPr="00FC2CC6">
        <w:rPr>
          <w:rFonts w:ascii="Roboto Mono" w:hAnsi="Roboto Mono"/>
          <w:b/>
          <w:bCs/>
        </w:rPr>
        <w:t>two open endpoints</w:t>
      </w:r>
      <w:r w:rsidRPr="00FC2CC6">
        <w:rPr>
          <w:rFonts w:ascii="Roboto Mono" w:hAnsi="Roboto Mono"/>
        </w:rPr>
        <w:t>.</w:t>
      </w:r>
    </w:p>
    <w:p w14:paraId="668E587E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Does not enclose an area.</w:t>
      </w:r>
    </w:p>
    <w:p w14:paraId="7DE5BFBF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proofErr w:type="gramStart"/>
      <w:r w:rsidRPr="00FC2CC6">
        <w:rPr>
          <w:rFonts w:ascii="Roboto Mono" w:hAnsi="Roboto Mono"/>
        </w:rPr>
        <w:lastRenderedPageBreak/>
        <w:t>Generally</w:t>
      </w:r>
      <w:proofErr w:type="gramEnd"/>
      <w:r w:rsidRPr="00FC2CC6">
        <w:rPr>
          <w:rFonts w:ascii="Roboto Mono" w:hAnsi="Roboto Mono"/>
        </w:rPr>
        <w:t xml:space="preserve"> turns in one consistent direction.</w:t>
      </w:r>
    </w:p>
    <w:p w14:paraId="71FA0AC1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Does not have obvious inward indentations.</w:t>
      </w:r>
    </w:p>
    <w:p w14:paraId="207B7E6F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May be symmetric or asymmetric.</w:t>
      </w:r>
    </w:p>
    <w:p w14:paraId="3CAE2697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May have equal or unequal segment lengths.</w:t>
      </w:r>
    </w:p>
    <w:p w14:paraId="000B4687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>Can be zigzag, stair-step, or arc-like.</w:t>
      </w:r>
    </w:p>
    <w:p w14:paraId="4B9D4A16" w14:textId="77777777" w:rsidR="00FC2CC6" w:rsidRPr="00FC2CC6" w:rsidRDefault="00FC2CC6" w:rsidP="00FC2CC6">
      <w:pPr>
        <w:numPr>
          <w:ilvl w:val="0"/>
          <w:numId w:val="4"/>
        </w:num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Is </w:t>
      </w:r>
      <w:r w:rsidRPr="00FC2CC6">
        <w:rPr>
          <w:rFonts w:ascii="Roboto Mono" w:hAnsi="Roboto Mono"/>
          <w:b/>
          <w:bCs/>
        </w:rPr>
        <w:t>not technically a convex polygon</w:t>
      </w:r>
      <w:r w:rsidRPr="00FC2CC6">
        <w:rPr>
          <w:rFonts w:ascii="Roboto Mono" w:hAnsi="Roboto Mono"/>
        </w:rPr>
        <w:t xml:space="preserve"> because it is open.</w:t>
      </w:r>
    </w:p>
    <w:p w14:paraId="0A41AED6" w14:textId="3B8D4D38" w:rsidR="00FC2CC6" w:rsidRPr="006F5806" w:rsidRDefault="00FC2CC6" w:rsidP="006F5806">
      <w:pPr>
        <w:rPr>
          <w:rFonts w:ascii="Roboto Mono" w:hAnsi="Roboto Mono"/>
          <w:b/>
          <w:bCs/>
        </w:rPr>
      </w:pPr>
      <w:r w:rsidRPr="00FC2CC6">
        <w:rPr>
          <w:rFonts w:ascii="Roboto Mono" w:hAnsi="Roboto Mono"/>
          <w:b/>
          <w:bCs/>
        </w:rPr>
        <w:t>Most important distinction</w:t>
      </w:r>
      <w:r w:rsidRPr="00FC2CC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Convex-Looking Open Chain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Convex Polygon</m:t>
              </m:r>
            </m:e>
          </m:borderBox>
        </m:oMath>
      </m:oMathPara>
    </w:p>
    <w:p w14:paraId="14DD08DC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The first is an </w:t>
      </w:r>
      <w:r w:rsidRPr="00FC2CC6">
        <w:rPr>
          <w:rFonts w:ascii="Roboto Mono" w:hAnsi="Roboto Mono"/>
          <w:b/>
          <w:bCs/>
        </w:rPr>
        <w:t>open polygonal path with an outward-turning appearance</w:t>
      </w:r>
      <w:r w:rsidRPr="00FC2CC6">
        <w:rPr>
          <w:rFonts w:ascii="Roboto Mono" w:hAnsi="Roboto Mono"/>
        </w:rPr>
        <w:t xml:space="preserve">, while the second is a </w:t>
      </w:r>
      <w:r w:rsidRPr="00FC2CC6">
        <w:rPr>
          <w:rFonts w:ascii="Roboto Mono" w:hAnsi="Roboto Mono"/>
          <w:b/>
          <w:bCs/>
        </w:rPr>
        <w:t>closed polygon satisfying the mathematical definition of convexity</w:t>
      </w:r>
      <w:r w:rsidRPr="00FC2CC6">
        <w:rPr>
          <w:rFonts w:ascii="Roboto Mono" w:hAnsi="Roboto Mono"/>
        </w:rPr>
        <w:t>.</w:t>
      </w:r>
    </w:p>
    <w:p w14:paraId="7EA98D7A" w14:textId="77777777" w:rsidR="00FC2CC6" w:rsidRDefault="00FC2CC6" w:rsidP="002D42B3">
      <w:pPr>
        <w:pStyle w:val="Heading2"/>
      </w:pPr>
      <w:r w:rsidRPr="00FC2CC6">
        <w:t>Conclusion</w:t>
      </w:r>
    </w:p>
    <w:p w14:paraId="744F1BF7" w14:textId="19F0C42D" w:rsidR="002D42B3" w:rsidRPr="002D42B3" w:rsidRDefault="002D42B3" w:rsidP="002D42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56BF1" w14:textId="77777777" w:rsidR="00FC2CC6" w:rsidRPr="00FC2CC6" w:rsidRDefault="00FC2CC6" w:rsidP="00FC2CC6">
      <w:pPr>
        <w:rPr>
          <w:rFonts w:ascii="Roboto Mono" w:hAnsi="Roboto Mono"/>
        </w:rPr>
      </w:pPr>
      <w:r w:rsidRPr="00FC2CC6">
        <w:rPr>
          <w:rFonts w:ascii="Roboto Mono" w:hAnsi="Roboto Mono"/>
        </w:rPr>
        <w:t xml:space="preserve">An </w:t>
      </w:r>
      <w:r w:rsidRPr="00FC2CC6">
        <w:rPr>
          <w:rFonts w:ascii="Roboto Mono" w:hAnsi="Roboto Mono"/>
          <w:b/>
          <w:bCs/>
        </w:rPr>
        <w:t>Open Convex-Looking Polygonal Chain</w:t>
      </w:r>
      <w:r w:rsidRPr="00FC2CC6">
        <w:rPr>
          <w:rFonts w:ascii="Roboto Mono" w:hAnsi="Roboto Mono"/>
        </w:rPr>
        <w:t xml:space="preserve"> is an open chain of straight segments that </w:t>
      </w:r>
      <w:r w:rsidRPr="00FC2CC6">
        <w:rPr>
          <w:rFonts w:ascii="Roboto Mono" w:hAnsi="Roboto Mono"/>
          <w:b/>
          <w:bCs/>
        </w:rPr>
        <w:t>generally bends outward without forming obvious inward indentations</w:t>
      </w:r>
      <w:r w:rsidRPr="00FC2CC6">
        <w:rPr>
          <w:rFonts w:ascii="Roboto Mono" w:hAnsi="Roboto Mono"/>
        </w:rPr>
        <w:t xml:space="preserve">. It can be further classified according to its </w:t>
      </w:r>
      <w:r w:rsidRPr="00FC2CC6">
        <w:rPr>
          <w:rFonts w:ascii="Roboto Mono" w:hAnsi="Roboto Mono"/>
          <w:b/>
          <w:bCs/>
        </w:rPr>
        <w:t>turning pattern, symmetry, segment lengths, and geometric arrangement</w:t>
      </w:r>
      <w:r w:rsidRPr="00FC2CC6">
        <w:rPr>
          <w:rFonts w:ascii="Roboto Mono" w:hAnsi="Roboto Mono"/>
        </w:rPr>
        <w:t xml:space="preserve">. For mathematical precision, the term </w:t>
      </w:r>
      <w:r w:rsidRPr="00FC2CC6">
        <w:rPr>
          <w:rFonts w:ascii="Roboto Mono" w:hAnsi="Roboto Mono"/>
          <w:b/>
          <w:bCs/>
        </w:rPr>
        <w:t>outward-turning open polygonal chain</w:t>
      </w:r>
      <w:r w:rsidRPr="00FC2CC6">
        <w:rPr>
          <w:rFonts w:ascii="Roboto Mono" w:hAnsi="Roboto Mono"/>
        </w:rPr>
        <w:t xml:space="preserve"> is preferable to calling it a "convex polygon," since convexity is normally defined for a closed set.</w:t>
      </w:r>
    </w:p>
    <w:p w14:paraId="43E3D4E5" w14:textId="77777777" w:rsidR="00FC2CC6" w:rsidRPr="00FC2CC6" w:rsidRDefault="00FC2CC6" w:rsidP="00FC2CC6">
      <w:pPr>
        <w:rPr>
          <w:rFonts w:ascii="Roboto Mono" w:hAnsi="Roboto Mono"/>
        </w:rPr>
      </w:pPr>
    </w:p>
    <w:sectPr w:rsidR="00FC2CC6" w:rsidRPr="00FC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9C0"/>
    <w:multiLevelType w:val="multilevel"/>
    <w:tmpl w:val="534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6C32"/>
    <w:multiLevelType w:val="multilevel"/>
    <w:tmpl w:val="129E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3018F"/>
    <w:multiLevelType w:val="multilevel"/>
    <w:tmpl w:val="D5B4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D2D16"/>
    <w:multiLevelType w:val="multilevel"/>
    <w:tmpl w:val="CA0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855829">
    <w:abstractNumId w:val="3"/>
  </w:num>
  <w:num w:numId="2" w16cid:durableId="1581211759">
    <w:abstractNumId w:val="1"/>
  </w:num>
  <w:num w:numId="3" w16cid:durableId="765928560">
    <w:abstractNumId w:val="2"/>
  </w:num>
  <w:num w:numId="4" w16cid:durableId="48185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F8"/>
    <w:rsid w:val="002D1F4F"/>
    <w:rsid w:val="002D42B3"/>
    <w:rsid w:val="004B1FEE"/>
    <w:rsid w:val="00551EED"/>
    <w:rsid w:val="005A071E"/>
    <w:rsid w:val="00614464"/>
    <w:rsid w:val="006F5806"/>
    <w:rsid w:val="00711B4D"/>
    <w:rsid w:val="008952B3"/>
    <w:rsid w:val="00A70480"/>
    <w:rsid w:val="00B22431"/>
    <w:rsid w:val="00C218D4"/>
    <w:rsid w:val="00C530F8"/>
    <w:rsid w:val="00ED3476"/>
    <w:rsid w:val="00FA3222"/>
    <w:rsid w:val="00FC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617C"/>
  <w15:chartTrackingRefBased/>
  <w15:docId w15:val="{68537ED1-053C-4C2F-B7DE-AB48A067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2026-08-14T07:00:00Z</dcterms:created>
  <dcterms:modified xsi:type="dcterms:W3CDTF">2026-08-14T07:18:00Z</dcterms:modified>
</cp:coreProperties>
</file>