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9F67" w14:textId="77777777" w:rsidR="00EC4414" w:rsidRPr="00EC4414" w:rsidRDefault="00EC4414" w:rsidP="00EC4414">
      <w:pPr>
        <w:pStyle w:val="Heading1"/>
      </w:pPr>
      <w:r w:rsidRPr="00EC4414">
        <w:t>Open Concave-Looking Polygonal Chain</w:t>
      </w:r>
    </w:p>
    <w:p w14:paraId="25D35F56" w14:textId="3A2B6121" w:rsidR="00EC4414" w:rsidRPr="00EC4414" w:rsidRDefault="00EC4414" w:rsidP="00EC441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FD263B" w14:textId="38B4F84B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52D24E43" wp14:editId="55F1CF92">
            <wp:extent cx="5943600" cy="2828925"/>
            <wp:effectExtent l="0" t="0" r="0" b="9525"/>
            <wp:docPr id="171840452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83EB" w14:textId="491C543C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69114365" wp14:editId="00FB70A0">
            <wp:extent cx="4975860" cy="3840480"/>
            <wp:effectExtent l="0" t="0" r="0" b="7620"/>
            <wp:docPr id="43792779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1AA16" w14:textId="77777777" w:rsidR="00EC4414" w:rsidRDefault="00EC4414" w:rsidP="00EC4414">
      <w:pPr>
        <w:pStyle w:val="Heading2"/>
      </w:pPr>
      <w:r w:rsidRPr="00EC4414">
        <w:lastRenderedPageBreak/>
        <w:t>Definition</w:t>
      </w:r>
    </w:p>
    <w:p w14:paraId="211A8611" w14:textId="119606E8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5589B9" w14:textId="3B9E0154" w:rsidR="00EC4414" w:rsidRPr="00EC4414" w:rsidRDefault="00EC4414" w:rsidP="00525988">
      <w:p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An </w:t>
      </w:r>
      <w:r w:rsidRPr="00EC4414">
        <w:rPr>
          <w:rFonts w:ascii="Roboto Mono" w:hAnsi="Roboto Mono"/>
          <w:b/>
          <w:bCs/>
        </w:rPr>
        <w:t>Open Concave-Looking Polygonal Chain</w:t>
      </w:r>
      <w:r w:rsidRPr="00EC4414">
        <w:rPr>
          <w:rFonts w:ascii="Roboto Mono" w:hAnsi="Roboto Mono"/>
        </w:rPr>
        <w:t xml:space="preserve"> is an </w:t>
      </w:r>
      <w:r w:rsidRPr="00EC4414">
        <w:rPr>
          <w:rFonts w:ascii="Roboto Mono" w:hAnsi="Roboto Mono"/>
          <w:b/>
          <w:bCs/>
        </w:rPr>
        <w:t>open chain of three or more connected straight-line segments that contains one or more pronounced inward turns or indentations</w:t>
      </w:r>
      <w:r w:rsidRPr="00EC4414">
        <w:rPr>
          <w:rFonts w:ascii="Roboto Mono" w:hAnsi="Roboto Mono"/>
        </w:rPr>
        <w:t>, giving the overall chain a visual appearance similar to part of a concave polygon.</w:t>
      </w:r>
      <w:r w:rsidRPr="00EC4414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Open Concave-Looking Polygonal Chain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Straight Segments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Inward Turns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Open Boundary</m:t>
              </m:r>
            </m:e>
          </m:borderBox>
        </m:oMath>
      </m:oMathPara>
    </w:p>
    <w:p w14:paraId="28916503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  <w:b/>
          <w:bCs/>
        </w:rPr>
        <w:t xml:space="preserve">Terminology </w:t>
      </w:r>
      <w:proofErr w:type="gramStart"/>
      <w:r w:rsidRPr="00EC4414">
        <w:rPr>
          <w:rFonts w:ascii="Roboto Mono" w:hAnsi="Roboto Mono"/>
          <w:b/>
          <w:bCs/>
        </w:rPr>
        <w:t>note</w:t>
      </w:r>
      <w:proofErr w:type="gramEnd"/>
      <w:r w:rsidRPr="00EC4414">
        <w:rPr>
          <w:rFonts w:ascii="Roboto Mono" w:hAnsi="Roboto Mono"/>
          <w:b/>
          <w:bCs/>
        </w:rPr>
        <w:t>:</w:t>
      </w:r>
      <w:r w:rsidRPr="00EC4414">
        <w:rPr>
          <w:rFonts w:ascii="Roboto Mono" w:hAnsi="Roboto Mono"/>
        </w:rPr>
        <w:t xml:space="preserve"> In strict geometry, </w:t>
      </w:r>
      <w:r w:rsidRPr="00EC4414">
        <w:rPr>
          <w:rFonts w:ascii="Roboto Mono" w:hAnsi="Roboto Mono"/>
          <w:b/>
          <w:bCs/>
        </w:rPr>
        <w:t>concavity is normally defined for a closed set or polygon</w:t>
      </w:r>
      <w:r w:rsidRPr="00EC4414">
        <w:rPr>
          <w:rFonts w:ascii="Roboto Mono" w:hAnsi="Roboto Mono"/>
        </w:rPr>
        <w:t xml:space="preserve">. Therefore, an open chain is more precisely described as an </w:t>
      </w:r>
      <w:r w:rsidRPr="00EC4414">
        <w:rPr>
          <w:rFonts w:ascii="Roboto Mono" w:hAnsi="Roboto Mono"/>
          <w:b/>
          <w:bCs/>
        </w:rPr>
        <w:t>inward-turning polygonal chain</w:t>
      </w:r>
      <w:r w:rsidRPr="00EC4414">
        <w:rPr>
          <w:rFonts w:ascii="Roboto Mono" w:hAnsi="Roboto Mono"/>
        </w:rPr>
        <w:t xml:space="preserve"> or </w:t>
      </w:r>
      <w:r w:rsidRPr="00EC4414">
        <w:rPr>
          <w:rFonts w:ascii="Roboto Mono" w:hAnsi="Roboto Mono"/>
          <w:b/>
          <w:bCs/>
        </w:rPr>
        <w:t>concave-looking polygonal chain</w:t>
      </w:r>
      <w:r w:rsidRPr="00EC4414">
        <w:rPr>
          <w:rFonts w:ascii="Roboto Mono" w:hAnsi="Roboto Mono"/>
        </w:rPr>
        <w:t>.</w:t>
      </w:r>
    </w:p>
    <w:p w14:paraId="6CDCDFA8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5653587A">
          <v:rect id="_x0000_i1273" style="width:0;height:1.5pt" o:hralign="center" o:hrstd="t" o:hr="t" fillcolor="#a0a0a0" stroked="f"/>
        </w:pict>
      </w:r>
    </w:p>
    <w:p w14:paraId="707D1961" w14:textId="77777777" w:rsidR="00EC4414" w:rsidRDefault="00EC4414" w:rsidP="00EC4414">
      <w:pPr>
        <w:pStyle w:val="Heading2"/>
      </w:pPr>
      <w:r w:rsidRPr="00EC4414">
        <w:t>Characteristics</w:t>
      </w:r>
    </w:p>
    <w:p w14:paraId="69C754CC" w14:textId="1F0CF2B9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438711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An Open Concave-Looking Polygonal Chain:</w:t>
      </w:r>
    </w:p>
    <w:p w14:paraId="5BA14F25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Is </w:t>
      </w:r>
      <w:r w:rsidRPr="00EC4414">
        <w:rPr>
          <w:rFonts w:ascii="Roboto Mono" w:hAnsi="Roboto Mono"/>
          <w:b/>
          <w:bCs/>
        </w:rPr>
        <w:t>open</w:t>
      </w:r>
      <w:r w:rsidRPr="00EC4414">
        <w:rPr>
          <w:rFonts w:ascii="Roboto Mono" w:hAnsi="Roboto Mono"/>
        </w:rPr>
        <w:t>.</w:t>
      </w:r>
    </w:p>
    <w:p w14:paraId="56663294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Contains </w:t>
      </w:r>
      <w:r w:rsidRPr="00EC4414">
        <w:rPr>
          <w:rFonts w:ascii="Roboto Mono" w:hAnsi="Roboto Mono"/>
          <w:b/>
          <w:bCs/>
        </w:rPr>
        <w:t>three or more straight segments</w:t>
      </w:r>
      <w:r w:rsidRPr="00EC4414">
        <w:rPr>
          <w:rFonts w:ascii="Roboto Mono" w:hAnsi="Roboto Mono"/>
        </w:rPr>
        <w:t>.</w:t>
      </w:r>
    </w:p>
    <w:p w14:paraId="29AF4670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>Has connected consecutive segments.</w:t>
      </w:r>
    </w:p>
    <w:p w14:paraId="442DF507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Has </w:t>
      </w:r>
      <w:r w:rsidRPr="00EC4414">
        <w:rPr>
          <w:rFonts w:ascii="Roboto Mono" w:hAnsi="Roboto Mono"/>
          <w:b/>
          <w:bCs/>
        </w:rPr>
        <w:t>two unconnected endpoints</w:t>
      </w:r>
      <w:r w:rsidRPr="00EC4414">
        <w:rPr>
          <w:rFonts w:ascii="Roboto Mono" w:hAnsi="Roboto Mono"/>
        </w:rPr>
        <w:t>.</w:t>
      </w:r>
    </w:p>
    <w:p w14:paraId="321DEC2E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>Does not enclose an area.</w:t>
      </w:r>
    </w:p>
    <w:p w14:paraId="40FA63FF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Contains at least one visually significant </w:t>
      </w:r>
      <w:r w:rsidRPr="00EC4414">
        <w:rPr>
          <w:rFonts w:ascii="Roboto Mono" w:hAnsi="Roboto Mono"/>
          <w:b/>
          <w:bCs/>
        </w:rPr>
        <w:t>inward turn</w:t>
      </w:r>
      <w:r w:rsidRPr="00EC4414">
        <w:rPr>
          <w:rFonts w:ascii="Roboto Mono" w:hAnsi="Roboto Mono"/>
        </w:rPr>
        <w:t>.</w:t>
      </w:r>
    </w:p>
    <w:p w14:paraId="60DB0BD2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>May have unequal segment lengths.</w:t>
      </w:r>
    </w:p>
    <w:p w14:paraId="4E615D7E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>May have different turning angles.</w:t>
      </w:r>
    </w:p>
    <w:p w14:paraId="084C7B53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>Can be symmetric or asymmetric.</w:t>
      </w:r>
    </w:p>
    <w:p w14:paraId="7923DCBE" w14:textId="77777777" w:rsidR="00EC4414" w:rsidRPr="00EC4414" w:rsidRDefault="00EC4414" w:rsidP="00EC4414">
      <w:pPr>
        <w:numPr>
          <w:ilvl w:val="0"/>
          <w:numId w:val="1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>Can be simple or self-intersecting.</w:t>
      </w:r>
    </w:p>
    <w:p w14:paraId="57B6A199" w14:textId="36EB0F7E" w:rsidR="00EC4414" w:rsidRPr="00EC4414" w:rsidRDefault="00EC4414" w:rsidP="00525988">
      <w:pPr>
        <w:rPr>
          <w:rFonts w:ascii="Roboto Mono" w:hAnsi="Roboto Mono"/>
        </w:rPr>
      </w:pPr>
      <w:r w:rsidRPr="00EC4414">
        <w:rPr>
          <w:rFonts w:ascii="Roboto Mono" w:hAnsi="Roboto Mono"/>
        </w:rPr>
        <w:t>A simple representation is:</w:t>
      </w:r>
      <w:r w:rsidRPr="00EC441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A→B→C→D→E</m:t>
              </m:r>
            </m:e>
          </m:borderBox>
        </m:oMath>
      </m:oMathPara>
    </w:p>
    <w:p w14:paraId="14624C11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where one or more turns create an inward indentation.</w:t>
      </w:r>
    </w:p>
    <w:p w14:paraId="1A0CE7B8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5676118B">
          <v:rect id="_x0000_i1274" style="width:0;height:1.5pt" o:hralign="center" o:hrstd="t" o:hr="t" fillcolor="#a0a0a0" stroked="f"/>
        </w:pict>
      </w:r>
    </w:p>
    <w:p w14:paraId="7C223284" w14:textId="77777777" w:rsidR="00EC4414" w:rsidRPr="00EC4414" w:rsidRDefault="00EC4414" w:rsidP="00EC4414">
      <w:pPr>
        <w:pStyle w:val="Heading2"/>
      </w:pPr>
      <w:r w:rsidRPr="00EC4414">
        <w:t>Types of Open Concave-Looking Polygonal Chains</w:t>
      </w:r>
    </w:p>
    <w:p w14:paraId="46F8E664" w14:textId="77777777" w:rsidR="00EC4414" w:rsidRDefault="00EC4414" w:rsidP="00EC4414">
      <w:pPr>
        <w:pStyle w:val="Heading3"/>
      </w:pPr>
      <w:r w:rsidRPr="00EC4414">
        <w:t>1. Simple Open Concave-Looking Chain</w:t>
      </w:r>
    </w:p>
    <w:p w14:paraId="7040507E" w14:textId="0030E8E6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B6EA8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A basic open chain containing one clear inward turn.</w:t>
      </w:r>
    </w:p>
    <w:p w14:paraId="2CC10530" w14:textId="219B8DB0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0A8BD771" wp14:editId="42ED3874">
            <wp:extent cx="4975860" cy="3840480"/>
            <wp:effectExtent l="0" t="0" r="0" b="7620"/>
            <wp:docPr id="2144635383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DA55" w14:textId="4E30F675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31D4CAA4" wp14:editId="2C0EC890">
            <wp:extent cx="5943600" cy="2978785"/>
            <wp:effectExtent l="0" t="0" r="0" b="0"/>
            <wp:docPr id="944753669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A4D4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This is the simplest form of an inward-turning open chain.</w:t>
      </w:r>
    </w:p>
    <w:p w14:paraId="49642A76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4B6EBF15">
          <v:rect id="_x0000_i1277" style="width:0;height:1.5pt" o:hralign="center" o:hrstd="t" o:hr="t" fillcolor="#a0a0a0" stroked="f"/>
        </w:pict>
      </w:r>
    </w:p>
    <w:p w14:paraId="22BDDBB8" w14:textId="77777777" w:rsidR="00EC4414" w:rsidRDefault="00EC4414" w:rsidP="00EC4414">
      <w:pPr>
        <w:pStyle w:val="Heading3"/>
      </w:pPr>
      <w:r w:rsidRPr="00EC4414">
        <w:t>2. Open Indented Polygonal Chain</w:t>
      </w:r>
    </w:p>
    <w:p w14:paraId="444FD556" w14:textId="45B81445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2D611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The chain contains a pronounced inward indentation.</w:t>
      </w:r>
    </w:p>
    <w:p w14:paraId="49FB3B2B" w14:textId="7F12C6F8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72A569BC" wp14:editId="0207C4BA">
            <wp:extent cx="5943600" cy="2828925"/>
            <wp:effectExtent l="0" t="0" r="0" b="9525"/>
            <wp:docPr id="67280399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B72A" w14:textId="6020AE53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4ED63AB8" wp14:editId="0A8309EE">
            <wp:extent cx="5326380" cy="4122420"/>
            <wp:effectExtent l="0" t="0" r="7620" b="0"/>
            <wp:docPr id="13710215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983A" w14:textId="5D07DF0A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0B979491" wp14:editId="608CC790">
            <wp:extent cx="5943600" cy="1880870"/>
            <wp:effectExtent l="0" t="0" r="0" b="5080"/>
            <wp:docPr id="102668159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DE55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The indentation is the main feature distinguishing it from an outward-turning chain.</w:t>
      </w:r>
    </w:p>
    <w:p w14:paraId="747E46FB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512B2B7B">
          <v:rect id="_x0000_i1281" style="width:0;height:1.5pt" o:hralign="center" o:hrstd="t" o:hr="t" fillcolor="#a0a0a0" stroked="f"/>
        </w:pict>
      </w:r>
    </w:p>
    <w:p w14:paraId="2B75FECD" w14:textId="77777777" w:rsidR="00EC4414" w:rsidRDefault="00EC4414" w:rsidP="00EC4414">
      <w:pPr>
        <w:pStyle w:val="Heading3"/>
      </w:pPr>
      <w:r w:rsidRPr="00EC4414">
        <w:t>3. Open Concave-Looking Zigzag Chain</w:t>
      </w:r>
    </w:p>
    <w:p w14:paraId="078DD162" w14:textId="66A65253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BCBC70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t>The chain follows a zigzag pattern with one or more turns directed inward.</w:t>
      </w:r>
    </w:p>
    <w:p w14:paraId="2B95F6D8" w14:textId="0FFF915F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002FFF5B" wp14:editId="53200F80">
            <wp:extent cx="4975860" cy="3840480"/>
            <wp:effectExtent l="0" t="0" r="0" b="7620"/>
            <wp:docPr id="208523358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B945C" w14:textId="5859DD09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4C63E83A" wp14:editId="7309F870">
            <wp:extent cx="5943600" cy="2971800"/>
            <wp:effectExtent l="0" t="0" r="0" b="0"/>
            <wp:docPr id="207036148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69BC" w14:textId="586446F8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2FD0CC52" wp14:editId="0CF61A86">
            <wp:extent cx="5143500" cy="3124200"/>
            <wp:effectExtent l="0" t="0" r="0" b="0"/>
            <wp:docPr id="1145223707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022BF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A zigzag chain can alternate between outward and inward turns.</w:t>
      </w:r>
    </w:p>
    <w:p w14:paraId="24D1BDE0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783B2015">
          <v:rect id="_x0000_i1285" style="width:0;height:1.5pt" o:hralign="center" o:hrstd="t" o:hr="t" fillcolor="#a0a0a0" stroked="f"/>
        </w:pict>
      </w:r>
    </w:p>
    <w:p w14:paraId="1D6DEE9A" w14:textId="77777777" w:rsidR="00EC4414" w:rsidRDefault="00EC4414" w:rsidP="00EC4414">
      <w:pPr>
        <w:pStyle w:val="Heading3"/>
      </w:pPr>
      <w:r w:rsidRPr="00EC4414">
        <w:t>4. Open Notched Polygonal Chain</w:t>
      </w:r>
    </w:p>
    <w:p w14:paraId="4730EC18" w14:textId="3ADE39DF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75494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A notch-like indentation occurs along the chain.</w:t>
      </w:r>
    </w:p>
    <w:p w14:paraId="202461F2" w14:textId="759990F1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0F4AAB9C" wp14:editId="49E1C6EF">
            <wp:extent cx="5326380" cy="4122420"/>
            <wp:effectExtent l="0" t="0" r="7620" b="0"/>
            <wp:docPr id="1721981971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E52E3" w14:textId="1F0E669B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3EA63B64" wp14:editId="6DBDA275">
            <wp:extent cx="5943600" cy="2828925"/>
            <wp:effectExtent l="0" t="0" r="0" b="9525"/>
            <wp:docPr id="4428836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9D5D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The notch can be shallow or deep.</w:t>
      </w:r>
    </w:p>
    <w:p w14:paraId="2EF7DCE4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0A413C41">
          <v:rect id="_x0000_i1288" style="width:0;height:1.5pt" o:hralign="center" o:hrstd="t" o:hr="t" fillcolor="#a0a0a0" stroked="f"/>
        </w:pict>
      </w:r>
    </w:p>
    <w:p w14:paraId="75E1E414" w14:textId="77777777" w:rsidR="00EC4414" w:rsidRDefault="00EC4414" w:rsidP="00EC4414">
      <w:pPr>
        <w:pStyle w:val="Heading3"/>
      </w:pPr>
      <w:r w:rsidRPr="00EC4414">
        <w:lastRenderedPageBreak/>
        <w:t>5. Open U-Inward Polygonal Chain</w:t>
      </w:r>
    </w:p>
    <w:p w14:paraId="56BAB74A" w14:textId="54166E91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F7B784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The segments form a pronounced U-like inward region without closing the boundary.</w:t>
      </w:r>
    </w:p>
    <w:p w14:paraId="3B4844A8" w14:textId="55EAC468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03B143B0" wp14:editId="5C8E3096">
            <wp:extent cx="5623560" cy="3794760"/>
            <wp:effectExtent l="0" t="0" r="0" b="0"/>
            <wp:docPr id="147993107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A4B1" w14:textId="6F406213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427E61A6" wp14:editId="196FC0B3">
            <wp:extent cx="5943600" cy="2828925"/>
            <wp:effectExtent l="0" t="0" r="0" b="9525"/>
            <wp:docPr id="12908927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F4F7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t>The endpoints remain separated.</w:t>
      </w:r>
    </w:p>
    <w:p w14:paraId="5D427953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0574E551">
          <v:rect id="_x0000_i1291" style="width:0;height:1.5pt" o:hralign="center" o:hrstd="t" o:hr="t" fillcolor="#a0a0a0" stroked="f"/>
        </w:pict>
      </w:r>
    </w:p>
    <w:p w14:paraId="5A355DEF" w14:textId="77777777" w:rsidR="00EC4414" w:rsidRDefault="00EC4414" w:rsidP="00EC4414">
      <w:pPr>
        <w:pStyle w:val="Heading3"/>
      </w:pPr>
      <w:r w:rsidRPr="00EC4414">
        <w:t>6. Symmetric Open Concave-Looking Chain</w:t>
      </w:r>
    </w:p>
    <w:p w14:paraId="64C77AD5" w14:textId="53C01F29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19289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The inward portion is arranged symmetrically around an axis.</w:t>
      </w:r>
    </w:p>
    <w:p w14:paraId="563F5D25" w14:textId="3AE692AF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708DF6E4" wp14:editId="7454C4AC">
            <wp:extent cx="5943600" cy="7688580"/>
            <wp:effectExtent l="0" t="0" r="0" b="7620"/>
            <wp:docPr id="211835746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4A4D" w14:textId="6F452991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114577F3" wp14:editId="520A46A6">
            <wp:extent cx="5943600" cy="5943600"/>
            <wp:effectExtent l="0" t="0" r="0" b="0"/>
            <wp:docPr id="111428721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6177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For example, the indentation can be centered around a vertical axis.</w:t>
      </w:r>
    </w:p>
    <w:p w14:paraId="1687BE84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31176724">
          <v:rect id="_x0000_i1294" style="width:0;height:1.5pt" o:hralign="center" o:hrstd="t" o:hr="t" fillcolor="#a0a0a0" stroked="f"/>
        </w:pict>
      </w:r>
    </w:p>
    <w:p w14:paraId="70A48ED7" w14:textId="77777777" w:rsidR="00EC4414" w:rsidRDefault="00EC4414" w:rsidP="00EC4414">
      <w:pPr>
        <w:pStyle w:val="Heading3"/>
      </w:pPr>
      <w:r w:rsidRPr="00EC4414">
        <w:t>7. Asymmetric Open Concave-Looking Chain</w:t>
      </w:r>
    </w:p>
    <w:p w14:paraId="34295DB6" w14:textId="31FCE45E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8B37B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The chain has an inward indentation but no regular symmetry.</w:t>
      </w:r>
    </w:p>
    <w:p w14:paraId="0CDA6CC0" w14:textId="6888AADC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69DC9CF4" wp14:editId="2F3D94F8">
            <wp:extent cx="5326380" cy="4122420"/>
            <wp:effectExtent l="0" t="0" r="7620" b="0"/>
            <wp:docPr id="190689625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A6FE" w14:textId="337D859D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4F7E246A" wp14:editId="033C1851">
            <wp:extent cx="5943600" cy="3566160"/>
            <wp:effectExtent l="0" t="0" r="0" b="0"/>
            <wp:docPr id="757409886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1C51" w14:textId="199E293A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3547E64D" wp14:editId="61126449">
            <wp:extent cx="5943600" cy="2828925"/>
            <wp:effectExtent l="0" t="0" r="0" b="9525"/>
            <wp:docPr id="36968987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122F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The two sides of the indentation can have different lengths and angles.</w:t>
      </w:r>
    </w:p>
    <w:p w14:paraId="54A28F35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225AF21D">
          <v:rect id="_x0000_i1298" style="width:0;height:1.5pt" o:hralign="center" o:hrstd="t" o:hr="t" fillcolor="#a0a0a0" stroked="f"/>
        </w:pict>
      </w:r>
    </w:p>
    <w:p w14:paraId="7B5CC116" w14:textId="77777777" w:rsidR="00EC4414" w:rsidRDefault="00EC4414" w:rsidP="00EC4414">
      <w:pPr>
        <w:pStyle w:val="Heading3"/>
      </w:pPr>
      <w:r w:rsidRPr="00EC4414">
        <w:t>8. Multiple-Inward-Turn Open Chain</w:t>
      </w:r>
    </w:p>
    <w:p w14:paraId="35A3C50B" w14:textId="66CB0299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686B38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The chain contains several inward turns.</w:t>
      </w:r>
    </w:p>
    <w:p w14:paraId="30E6117F" w14:textId="774BD92C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160709B8" wp14:editId="17D8E813">
            <wp:extent cx="5943600" cy="2828925"/>
            <wp:effectExtent l="0" t="0" r="0" b="9525"/>
            <wp:docPr id="1404275733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9F9ED" w14:textId="0903872C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270CA0C0" wp14:editId="7A397327">
            <wp:extent cx="5143500" cy="3124200"/>
            <wp:effectExtent l="0" t="0" r="0" b="0"/>
            <wp:docPr id="38050249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A2D6" w14:textId="1C8FF9A1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2A7FB57A" wp14:editId="5B851BFF">
            <wp:extent cx="5943600" cy="3509645"/>
            <wp:effectExtent l="0" t="0" r="0" b="0"/>
            <wp:docPr id="244599735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4A5E3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This produces a more complex concave-looking structure.</w:t>
      </w:r>
    </w:p>
    <w:p w14:paraId="3D4CCD82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0061C6FE">
          <v:rect id="_x0000_i1302" style="width:0;height:1.5pt" o:hralign="center" o:hrstd="t" o:hr="t" fillcolor="#a0a0a0" stroked="f"/>
        </w:pict>
      </w:r>
    </w:p>
    <w:p w14:paraId="4674B81D" w14:textId="77777777" w:rsidR="00EC4414" w:rsidRDefault="00EC4414" w:rsidP="00EC4414">
      <w:pPr>
        <w:pStyle w:val="Heading3"/>
      </w:pPr>
      <w:r w:rsidRPr="00EC4414">
        <w:t>9. Open Rectilinear Concave-Looking Chain</w:t>
      </w:r>
    </w:p>
    <w:p w14:paraId="30D5612D" w14:textId="04FDC8D4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7F9BE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t>The inward turns are formed entirely from horizontal and vertical segments.</w:t>
      </w:r>
    </w:p>
    <w:p w14:paraId="40C4B342" w14:textId="4F50AC5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421B9E31" wp14:editId="2A45B580">
            <wp:extent cx="5943600" cy="2828925"/>
            <wp:effectExtent l="0" t="0" r="0" b="9525"/>
            <wp:docPr id="81119516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BE85" w14:textId="2ECE1A52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3890A62E" wp14:editId="1B29D49C">
            <wp:extent cx="5943600" cy="2498090"/>
            <wp:effectExtent l="0" t="0" r="0" b="0"/>
            <wp:docPr id="111526237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E275" w14:textId="3F616C5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2043F58D" wp14:editId="54363A24">
            <wp:extent cx="5143500" cy="3124200"/>
            <wp:effectExtent l="0" t="0" r="0" b="0"/>
            <wp:docPr id="195890131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A327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This is an </w:t>
      </w:r>
      <w:r w:rsidRPr="00EC4414">
        <w:rPr>
          <w:rFonts w:ascii="Roboto Mono" w:hAnsi="Roboto Mono"/>
          <w:b/>
          <w:bCs/>
        </w:rPr>
        <w:t>orthogonal/rectilinear</w:t>
      </w:r>
      <w:r w:rsidRPr="00EC4414">
        <w:rPr>
          <w:rFonts w:ascii="Roboto Mono" w:hAnsi="Roboto Mono"/>
        </w:rPr>
        <w:t xml:space="preserve"> subtype.</w:t>
      </w:r>
    </w:p>
    <w:p w14:paraId="30BE0ABA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6A2FD698">
          <v:rect id="_x0000_i1306" style="width:0;height:1.5pt" o:hralign="center" o:hrstd="t" o:hr="t" fillcolor="#a0a0a0" stroked="f"/>
        </w:pict>
      </w:r>
    </w:p>
    <w:p w14:paraId="05AE4935" w14:textId="77777777" w:rsidR="00EC4414" w:rsidRDefault="00EC4414" w:rsidP="00EC4414">
      <w:pPr>
        <w:pStyle w:val="Heading3"/>
      </w:pPr>
      <w:r w:rsidRPr="00EC4414">
        <w:t>10. Open Concave-Looking Self-Intersecting Chain</w:t>
      </w:r>
    </w:p>
    <w:p w14:paraId="47ED3CD5" w14:textId="73438F7E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3B1C3F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Some segments cross while the chain also contains inward turns.</w:t>
      </w:r>
    </w:p>
    <w:p w14:paraId="18B753E3" w14:textId="25A6E382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48488426" wp14:editId="71820FD9">
            <wp:extent cx="5486400" cy="4480560"/>
            <wp:effectExtent l="0" t="0" r="0" b="0"/>
            <wp:docPr id="50815384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EB61" w14:textId="35A73BDA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2102741B" wp14:editId="1D85EB79">
            <wp:extent cx="4876800" cy="4236720"/>
            <wp:effectExtent l="0" t="0" r="0" b="0"/>
            <wp:docPr id="174921510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BFC2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Because of the self-intersection, this becomes a more complex open polygonal network/path.</w:t>
      </w:r>
    </w:p>
    <w:p w14:paraId="3C342EF2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762D0287">
          <v:rect id="_x0000_i1309" style="width:0;height:1.5pt" o:hralign="center" o:hrstd="t" o:hr="t" fillcolor="#a0a0a0" stroked="f"/>
        </w:pict>
      </w:r>
    </w:p>
    <w:p w14:paraId="38F9DFF8" w14:textId="77777777" w:rsidR="00EC4414" w:rsidRDefault="00EC4414" w:rsidP="00EC4414">
      <w:pPr>
        <w:pStyle w:val="Heading2"/>
      </w:pPr>
      <w:r w:rsidRPr="00EC4414">
        <w:t>Concave-Looking vs. Convex-Looking Open Chains</w:t>
      </w:r>
    </w:p>
    <w:p w14:paraId="611A5895" w14:textId="4AC5315B" w:rsidR="00EC4414" w:rsidRDefault="00EC4414" w:rsidP="00EC44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01E660" w14:textId="5AEC1E03" w:rsidR="003811D5" w:rsidRPr="00EC4414" w:rsidRDefault="003811D5" w:rsidP="00EC4414">
      <w:r>
        <w:rPr>
          <w:noProof/>
        </w:rPr>
        <w:lastRenderedPageBreak/>
        <w:drawing>
          <wp:inline distT="0" distB="0" distL="0" distR="0" wp14:anchorId="0D8B98AE" wp14:editId="62FDB809">
            <wp:extent cx="5943600" cy="2263775"/>
            <wp:effectExtent l="0" t="0" r="0" b="3175"/>
            <wp:docPr id="170982957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2645"/>
        <w:gridCol w:w="2804"/>
      </w:tblGrid>
      <w:tr w:rsidR="00EC4414" w:rsidRPr="00EC4414" w14:paraId="5185F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1EFB4" w14:textId="77777777" w:rsidR="00EC4414" w:rsidRPr="00EC4414" w:rsidRDefault="00EC4414" w:rsidP="00EC4414">
            <w:pPr>
              <w:rPr>
                <w:rFonts w:ascii="Roboto Mono" w:hAnsi="Roboto Mono"/>
                <w:b/>
                <w:bCs/>
              </w:rPr>
            </w:pPr>
            <w:r w:rsidRPr="00EC441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C25B895" w14:textId="77777777" w:rsidR="00EC4414" w:rsidRPr="00EC4414" w:rsidRDefault="00EC4414" w:rsidP="00EC4414">
            <w:pPr>
              <w:rPr>
                <w:rFonts w:ascii="Roboto Mono" w:hAnsi="Roboto Mono"/>
                <w:b/>
                <w:bCs/>
              </w:rPr>
            </w:pPr>
            <w:r w:rsidRPr="00EC4414">
              <w:rPr>
                <w:rFonts w:ascii="Roboto Mono" w:hAnsi="Roboto Mono"/>
                <w:b/>
                <w:bCs/>
              </w:rPr>
              <w:t>Convex-Looking Chain</w:t>
            </w:r>
          </w:p>
        </w:tc>
        <w:tc>
          <w:tcPr>
            <w:tcW w:w="0" w:type="auto"/>
            <w:vAlign w:val="center"/>
            <w:hideMark/>
          </w:tcPr>
          <w:p w14:paraId="4E27376C" w14:textId="77777777" w:rsidR="00EC4414" w:rsidRPr="00EC4414" w:rsidRDefault="00EC4414" w:rsidP="00EC4414">
            <w:pPr>
              <w:rPr>
                <w:rFonts w:ascii="Roboto Mono" w:hAnsi="Roboto Mono"/>
                <w:b/>
                <w:bCs/>
              </w:rPr>
            </w:pPr>
            <w:r w:rsidRPr="00EC4414">
              <w:rPr>
                <w:rFonts w:ascii="Roboto Mono" w:hAnsi="Roboto Mono"/>
                <w:b/>
                <w:bCs/>
              </w:rPr>
              <w:t>Concave-Looking Chain</w:t>
            </w:r>
          </w:p>
        </w:tc>
      </w:tr>
      <w:tr w:rsidR="00EC4414" w:rsidRPr="00EC4414" w14:paraId="14B3F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344E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4074929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8E85E8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Yes</w:t>
            </w:r>
          </w:p>
        </w:tc>
      </w:tr>
      <w:tr w:rsidR="00EC4414" w:rsidRPr="00EC4414" w14:paraId="0167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C650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0179C428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3+</w:t>
            </w:r>
          </w:p>
        </w:tc>
        <w:tc>
          <w:tcPr>
            <w:tcW w:w="0" w:type="auto"/>
            <w:vAlign w:val="center"/>
            <w:hideMark/>
          </w:tcPr>
          <w:p w14:paraId="3766E4E2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3+</w:t>
            </w:r>
          </w:p>
        </w:tc>
      </w:tr>
      <w:tr w:rsidR="00EC4414" w:rsidRPr="00EC4414" w14:paraId="4C3D0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758B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General appearance</w:t>
            </w:r>
          </w:p>
        </w:tc>
        <w:tc>
          <w:tcPr>
            <w:tcW w:w="0" w:type="auto"/>
            <w:vAlign w:val="center"/>
            <w:hideMark/>
          </w:tcPr>
          <w:p w14:paraId="4AC662D0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Outward</w:t>
            </w:r>
          </w:p>
        </w:tc>
        <w:tc>
          <w:tcPr>
            <w:tcW w:w="0" w:type="auto"/>
            <w:vAlign w:val="center"/>
            <w:hideMark/>
          </w:tcPr>
          <w:p w14:paraId="37C99A9B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Inward</w:t>
            </w:r>
          </w:p>
        </w:tc>
      </w:tr>
      <w:tr w:rsidR="00EC4414" w:rsidRPr="00EC4414" w14:paraId="79857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46BE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Indentations</w:t>
            </w:r>
          </w:p>
        </w:tc>
        <w:tc>
          <w:tcPr>
            <w:tcW w:w="0" w:type="auto"/>
            <w:vAlign w:val="center"/>
            <w:hideMark/>
          </w:tcPr>
          <w:p w14:paraId="5476C3A2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proofErr w:type="gramStart"/>
            <w:r w:rsidRPr="00EC4414">
              <w:rPr>
                <w:rFonts w:ascii="Roboto Mono" w:hAnsi="Roboto Mono"/>
              </w:rPr>
              <w:t>Usually</w:t>
            </w:r>
            <w:proofErr w:type="gramEnd"/>
            <w:r w:rsidRPr="00EC4414">
              <w:rPr>
                <w:rFonts w:ascii="Roboto Mono" w:hAnsi="Roboto Mono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6B3C0B2B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  <w:b/>
                <w:bCs/>
              </w:rPr>
              <w:t>Present</w:t>
            </w:r>
          </w:p>
        </w:tc>
      </w:tr>
      <w:tr w:rsidR="00EC4414" w:rsidRPr="00EC4414" w14:paraId="75CF3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3F92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14458E99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7C2CCB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No</w:t>
            </w:r>
          </w:p>
        </w:tc>
      </w:tr>
      <w:tr w:rsidR="00EC4414" w:rsidRPr="00EC4414" w14:paraId="7442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2FA2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Strict convex/concave polygon</w:t>
            </w:r>
          </w:p>
        </w:tc>
        <w:tc>
          <w:tcPr>
            <w:tcW w:w="0" w:type="auto"/>
            <w:vAlign w:val="center"/>
            <w:hideMark/>
          </w:tcPr>
          <w:p w14:paraId="2C241B1E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310965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No</w:t>
            </w:r>
          </w:p>
        </w:tc>
      </w:tr>
    </w:tbl>
    <w:p w14:paraId="2860C38E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The distinction is based on the </w:t>
      </w:r>
      <w:r w:rsidRPr="00EC4414">
        <w:rPr>
          <w:rFonts w:ascii="Roboto Mono" w:hAnsi="Roboto Mono"/>
          <w:b/>
          <w:bCs/>
        </w:rPr>
        <w:t>visual direction of the turns</w:t>
      </w:r>
      <w:r w:rsidRPr="00EC4414">
        <w:rPr>
          <w:rFonts w:ascii="Roboto Mono" w:hAnsi="Roboto Mono"/>
        </w:rPr>
        <w:t>, since neither figure is a closed polygon.</w:t>
      </w:r>
    </w:p>
    <w:p w14:paraId="233AD68F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37C6E343">
          <v:rect id="_x0000_i1310" style="width:0;height:1.5pt" o:hralign="center" o:hrstd="t" o:hr="t" fillcolor="#a0a0a0" stroked="f"/>
        </w:pict>
      </w:r>
    </w:p>
    <w:p w14:paraId="2345F9BA" w14:textId="77777777" w:rsidR="00EC4414" w:rsidRDefault="00EC4414" w:rsidP="00EC4414">
      <w:pPr>
        <w:pStyle w:val="Heading2"/>
      </w:pPr>
      <w:r w:rsidRPr="00EC4414">
        <w:t>Concave-Looking Chain vs. Closed Concave Polygon</w:t>
      </w:r>
    </w:p>
    <w:p w14:paraId="491CDDAB" w14:textId="7370B5EB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8A1CE0" w14:textId="7FCE3CCE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640962AB" wp14:editId="695BBF7E">
            <wp:extent cx="5943600" cy="2828925"/>
            <wp:effectExtent l="0" t="0" r="0" b="9525"/>
            <wp:docPr id="46354568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A215" w14:textId="29A7A119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drawing>
          <wp:inline distT="0" distB="0" distL="0" distR="0" wp14:anchorId="571B3873" wp14:editId="2995D68E">
            <wp:extent cx="5943600" cy="3140710"/>
            <wp:effectExtent l="0" t="0" r="0" b="2540"/>
            <wp:docPr id="40801259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B7E6" w14:textId="7E1AFD76" w:rsid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drawing>
          <wp:inline distT="0" distB="0" distL="0" distR="0" wp14:anchorId="4A51770F" wp14:editId="0C796EA1">
            <wp:extent cx="5943600" cy="4457700"/>
            <wp:effectExtent l="0" t="0" r="0" b="0"/>
            <wp:docPr id="81118770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4651" w14:textId="55F44417" w:rsidR="00540ABE" w:rsidRPr="00EC4414" w:rsidRDefault="00540ABE" w:rsidP="00EC441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4B1E23" wp14:editId="546A1715">
            <wp:extent cx="5943600" cy="2233930"/>
            <wp:effectExtent l="0" t="0" r="0" b="0"/>
            <wp:docPr id="71874638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655"/>
        <w:gridCol w:w="3103"/>
      </w:tblGrid>
      <w:tr w:rsidR="00EC4414" w:rsidRPr="00EC4414" w14:paraId="649F1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BDC33" w14:textId="77777777" w:rsidR="00EC4414" w:rsidRPr="00EC4414" w:rsidRDefault="00EC4414" w:rsidP="00EC4414">
            <w:pPr>
              <w:rPr>
                <w:rFonts w:ascii="Roboto Mono" w:hAnsi="Roboto Mono"/>
                <w:b/>
                <w:bCs/>
              </w:rPr>
            </w:pPr>
            <w:r w:rsidRPr="00EC441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26B9514" w14:textId="77777777" w:rsidR="00EC4414" w:rsidRPr="00EC4414" w:rsidRDefault="00EC4414" w:rsidP="00EC4414">
            <w:pPr>
              <w:rPr>
                <w:rFonts w:ascii="Roboto Mono" w:hAnsi="Roboto Mono"/>
                <w:b/>
                <w:bCs/>
              </w:rPr>
            </w:pPr>
            <w:r w:rsidRPr="00EC4414">
              <w:rPr>
                <w:rFonts w:ascii="Roboto Mono" w:hAnsi="Roboto Mono"/>
                <w:b/>
                <w:bCs/>
              </w:rPr>
              <w:t>Open Concave-Looking Chain</w:t>
            </w:r>
          </w:p>
        </w:tc>
        <w:tc>
          <w:tcPr>
            <w:tcW w:w="0" w:type="auto"/>
            <w:vAlign w:val="center"/>
            <w:hideMark/>
          </w:tcPr>
          <w:p w14:paraId="1442E02F" w14:textId="77777777" w:rsidR="00EC4414" w:rsidRPr="00EC4414" w:rsidRDefault="00EC4414" w:rsidP="00EC4414">
            <w:pPr>
              <w:rPr>
                <w:rFonts w:ascii="Roboto Mono" w:hAnsi="Roboto Mono"/>
                <w:b/>
                <w:bCs/>
              </w:rPr>
            </w:pPr>
            <w:r w:rsidRPr="00EC4414">
              <w:rPr>
                <w:rFonts w:ascii="Roboto Mono" w:hAnsi="Roboto Mono"/>
                <w:b/>
                <w:bCs/>
              </w:rPr>
              <w:t>Closed Concave Polygon</w:t>
            </w:r>
          </w:p>
        </w:tc>
      </w:tr>
      <w:tr w:rsidR="00EC4414" w:rsidRPr="00EC4414" w14:paraId="4E2CE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BCE7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01FDCFF9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3+</w:t>
            </w:r>
          </w:p>
        </w:tc>
        <w:tc>
          <w:tcPr>
            <w:tcW w:w="0" w:type="auto"/>
            <w:vAlign w:val="center"/>
            <w:hideMark/>
          </w:tcPr>
          <w:p w14:paraId="01204613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3+</w:t>
            </w:r>
          </w:p>
        </w:tc>
      </w:tr>
      <w:tr w:rsidR="00EC4414" w:rsidRPr="00EC4414" w14:paraId="46360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C670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lastRenderedPageBreak/>
              <w:t>Inward indentation</w:t>
            </w:r>
          </w:p>
        </w:tc>
        <w:tc>
          <w:tcPr>
            <w:tcW w:w="0" w:type="auto"/>
            <w:vAlign w:val="center"/>
            <w:hideMark/>
          </w:tcPr>
          <w:p w14:paraId="1F5F8E0E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D980FC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Segoe UI Symbol" w:hAnsi="Segoe UI Symbol" w:cs="Segoe UI Symbol"/>
              </w:rPr>
              <w:t>✓</w:t>
            </w:r>
          </w:p>
        </w:tc>
      </w:tr>
      <w:tr w:rsidR="00EC4414" w:rsidRPr="00EC4414" w14:paraId="2E0C1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2F8C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223DABC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8B4613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EC4414" w:rsidRPr="00EC4414" w14:paraId="348F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6705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3F0BF200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4FB2E8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Yes</w:t>
            </w:r>
          </w:p>
        </w:tc>
      </w:tr>
      <w:tr w:rsidR="00EC4414" w:rsidRPr="00EC4414" w14:paraId="2BE6D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9064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Strict concavity</w:t>
            </w:r>
          </w:p>
        </w:tc>
        <w:tc>
          <w:tcPr>
            <w:tcW w:w="0" w:type="auto"/>
            <w:vAlign w:val="center"/>
            <w:hideMark/>
          </w:tcPr>
          <w:p w14:paraId="259238FA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Not formally applicable</w:t>
            </w:r>
          </w:p>
        </w:tc>
        <w:tc>
          <w:tcPr>
            <w:tcW w:w="0" w:type="auto"/>
            <w:vAlign w:val="center"/>
            <w:hideMark/>
          </w:tcPr>
          <w:p w14:paraId="75A090FB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Yes</w:t>
            </w:r>
          </w:p>
        </w:tc>
      </w:tr>
      <w:tr w:rsidR="00EC4414" w:rsidRPr="00EC4414" w14:paraId="73303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0944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Open endpoints</w:t>
            </w:r>
          </w:p>
        </w:tc>
        <w:tc>
          <w:tcPr>
            <w:tcW w:w="0" w:type="auto"/>
            <w:vAlign w:val="center"/>
            <w:hideMark/>
          </w:tcPr>
          <w:p w14:paraId="03324E92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FCFADA" w14:textId="77777777" w:rsidR="00EC4414" w:rsidRPr="00EC4414" w:rsidRDefault="00EC4414" w:rsidP="00EC4414">
            <w:pPr>
              <w:rPr>
                <w:rFonts w:ascii="Roboto Mono" w:hAnsi="Roboto Mono"/>
              </w:rPr>
            </w:pPr>
            <w:r w:rsidRPr="00EC4414">
              <w:rPr>
                <w:rFonts w:ascii="Roboto Mono" w:hAnsi="Roboto Mono"/>
              </w:rPr>
              <w:t>0</w:t>
            </w:r>
          </w:p>
        </w:tc>
      </w:tr>
    </w:tbl>
    <w:p w14:paraId="1CFE65AF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325147C7">
          <v:rect id="_x0000_i1314" style="width:0;height:1.5pt" o:hralign="center" o:hrstd="t" o:hr="t" fillcolor="#a0a0a0" stroked="f"/>
        </w:pict>
      </w:r>
    </w:p>
    <w:p w14:paraId="668FB4D3" w14:textId="77777777" w:rsidR="00EC4414" w:rsidRDefault="00EC4414" w:rsidP="00EC4414">
      <w:pPr>
        <w:pStyle w:val="Heading2"/>
      </w:pPr>
      <w:r w:rsidRPr="00EC4414">
        <w:t>Area and Length</w:t>
      </w:r>
    </w:p>
    <w:p w14:paraId="78089643" w14:textId="7C797A14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190315" w14:textId="77777777" w:rsidR="00EC4414" w:rsidRPr="00EC4414" w:rsidRDefault="00EC4414" w:rsidP="00EC4414">
      <w:pPr>
        <w:rPr>
          <w:rFonts w:ascii="Roboto Mono" w:hAnsi="Roboto Mono"/>
          <w:b/>
          <w:bCs/>
        </w:rPr>
      </w:pPr>
      <w:r w:rsidRPr="00EC4414">
        <w:rPr>
          <w:rFonts w:ascii="Roboto Mono" w:hAnsi="Roboto Mono"/>
          <w:b/>
          <w:bCs/>
        </w:rPr>
        <w:t>Area</w:t>
      </w:r>
    </w:p>
    <w:p w14:paraId="55CBB77E" w14:textId="7FD46908" w:rsidR="00EC4414" w:rsidRPr="00EC4414" w:rsidRDefault="00EC4414" w:rsidP="00DA7C0B">
      <w:pPr>
        <w:rPr>
          <w:rFonts w:ascii="Roboto Mono" w:hAnsi="Roboto Mono"/>
        </w:rPr>
      </w:pPr>
      <w:r w:rsidRPr="00EC4414">
        <w:rPr>
          <w:rFonts w:ascii="Roboto Mono" w:hAnsi="Roboto Mono"/>
        </w:rPr>
        <w:t>An open chain does not enclose a region:</w:t>
      </w:r>
      <w:r w:rsidRPr="00EC441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>
                <m:rPr>
                  <m:nor/>
                </m:rPr>
                <w:rPr>
                  <w:rFonts w:ascii="Roboto Mono" w:hAnsi="Roboto Mono"/>
                </w:rPr>
                <m:t>no enclosed area</m:t>
              </m:r>
            </m:e>
          </m:borderBox>
        </m:oMath>
      </m:oMathPara>
    </w:p>
    <w:p w14:paraId="034B527D" w14:textId="77777777" w:rsidR="00EC4414" w:rsidRPr="00EC4414" w:rsidRDefault="00EC4414" w:rsidP="00EC4414">
      <w:pPr>
        <w:rPr>
          <w:rFonts w:ascii="Roboto Mono" w:hAnsi="Roboto Mono"/>
          <w:b/>
          <w:bCs/>
        </w:rPr>
      </w:pPr>
      <w:r w:rsidRPr="00EC4414">
        <w:rPr>
          <w:rFonts w:ascii="Roboto Mono" w:hAnsi="Roboto Mono"/>
          <w:b/>
          <w:bCs/>
        </w:rPr>
        <w:t>Total Chain Length</w:t>
      </w:r>
    </w:p>
    <w:p w14:paraId="01A9367A" w14:textId="38C283FD" w:rsidR="00EC4414" w:rsidRPr="00EC4414" w:rsidRDefault="00EC4414" w:rsidP="00DA7C0B">
      <w:p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</m:t>
        </m:r>
      </m:oMath>
      <w:r w:rsidRPr="00EC4414">
        <w:rPr>
          <w:rFonts w:ascii="Roboto Mono" w:hAnsi="Roboto Mono"/>
        </w:rPr>
        <w:t xml:space="preserve"> segments:</w:t>
      </w:r>
      <w:r w:rsidRPr="00EC441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F0063B0" w14:textId="67652FBD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pict w14:anchorId="733B6226">
          <v:rect id="_x0000_i1315" style="width:0;height:1.5pt" o:hralign="center" o:hrstd="t" o:hr="t" fillcolor="#a0a0a0" stroked="f"/>
        </w:pict>
      </w:r>
    </w:p>
    <w:p w14:paraId="6CFD0FF5" w14:textId="77777777" w:rsidR="00EC4414" w:rsidRDefault="00EC4414" w:rsidP="00EC4414">
      <w:pPr>
        <w:pStyle w:val="Heading2"/>
      </w:pPr>
      <w:r w:rsidRPr="00EC4414">
        <w:t>Key Points</w:t>
      </w:r>
    </w:p>
    <w:p w14:paraId="1CAAAE13" w14:textId="5AE4CBF8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A29802" w14:textId="3802319A" w:rsidR="00EC4414" w:rsidRPr="00EC4414" w:rsidRDefault="00EC4414" w:rsidP="00DA7C0B">
      <w:p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An </w:t>
      </w:r>
      <w:r w:rsidRPr="00EC4414">
        <w:rPr>
          <w:rFonts w:ascii="Roboto Mono" w:hAnsi="Roboto Mono"/>
          <w:b/>
          <w:bCs/>
        </w:rPr>
        <w:t>Open Concave-Looking Polygonal Chain</w:t>
      </w:r>
      <w:r w:rsidRPr="00EC4414">
        <w:rPr>
          <w:rFonts w:ascii="Roboto Mono" w:hAnsi="Roboto Mono"/>
        </w:rPr>
        <w:t xml:space="preserve"> is:</w:t>
      </w:r>
      <w:r w:rsidRPr="00EC441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3 or More 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One or More Inward Turns</m:t>
              </m:r>
            </m:e>
          </m:borderBox>
        </m:oMath>
      </m:oMathPara>
    </w:p>
    <w:p w14:paraId="28AE6EAD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>It:</w:t>
      </w:r>
    </w:p>
    <w:p w14:paraId="46D8B6B1" w14:textId="77777777" w:rsidR="00EC4414" w:rsidRPr="00EC4414" w:rsidRDefault="00EC4414" w:rsidP="00EC4414">
      <w:pPr>
        <w:numPr>
          <w:ilvl w:val="0"/>
          <w:numId w:val="4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Has </w:t>
      </w:r>
      <w:r w:rsidRPr="00EC4414">
        <w:rPr>
          <w:rFonts w:ascii="Roboto Mono" w:hAnsi="Roboto Mono"/>
          <w:b/>
          <w:bCs/>
        </w:rPr>
        <w:t>three or more straight segments</w:t>
      </w:r>
      <w:r w:rsidRPr="00EC4414">
        <w:rPr>
          <w:rFonts w:ascii="Roboto Mono" w:hAnsi="Roboto Mono"/>
        </w:rPr>
        <w:t>.</w:t>
      </w:r>
    </w:p>
    <w:p w14:paraId="02E587F6" w14:textId="77777777" w:rsidR="00EC4414" w:rsidRPr="00EC4414" w:rsidRDefault="00EC4414" w:rsidP="00EC4414">
      <w:pPr>
        <w:numPr>
          <w:ilvl w:val="0"/>
          <w:numId w:val="4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Has </w:t>
      </w:r>
      <w:r w:rsidRPr="00EC4414">
        <w:rPr>
          <w:rFonts w:ascii="Roboto Mono" w:hAnsi="Roboto Mono"/>
          <w:b/>
          <w:bCs/>
        </w:rPr>
        <w:t>two open endpoints</w:t>
      </w:r>
      <w:r w:rsidRPr="00EC4414">
        <w:rPr>
          <w:rFonts w:ascii="Roboto Mono" w:hAnsi="Roboto Mono"/>
        </w:rPr>
        <w:t>.</w:t>
      </w:r>
    </w:p>
    <w:p w14:paraId="3A9D8BCF" w14:textId="77777777" w:rsidR="00EC4414" w:rsidRPr="00EC4414" w:rsidRDefault="00EC4414" w:rsidP="00EC4414">
      <w:pPr>
        <w:numPr>
          <w:ilvl w:val="0"/>
          <w:numId w:val="4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lastRenderedPageBreak/>
        <w:t>Does not enclose an area.</w:t>
      </w:r>
    </w:p>
    <w:p w14:paraId="49095AD2" w14:textId="77777777" w:rsidR="00EC4414" w:rsidRPr="00EC4414" w:rsidRDefault="00EC4414" w:rsidP="00EC4414">
      <w:pPr>
        <w:numPr>
          <w:ilvl w:val="0"/>
          <w:numId w:val="4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Contains one or more visible </w:t>
      </w:r>
      <w:r w:rsidRPr="00EC4414">
        <w:rPr>
          <w:rFonts w:ascii="Roboto Mono" w:hAnsi="Roboto Mono"/>
          <w:b/>
          <w:bCs/>
        </w:rPr>
        <w:t>inward turns or indentations</w:t>
      </w:r>
      <w:r w:rsidRPr="00EC4414">
        <w:rPr>
          <w:rFonts w:ascii="Roboto Mono" w:hAnsi="Roboto Mono"/>
        </w:rPr>
        <w:t>.</w:t>
      </w:r>
    </w:p>
    <w:p w14:paraId="06EDF3DF" w14:textId="77777777" w:rsidR="00EC4414" w:rsidRPr="00EC4414" w:rsidRDefault="00EC4414" w:rsidP="00EC4414">
      <w:pPr>
        <w:numPr>
          <w:ilvl w:val="0"/>
          <w:numId w:val="4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>May be simple or self-intersecting.</w:t>
      </w:r>
    </w:p>
    <w:p w14:paraId="71B173B9" w14:textId="77777777" w:rsidR="00EC4414" w:rsidRPr="00EC4414" w:rsidRDefault="00EC4414" w:rsidP="00EC4414">
      <w:pPr>
        <w:numPr>
          <w:ilvl w:val="0"/>
          <w:numId w:val="4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>May be symmetric or asymmetric.</w:t>
      </w:r>
    </w:p>
    <w:p w14:paraId="3FB16583" w14:textId="77777777" w:rsidR="00EC4414" w:rsidRPr="00EC4414" w:rsidRDefault="00EC4414" w:rsidP="00EC4414">
      <w:pPr>
        <w:numPr>
          <w:ilvl w:val="0"/>
          <w:numId w:val="4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>May be rectilinear, zigzag, notched, or multi-indented.</w:t>
      </w:r>
    </w:p>
    <w:p w14:paraId="13901C3F" w14:textId="77777777" w:rsidR="00EC4414" w:rsidRPr="00EC4414" w:rsidRDefault="00EC4414" w:rsidP="00EC4414">
      <w:pPr>
        <w:numPr>
          <w:ilvl w:val="0"/>
          <w:numId w:val="4"/>
        </w:num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Is </w:t>
      </w:r>
      <w:r w:rsidRPr="00EC4414">
        <w:rPr>
          <w:rFonts w:ascii="Roboto Mono" w:hAnsi="Roboto Mono"/>
          <w:b/>
          <w:bCs/>
        </w:rPr>
        <w:t>not formally a concave polygon</w:t>
      </w:r>
      <w:r w:rsidRPr="00EC4414">
        <w:rPr>
          <w:rFonts w:ascii="Roboto Mono" w:hAnsi="Roboto Mono"/>
        </w:rPr>
        <w:t>, because it is open.</w:t>
      </w:r>
    </w:p>
    <w:p w14:paraId="637D4CDB" w14:textId="03377C61" w:rsidR="00EC4414" w:rsidRPr="00DA7C0B" w:rsidRDefault="00EC4414" w:rsidP="00DA7C0B">
      <w:pPr>
        <w:rPr>
          <w:rFonts w:ascii="Roboto Mono" w:hAnsi="Roboto Mono"/>
          <w:b/>
          <w:bCs/>
        </w:rPr>
      </w:pPr>
      <w:r w:rsidRPr="00EC4414">
        <w:rPr>
          <w:rFonts w:ascii="Roboto Mono" w:hAnsi="Roboto Mono"/>
          <w:b/>
          <w:bCs/>
        </w:rPr>
        <w:t>Most important distinction</w:t>
      </w:r>
      <w:r w:rsidRPr="00EC441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Concave-Looking Open Chain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Concave Polygon</m:t>
              </m:r>
            </m:e>
          </m:borderBox>
        </m:oMath>
      </m:oMathPara>
    </w:p>
    <w:p w14:paraId="58FA5DF3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</w:rPr>
        <w:t xml:space="preserve">The first is an </w:t>
      </w:r>
      <w:r w:rsidRPr="00EC4414">
        <w:rPr>
          <w:rFonts w:ascii="Roboto Mono" w:hAnsi="Roboto Mono"/>
          <w:b/>
          <w:bCs/>
        </w:rPr>
        <w:t>open inward-turning polygonal chain</w:t>
      </w:r>
      <w:r w:rsidRPr="00EC4414">
        <w:rPr>
          <w:rFonts w:ascii="Roboto Mono" w:hAnsi="Roboto Mono"/>
        </w:rPr>
        <w:t xml:space="preserve">, while the second is a </w:t>
      </w:r>
      <w:r w:rsidRPr="00EC4414">
        <w:rPr>
          <w:rFonts w:ascii="Roboto Mono" w:hAnsi="Roboto Mono"/>
          <w:b/>
          <w:bCs/>
        </w:rPr>
        <w:t>closed polygon with a mathematically defined concavity</w:t>
      </w:r>
      <w:r w:rsidRPr="00EC4414">
        <w:rPr>
          <w:rFonts w:ascii="Roboto Mono" w:hAnsi="Roboto Mono"/>
        </w:rPr>
        <w:t>.</w:t>
      </w:r>
    </w:p>
    <w:p w14:paraId="17F31ECD" w14:textId="77777777" w:rsidR="00EC4414" w:rsidRDefault="00EC4414" w:rsidP="00EC4414">
      <w:pPr>
        <w:pStyle w:val="Heading2"/>
      </w:pPr>
      <w:r w:rsidRPr="00EC4414">
        <w:t>Conclusion</w:t>
      </w:r>
    </w:p>
    <w:p w14:paraId="56162A37" w14:textId="2B5E71CC" w:rsidR="00EC4414" w:rsidRPr="00EC4414" w:rsidRDefault="00EC4414" w:rsidP="00EC4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F16B0C" w14:textId="77777777" w:rsidR="00EC4414" w:rsidRPr="00EC4414" w:rsidRDefault="00EC4414" w:rsidP="00EC4414">
      <w:pPr>
        <w:rPr>
          <w:rFonts w:ascii="Roboto Mono" w:hAnsi="Roboto Mono"/>
        </w:rPr>
      </w:pPr>
      <w:r w:rsidRPr="00EC4414">
        <w:rPr>
          <w:rFonts w:ascii="Roboto Mono" w:hAnsi="Roboto Mono"/>
          <w:b/>
          <w:bCs/>
        </w:rPr>
        <w:t>Open Concave-Looking Polygonal Chains</w:t>
      </w:r>
      <w:r w:rsidRPr="00EC4414">
        <w:rPr>
          <w:rFonts w:ascii="Roboto Mono" w:hAnsi="Roboto Mono"/>
        </w:rPr>
        <w:t xml:space="preserve"> are open polygonal paths characterized by </w:t>
      </w:r>
      <w:r w:rsidRPr="00EC4414">
        <w:rPr>
          <w:rFonts w:ascii="Roboto Mono" w:hAnsi="Roboto Mono"/>
          <w:b/>
          <w:bCs/>
        </w:rPr>
        <w:t>inward turns or indentations</w:t>
      </w:r>
      <w:r w:rsidRPr="00EC4414">
        <w:rPr>
          <w:rFonts w:ascii="Roboto Mono" w:hAnsi="Roboto Mono"/>
        </w:rPr>
        <w:t xml:space="preserve">. They provide the open-chain counterpart to the visual idea of a concave polygon and can be further classified by their </w:t>
      </w:r>
      <w:r w:rsidRPr="00EC4414">
        <w:rPr>
          <w:rFonts w:ascii="Roboto Mono" w:hAnsi="Roboto Mono"/>
          <w:b/>
          <w:bCs/>
        </w:rPr>
        <w:t>indentation pattern, symmetry, segment lengths, rectilinear structure, and self-intersection</w:t>
      </w:r>
      <w:r w:rsidRPr="00EC4414">
        <w:rPr>
          <w:rFonts w:ascii="Roboto Mono" w:hAnsi="Roboto Mono"/>
        </w:rPr>
        <w:t>.</w:t>
      </w:r>
    </w:p>
    <w:p w14:paraId="05CFBACE" w14:textId="77777777" w:rsidR="00A70480" w:rsidRPr="00EC4414" w:rsidRDefault="00A70480">
      <w:pPr>
        <w:rPr>
          <w:rFonts w:ascii="Roboto Mono" w:hAnsi="Roboto Mono"/>
        </w:rPr>
      </w:pPr>
    </w:p>
    <w:sectPr w:rsidR="00A70480" w:rsidRPr="00EC4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134C6"/>
    <w:multiLevelType w:val="multilevel"/>
    <w:tmpl w:val="7EB8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F1EDF"/>
    <w:multiLevelType w:val="multilevel"/>
    <w:tmpl w:val="2ED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1086D"/>
    <w:multiLevelType w:val="multilevel"/>
    <w:tmpl w:val="C2EE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46DF7"/>
    <w:multiLevelType w:val="multilevel"/>
    <w:tmpl w:val="DEB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73465">
    <w:abstractNumId w:val="3"/>
  </w:num>
  <w:num w:numId="2" w16cid:durableId="1983579557">
    <w:abstractNumId w:val="0"/>
  </w:num>
  <w:num w:numId="3" w16cid:durableId="1218976130">
    <w:abstractNumId w:val="2"/>
  </w:num>
  <w:num w:numId="4" w16cid:durableId="837771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45"/>
    <w:rsid w:val="002D1F4F"/>
    <w:rsid w:val="003811D5"/>
    <w:rsid w:val="003E2545"/>
    <w:rsid w:val="00525988"/>
    <w:rsid w:val="00540ABE"/>
    <w:rsid w:val="00551EED"/>
    <w:rsid w:val="00711B4D"/>
    <w:rsid w:val="008952B3"/>
    <w:rsid w:val="00A70480"/>
    <w:rsid w:val="00DA7C0B"/>
    <w:rsid w:val="00EC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E6ED"/>
  <w15:chartTrackingRefBased/>
  <w15:docId w15:val="{2F41E562-985D-4C41-A379-3C832E99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2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1069</Words>
  <Characters>6096</Characters>
  <Application>Microsoft Office Word</Application>
  <DocSecurity>0</DocSecurity>
  <Lines>50</Lines>
  <Paragraphs>14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2026-08-14T07:19:00Z</dcterms:created>
  <dcterms:modified xsi:type="dcterms:W3CDTF">2026-08-14T07:24:00Z</dcterms:modified>
</cp:coreProperties>
</file>