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93EE" w14:textId="77777777" w:rsidR="00B91BB5" w:rsidRDefault="00B91BB5">
      <w:pPr>
        <w:pStyle w:val="Heading1"/>
      </w:pPr>
      <w:bookmarkStart w:id="0" w:name="_pqqoirlu5sgw" w:colFirst="0" w:colLast="0"/>
      <w:bookmarkEnd w:id="0"/>
      <w:r>
        <w:t>Low-Frequency Vocabulary</w:t>
      </w:r>
    </w:p>
    <w:p w14:paraId="654DF749" w14:textId="77777777" w:rsidR="00B91BB5" w:rsidRDefault="00B91BB5">
      <w:pPr>
        <w:pStyle w:val="Heading2"/>
      </w:pPr>
      <w:bookmarkStart w:id="1" w:name="_i5ppt5u0q8nz" w:colFirst="0" w:colLast="0"/>
      <w:bookmarkEnd w:id="1"/>
      <w:r>
        <w:t>🧬 What is Low-Frequency Vocabulary</w:t>
      </w:r>
    </w:p>
    <w:p w14:paraId="7B14A5F3" w14:textId="77777777" w:rsidR="00B91BB5" w:rsidRDefault="00B91BB5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2F53D6" w14:textId="77777777" w:rsidR="00B91BB5" w:rsidRDefault="00B91BB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Low-frequency vocabulary</w:t>
      </w:r>
      <w:r>
        <w:rPr>
          <w:rFonts w:ascii="Roboto Mono" w:eastAsia="Roboto Mono" w:hAnsi="Roboto Mono" w:cs="Roboto Mono"/>
        </w:rPr>
        <w:t xml:space="preserve"> consists of words that are </w:t>
      </w:r>
      <w:r>
        <w:rPr>
          <w:rFonts w:ascii="Roboto Mono" w:eastAsia="Roboto Mono" w:hAnsi="Roboto Mono" w:cs="Roboto Mono"/>
          <w:b/>
        </w:rPr>
        <w:t>rarely used</w:t>
      </w:r>
      <w:r>
        <w:rPr>
          <w:rFonts w:ascii="Roboto Mono" w:eastAsia="Roboto Mono" w:hAnsi="Roboto Mono" w:cs="Roboto Mono"/>
        </w:rPr>
        <w:t xml:space="preserve"> in everyday language. These words are typically </w:t>
      </w:r>
      <w:r>
        <w:rPr>
          <w:rFonts w:ascii="Roboto Mono" w:eastAsia="Roboto Mono" w:hAnsi="Roboto Mono" w:cs="Roboto Mono"/>
          <w:b/>
        </w:rPr>
        <w:t>domain-specific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archaic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technical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literary</w:t>
      </w:r>
      <w:r>
        <w:rPr>
          <w:rFonts w:ascii="Roboto Mono" w:eastAsia="Roboto Mono" w:hAnsi="Roboto Mono" w:cs="Roboto Mono"/>
        </w:rPr>
        <w:t>, and are usually known only by specialists or encountered in advanced reading materials.</w:t>
      </w:r>
    </w:p>
    <w:p w14:paraId="4CB01C9F" w14:textId="77777777" w:rsidR="00B91BB5" w:rsidRDefault="00B91BB5">
      <w:r>
        <w:pict w14:anchorId="79181F1E">
          <v:rect id="_x0000_i1025" style="width:0;height:1.5pt" o:hralign="center" o:hrstd="t" o:hr="t" fillcolor="#a0a0a0" stroked="f"/>
        </w:pict>
      </w:r>
    </w:p>
    <w:p w14:paraId="1B46DE79" w14:textId="77777777" w:rsidR="00B91BB5" w:rsidRDefault="00B91BB5">
      <w:pPr>
        <w:pStyle w:val="Heading2"/>
        <w:keepNext w:val="0"/>
        <w:keepLines w:val="0"/>
        <w:spacing w:before="280"/>
      </w:pPr>
      <w:bookmarkStart w:id="2" w:name="_62mi3rtfzruk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8D19237" w14:textId="77777777" w:rsidR="00B91BB5" w:rsidRDefault="00B91B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2FBAE" w14:textId="77777777" w:rsidR="00B91BB5" w:rsidRDefault="00B91BB5">
      <w:r>
        <w:rPr>
          <w:noProof/>
        </w:rPr>
        <w:drawing>
          <wp:inline distT="114300" distB="114300" distL="114300" distR="114300" wp14:anchorId="0F4C7C36" wp14:editId="0445D84C">
            <wp:extent cx="5943600" cy="2082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B91BB5" w14:paraId="08665D5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28CA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9A7D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91BB5" w14:paraId="5FF4BE8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9C37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C53D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reading and writing (less so listening/speaking)</w:t>
            </w:r>
          </w:p>
        </w:tc>
      </w:tr>
      <w:tr w:rsidR="00B91BB5" w14:paraId="3BF1110C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32C1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F26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literature, academic writing, legal/technical texts, or rare contexts</w:t>
            </w:r>
          </w:p>
        </w:tc>
      </w:tr>
      <w:tr w:rsidR="00B91BB5" w14:paraId="23AF2414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BDD8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Difficulty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E20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long, abstract, or very specific in meaning</w:t>
            </w:r>
          </w:p>
        </w:tc>
      </w:tr>
      <w:tr w:rsidR="00B91BB5" w14:paraId="092572E3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E9D0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7C2B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Acquired through higher education, specialized reading, or research</w:t>
            </w:r>
          </w:p>
        </w:tc>
      </w:tr>
      <w:tr w:rsidR="00B91BB5" w14:paraId="73DF3501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2C47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Importance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9A60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Crucial for advanced comprehension and precise expression in specific fields</w:t>
            </w:r>
          </w:p>
        </w:tc>
      </w:tr>
    </w:tbl>
    <w:p w14:paraId="5501694A" w14:textId="77777777" w:rsidR="00B91BB5" w:rsidRDefault="00B91BB5">
      <w:r>
        <w:pict w14:anchorId="2D6EA781">
          <v:rect id="_x0000_i1026" style="width:0;height:1.5pt" o:hralign="center" o:hrstd="t" o:hr="t" fillcolor="#a0a0a0" stroked="f"/>
        </w:pict>
      </w:r>
    </w:p>
    <w:p w14:paraId="32311486" w14:textId="77777777" w:rsidR="00B91BB5" w:rsidRDefault="00B91BB5">
      <w:pPr>
        <w:pStyle w:val="Heading2"/>
        <w:keepNext w:val="0"/>
        <w:keepLines w:val="0"/>
        <w:spacing w:before="280"/>
      </w:pPr>
      <w:bookmarkStart w:id="3" w:name="_do7wa1wo9hk" w:colFirst="0" w:colLast="0"/>
      <w:bookmarkEnd w:id="3"/>
      <w:r>
        <w:t>🧠 Examples:</w:t>
      </w:r>
    </w:p>
    <w:p w14:paraId="1FED2DF3" w14:textId="77777777" w:rsidR="00B91BB5" w:rsidRDefault="00B91B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891E0" w14:textId="77777777" w:rsidR="00B91BB5" w:rsidRDefault="00B91BB5">
      <w:r>
        <w:rPr>
          <w:noProof/>
        </w:rPr>
        <w:drawing>
          <wp:inline distT="114300" distB="114300" distL="114300" distR="114300" wp14:anchorId="06878353" wp14:editId="17C5C4F9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835"/>
      </w:tblGrid>
      <w:tr w:rsidR="00B91BB5" w14:paraId="171ABEC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2CF9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03D4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91BB5" w14:paraId="57C0290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74D6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3DCF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photosynthesis, jurisprudence, neurotransmitter</w:t>
            </w:r>
          </w:p>
        </w:tc>
      </w:tr>
      <w:tr w:rsidR="00B91BB5" w14:paraId="569D0D0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0068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Literary/Archaic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3E9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thou, erstwhile, bequeath</w:t>
            </w:r>
          </w:p>
        </w:tc>
      </w:tr>
      <w:tr w:rsidR="00B91BB5" w14:paraId="3369319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2639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Advanced Academic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3565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synthesize, juxtapose, extrapolate</w:t>
            </w:r>
          </w:p>
        </w:tc>
      </w:tr>
      <w:tr w:rsidR="00B91BB5" w14:paraId="19FFDF0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50A4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Fields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8009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quark (physics), sonnet (poetry), quorum (law)</w:t>
            </w:r>
          </w:p>
        </w:tc>
      </w:tr>
    </w:tbl>
    <w:p w14:paraId="081B7F23" w14:textId="77777777" w:rsidR="00B91BB5" w:rsidRDefault="00B91BB5">
      <w:r>
        <w:pict w14:anchorId="091CBF08">
          <v:rect id="_x0000_i1027" style="width:0;height:1.5pt" o:hralign="center" o:hrstd="t" o:hr="t" fillcolor="#a0a0a0" stroked="f"/>
        </w:pict>
      </w:r>
    </w:p>
    <w:p w14:paraId="21E91DA9" w14:textId="77777777" w:rsidR="00B91BB5" w:rsidRDefault="00B91BB5">
      <w:pPr>
        <w:pStyle w:val="Heading2"/>
        <w:keepNext w:val="0"/>
        <w:keepLines w:val="0"/>
        <w:spacing w:before="280"/>
      </w:pPr>
      <w:bookmarkStart w:id="4" w:name="_i0bc5to1bh5c" w:colFirst="0" w:colLast="0"/>
      <w:bookmarkEnd w:id="4"/>
      <w:r>
        <w:t>👤 Who Uses It?</w:t>
      </w:r>
    </w:p>
    <w:p w14:paraId="07239BDD" w14:textId="77777777" w:rsidR="00B91BB5" w:rsidRDefault="00B91BB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1F1AFD" w14:textId="77777777" w:rsidR="00B91BB5" w:rsidRDefault="00B91BB5">
      <w:pPr>
        <w:spacing w:before="240" w:after="240"/>
      </w:pPr>
      <w:r>
        <w:rPr>
          <w:noProof/>
        </w:rPr>
        <w:drawing>
          <wp:inline distT="114300" distB="114300" distL="114300" distR="114300" wp14:anchorId="19223251" wp14:editId="4FF10732">
            <wp:extent cx="5943600" cy="1562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B5478" w14:textId="77777777" w:rsidR="00B91BB5" w:rsidRDefault="00B91BB5" w:rsidP="00B91BB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Academics and researchers</w:t>
      </w:r>
      <w:r>
        <w:rPr>
          <w:rFonts w:ascii="Roboto Mono" w:eastAsia="Roboto Mono" w:hAnsi="Roboto Mono" w:cs="Roboto Mono"/>
          <w:b/>
        </w:rPr>
        <w:br/>
      </w:r>
    </w:p>
    <w:p w14:paraId="5AC46379" w14:textId="77777777" w:rsidR="00B91BB5" w:rsidRDefault="00B91BB5" w:rsidP="00B91BB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Writers and poets</w:t>
      </w:r>
      <w:r>
        <w:rPr>
          <w:rFonts w:ascii="Roboto Mono" w:eastAsia="Roboto Mono" w:hAnsi="Roboto Mono" w:cs="Roboto Mono"/>
          <w:b/>
        </w:rPr>
        <w:br/>
      </w:r>
    </w:p>
    <w:p w14:paraId="3B28F7AB" w14:textId="77777777" w:rsidR="00B91BB5" w:rsidRDefault="00B91BB5" w:rsidP="00B91BB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Professionals in specialized fields</w:t>
      </w:r>
      <w:r>
        <w:rPr>
          <w:rFonts w:ascii="Roboto Mono" w:eastAsia="Roboto Mono" w:hAnsi="Roboto Mono" w:cs="Roboto Mono"/>
          <w:b/>
        </w:rPr>
        <w:br/>
      </w:r>
    </w:p>
    <w:p w14:paraId="2DB22560" w14:textId="77777777" w:rsidR="00B91BB5" w:rsidRDefault="00B91BB5" w:rsidP="00B91BB5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Advanced language learners</w:t>
      </w:r>
      <w:r>
        <w:rPr>
          <w:rFonts w:ascii="Roboto Mono" w:eastAsia="Roboto Mono" w:hAnsi="Roboto Mono" w:cs="Roboto Mono"/>
          <w:b/>
        </w:rPr>
        <w:br/>
      </w:r>
    </w:p>
    <w:p w14:paraId="2650ADF1" w14:textId="77777777" w:rsidR="00B91BB5" w:rsidRDefault="00B91BB5">
      <w:r>
        <w:pict w14:anchorId="2ED94E1B">
          <v:rect id="_x0000_i1028" style="width:0;height:1.5pt" o:hralign="center" o:hrstd="t" o:hr="t" fillcolor="#a0a0a0" stroked="f"/>
        </w:pict>
      </w:r>
    </w:p>
    <w:p w14:paraId="002DB6C5" w14:textId="77777777" w:rsidR="00B91BB5" w:rsidRDefault="00B91BB5">
      <w:pPr>
        <w:pStyle w:val="Heading2"/>
        <w:keepNext w:val="0"/>
        <w:keepLines w:val="0"/>
        <w:spacing w:before="280"/>
      </w:pPr>
      <w:bookmarkStart w:id="5" w:name="_f2juu5mv06ko" w:colFirst="0" w:colLast="0"/>
      <w:bookmarkEnd w:id="5"/>
      <w:r>
        <w:t>📌 Related Vocabulary Types:</w:t>
      </w:r>
    </w:p>
    <w:p w14:paraId="74C94A3A" w14:textId="77777777" w:rsidR="00B91BB5" w:rsidRDefault="00B91BB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188C8" w14:textId="77777777" w:rsidR="00B91BB5" w:rsidRDefault="00B91BB5">
      <w:r>
        <w:rPr>
          <w:noProof/>
        </w:rPr>
        <w:drawing>
          <wp:inline distT="114300" distB="114300" distL="114300" distR="114300" wp14:anchorId="6CADE4B9" wp14:editId="662C8C0F">
            <wp:extent cx="5943600" cy="1562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780"/>
        <w:gridCol w:w="3290"/>
      </w:tblGrid>
      <w:tr w:rsidR="00B91BB5" w14:paraId="6C61646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56AB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BB2E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C47B" w14:textId="77777777" w:rsidR="00B91BB5" w:rsidRDefault="00B91B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91BB5" w14:paraId="6278DD26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5BF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Low-Frequency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0F4B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Rare/specialized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7900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“Photosynthesis,” “equanimity”</w:t>
            </w:r>
          </w:p>
        </w:tc>
      </w:tr>
      <w:tr w:rsidR="00B91BB5" w14:paraId="008E5CB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E713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AFCD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Common/daily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1488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“Run,” “the,” “good”</w:t>
            </w:r>
          </w:p>
        </w:tc>
      </w:tr>
      <w:tr w:rsidR="00B91BB5" w14:paraId="6B53611B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412D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48BF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academic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8DE6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“Analyze,” “assumption”</w:t>
            </w:r>
          </w:p>
        </w:tc>
      </w:tr>
      <w:tr w:rsidR="00B91BB5" w14:paraId="7D70AB99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3D9E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DD7F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 terminology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17CB" w14:textId="77777777" w:rsidR="00B91BB5" w:rsidRDefault="00B91B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“Torque,” “molecule”</w:t>
            </w:r>
          </w:p>
        </w:tc>
      </w:tr>
    </w:tbl>
    <w:p w14:paraId="6673F927" w14:textId="77777777" w:rsidR="00B91BB5" w:rsidRDefault="00B91BB5">
      <w:r>
        <w:pict w14:anchorId="61961E20">
          <v:rect id="_x0000_i1029" style="width:0;height:1.5pt" o:hralign="center" o:hrstd="t" o:hr="t" fillcolor="#a0a0a0" stroked="f"/>
        </w:pict>
      </w:r>
    </w:p>
    <w:p w14:paraId="0A2A2EA7" w14:textId="77777777" w:rsidR="00B91BB5" w:rsidRDefault="00B91BB5"/>
    <w:p w14:paraId="257AC74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1139"/>
    <w:multiLevelType w:val="multilevel"/>
    <w:tmpl w:val="C49AF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501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B5"/>
    <w:rsid w:val="002D1F4F"/>
    <w:rsid w:val="00711B4D"/>
    <w:rsid w:val="008952B3"/>
    <w:rsid w:val="00A70480"/>
    <w:rsid w:val="00B91BB5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640"/>
  <w15:chartTrackingRefBased/>
  <w15:docId w15:val="{97FD9677-F144-4D22-B2AE-B9BB4A7C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