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F05CC" w14:textId="77777777" w:rsidR="009235BD" w:rsidRDefault="009235BD">
      <w:pPr>
        <w:pStyle w:val="Heading1"/>
      </w:pPr>
      <w:bookmarkStart w:id="0" w:name="_4vqcgq1kk2yf" w:colFirst="0" w:colLast="0"/>
      <w:bookmarkEnd w:id="0"/>
      <w:r>
        <w:t>Sight Vocabulary</w:t>
      </w:r>
    </w:p>
    <w:p w14:paraId="2A9E2FD7" w14:textId="77777777" w:rsidR="009235BD" w:rsidRDefault="009235BD">
      <w:pPr>
        <w:pStyle w:val="Heading2"/>
      </w:pPr>
      <w:bookmarkStart w:id="1" w:name="_9ox6h691hhgc" w:colFirst="0" w:colLast="0"/>
      <w:bookmarkEnd w:id="1"/>
      <w:r>
        <w:t>👁️‍🗨️ What is Sight Vocabulary</w:t>
      </w:r>
    </w:p>
    <w:p w14:paraId="119E0A16" w14:textId="77777777" w:rsidR="009235BD" w:rsidRDefault="009235BD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F5A7F2" w14:textId="77777777" w:rsidR="009235BD" w:rsidRDefault="009235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Sight vocabulary</w:t>
      </w:r>
      <w:r>
        <w:rPr>
          <w:rFonts w:ascii="Roboto Mono" w:eastAsia="Roboto Mono" w:hAnsi="Roboto Mono" w:cs="Roboto Mono"/>
        </w:rPr>
        <w:t xml:space="preserve"> refers to words that a person can </w:t>
      </w:r>
      <w:r>
        <w:rPr>
          <w:rFonts w:ascii="Roboto Mono" w:eastAsia="Roboto Mono" w:hAnsi="Roboto Mono" w:cs="Roboto Mono"/>
          <w:b/>
        </w:rPr>
        <w:t>recognize and read instantly</w:t>
      </w:r>
      <w:r>
        <w:rPr>
          <w:rFonts w:ascii="Roboto Mono" w:eastAsia="Roboto Mono" w:hAnsi="Roboto Mono" w:cs="Roboto Mono"/>
        </w:rPr>
        <w:t xml:space="preserve">, without needing to sound them out or analyze them. These are typically </w:t>
      </w:r>
      <w:r>
        <w:rPr>
          <w:rFonts w:ascii="Roboto Mono" w:eastAsia="Roboto Mono" w:hAnsi="Roboto Mono" w:cs="Roboto Mono"/>
          <w:b/>
        </w:rPr>
        <w:t>high-frequency words</w:t>
      </w:r>
      <w:r>
        <w:rPr>
          <w:rFonts w:ascii="Roboto Mono" w:eastAsia="Roboto Mono" w:hAnsi="Roboto Mono" w:cs="Roboto Mono"/>
        </w:rPr>
        <w:t xml:space="preserve"> and are critical for </w:t>
      </w:r>
      <w:r>
        <w:rPr>
          <w:rFonts w:ascii="Roboto Mono" w:eastAsia="Roboto Mono" w:hAnsi="Roboto Mono" w:cs="Roboto Mono"/>
          <w:b/>
        </w:rPr>
        <w:t>fluent reading</w:t>
      </w:r>
      <w:r>
        <w:rPr>
          <w:rFonts w:ascii="Roboto Mono" w:eastAsia="Roboto Mono" w:hAnsi="Roboto Mono" w:cs="Roboto Mono"/>
        </w:rPr>
        <w:t>, especially in early literacy development.</w:t>
      </w:r>
    </w:p>
    <w:p w14:paraId="4938EF14" w14:textId="77777777" w:rsidR="009235BD" w:rsidRDefault="009235BD">
      <w:r>
        <w:pict w14:anchorId="61A65C9E">
          <v:rect id="_x0000_i1025" style="width:0;height:1.5pt" o:hralign="center" o:hrstd="t" o:hr="t" fillcolor="#a0a0a0" stroked="f"/>
        </w:pict>
      </w:r>
    </w:p>
    <w:p w14:paraId="2838B3C0" w14:textId="77777777" w:rsidR="009235BD" w:rsidRDefault="009235BD">
      <w:pPr>
        <w:pStyle w:val="Heading2"/>
        <w:keepNext w:val="0"/>
        <w:keepLines w:val="0"/>
        <w:spacing w:before="280"/>
      </w:pPr>
      <w:bookmarkStart w:id="2" w:name="_7adb5mvv5cy9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22548C4B" w14:textId="77777777" w:rsidR="009235BD" w:rsidRDefault="009235BD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96CDEC" w14:textId="77777777" w:rsidR="009235BD" w:rsidRDefault="009235BD">
      <w:r>
        <w:rPr>
          <w:noProof/>
        </w:rPr>
        <w:drawing>
          <wp:inline distT="114300" distB="114300" distL="114300" distR="114300" wp14:anchorId="23D77411" wp14:editId="1B8C64DA">
            <wp:extent cx="5943600" cy="1955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5045"/>
      </w:tblGrid>
      <w:tr w:rsidR="009235BD" w14:paraId="664FC675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6A4CF" w14:textId="77777777" w:rsidR="009235BD" w:rsidRDefault="009235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D7D62" w14:textId="77777777" w:rsidR="009235BD" w:rsidRDefault="009235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9235BD" w14:paraId="5C0424FF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D56A4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1923D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fluency and word recognition</w:t>
            </w:r>
          </w:p>
        </w:tc>
      </w:tr>
      <w:tr w:rsidR="009235BD" w14:paraId="396B75DA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C27C6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EA84D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reading: books, signs, instructions, websites</w:t>
            </w:r>
          </w:p>
        </w:tc>
      </w:tr>
      <w:tr w:rsidR="009235BD" w14:paraId="37E2D1D6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50AE7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Learning Stage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3088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Developed early, especially in beginner readers</w:t>
            </w:r>
          </w:p>
        </w:tc>
      </w:tr>
      <w:tr w:rsidR="009235BD" w14:paraId="1B62F80A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8BF1C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Development Method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849C5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Through repeated exposure and memorization</w:t>
            </w:r>
          </w:p>
        </w:tc>
      </w:tr>
      <w:tr w:rsidR="009235BD" w14:paraId="235F06C2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25992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Type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309E3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irregular in spelling or not easily decodable</w:t>
            </w:r>
          </w:p>
        </w:tc>
      </w:tr>
    </w:tbl>
    <w:p w14:paraId="0F930A49" w14:textId="77777777" w:rsidR="009235BD" w:rsidRDefault="009235BD">
      <w:r>
        <w:pict w14:anchorId="463C055F">
          <v:rect id="_x0000_i1026" style="width:0;height:1.5pt" o:hralign="center" o:hrstd="t" o:hr="t" fillcolor="#a0a0a0" stroked="f"/>
        </w:pict>
      </w:r>
    </w:p>
    <w:p w14:paraId="16FE42C7" w14:textId="77777777" w:rsidR="009235BD" w:rsidRDefault="009235BD">
      <w:pPr>
        <w:pStyle w:val="Heading2"/>
        <w:keepNext w:val="0"/>
        <w:keepLines w:val="0"/>
        <w:spacing w:before="280"/>
      </w:pPr>
      <w:bookmarkStart w:id="3" w:name="_n4a0g3x6usze" w:colFirst="0" w:colLast="0"/>
      <w:bookmarkEnd w:id="3"/>
      <w:r>
        <w:t>🧠 Examples:</w:t>
      </w:r>
    </w:p>
    <w:p w14:paraId="33547EDF" w14:textId="77777777" w:rsidR="009235BD" w:rsidRDefault="009235B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93FBCA" w14:textId="77777777" w:rsidR="009235BD" w:rsidRDefault="009235BD">
      <w:r>
        <w:rPr>
          <w:noProof/>
        </w:rPr>
        <w:drawing>
          <wp:inline distT="114300" distB="114300" distL="114300" distR="114300" wp14:anchorId="7405CD45" wp14:editId="1DA0B43F">
            <wp:extent cx="5943600" cy="1257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3020"/>
      </w:tblGrid>
      <w:tr w:rsidR="009235BD" w14:paraId="0B4EC91B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F58DE" w14:textId="77777777" w:rsidR="009235BD" w:rsidRDefault="009235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Type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E004" w14:textId="77777777" w:rsidR="009235BD" w:rsidRDefault="009235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9235BD" w14:paraId="0E10587E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5C781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High-Frequency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390A1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the, said, was, you, are, have</w:t>
            </w:r>
          </w:p>
        </w:tc>
      </w:tr>
      <w:tr w:rsidR="009235BD" w14:paraId="7923858F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F91BF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Irregular Words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71A29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enough, through, could, does</w:t>
            </w:r>
          </w:p>
        </w:tc>
      </w:tr>
      <w:tr w:rsidR="009235BD" w14:paraId="33C467A4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7CA04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 Words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DA17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and, in, to, for, of, it</w:t>
            </w:r>
          </w:p>
        </w:tc>
      </w:tr>
    </w:tbl>
    <w:p w14:paraId="10C8DCC4" w14:textId="77777777" w:rsidR="009235BD" w:rsidRDefault="009235BD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Many sight words come from Dolch or Fry word lists, used in early reading instruction.</w:t>
      </w:r>
    </w:p>
    <w:p w14:paraId="04CA0B0C" w14:textId="77777777" w:rsidR="009235BD" w:rsidRDefault="009235BD">
      <w:r>
        <w:pict w14:anchorId="07A6DD8A">
          <v:rect id="_x0000_i1027" style="width:0;height:1.5pt" o:hralign="center" o:hrstd="t" o:hr="t" fillcolor="#a0a0a0" stroked="f"/>
        </w:pict>
      </w:r>
    </w:p>
    <w:p w14:paraId="5616758B" w14:textId="77777777" w:rsidR="009235BD" w:rsidRDefault="009235BD">
      <w:pPr>
        <w:pStyle w:val="Heading2"/>
        <w:keepNext w:val="0"/>
        <w:keepLines w:val="0"/>
        <w:spacing w:before="280"/>
      </w:pPr>
      <w:bookmarkStart w:id="4" w:name="_r42hq6ua6nvy" w:colFirst="0" w:colLast="0"/>
      <w:bookmarkEnd w:id="4"/>
      <w:r>
        <w:t>👤 Who Uses It?</w:t>
      </w:r>
    </w:p>
    <w:p w14:paraId="36A83974" w14:textId="77777777" w:rsidR="009235BD" w:rsidRDefault="009235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B0D674" w14:textId="77777777" w:rsidR="009235BD" w:rsidRDefault="009235BD" w:rsidP="009235BD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Young readers (especially K–3)</w:t>
      </w:r>
      <w:r>
        <w:rPr>
          <w:rFonts w:ascii="Roboto Mono" w:eastAsia="Roboto Mono" w:hAnsi="Roboto Mono" w:cs="Roboto Mono"/>
          <w:b/>
        </w:rPr>
        <w:br/>
      </w:r>
    </w:p>
    <w:p w14:paraId="11200CA4" w14:textId="77777777" w:rsidR="009235BD" w:rsidRDefault="009235BD" w:rsidP="009235B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Struggling readers</w:t>
      </w:r>
      <w:r>
        <w:rPr>
          <w:rFonts w:ascii="Roboto Mono" w:eastAsia="Roboto Mono" w:hAnsi="Roboto Mono" w:cs="Roboto Mono"/>
          <w:b/>
        </w:rPr>
        <w:br/>
      </w:r>
    </w:p>
    <w:p w14:paraId="1591A3A8" w14:textId="77777777" w:rsidR="009235BD" w:rsidRDefault="009235BD" w:rsidP="009235B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ESL learners</w:t>
      </w:r>
      <w:r>
        <w:rPr>
          <w:rFonts w:ascii="Roboto Mono" w:eastAsia="Roboto Mono" w:hAnsi="Roboto Mono" w:cs="Roboto Mono"/>
          <w:b/>
        </w:rPr>
        <w:br/>
      </w:r>
    </w:p>
    <w:p w14:paraId="0F4020BA" w14:textId="77777777" w:rsidR="009235BD" w:rsidRDefault="009235BD" w:rsidP="009235B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Educators and reading specialists</w:t>
      </w:r>
    </w:p>
    <w:p w14:paraId="2A3437FE" w14:textId="77777777" w:rsidR="009235BD" w:rsidRDefault="009235BD">
      <w:r>
        <w:pict w14:anchorId="278DAA50">
          <v:rect id="_x0000_i1028" style="width:0;height:1.5pt" o:hralign="center" o:hrstd="t" o:hr="t" fillcolor="#a0a0a0" stroked="f"/>
        </w:pict>
      </w:r>
    </w:p>
    <w:p w14:paraId="3054DC7F" w14:textId="77777777" w:rsidR="009235BD" w:rsidRDefault="009235BD">
      <w:pPr>
        <w:pStyle w:val="Heading2"/>
        <w:keepNext w:val="0"/>
        <w:keepLines w:val="0"/>
        <w:spacing w:before="280"/>
      </w:pPr>
      <w:bookmarkStart w:id="5" w:name="_n2er4sdmu1fm" w:colFirst="0" w:colLast="0"/>
      <w:bookmarkEnd w:id="5"/>
      <w:r>
        <w:t>📌 Related Vocabulary Types:</w:t>
      </w:r>
    </w:p>
    <w:p w14:paraId="429BCA14" w14:textId="77777777" w:rsidR="009235BD" w:rsidRDefault="009235B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A44837" w14:textId="77777777" w:rsidR="009235BD" w:rsidRDefault="009235BD">
      <w:r>
        <w:rPr>
          <w:noProof/>
        </w:rPr>
        <w:drawing>
          <wp:inline distT="114300" distB="114300" distL="114300" distR="114300" wp14:anchorId="392FA92F" wp14:editId="747A30CF">
            <wp:extent cx="5943600" cy="161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3425"/>
        <w:gridCol w:w="2315"/>
      </w:tblGrid>
      <w:tr w:rsidR="009235BD" w14:paraId="264A1035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355D9" w14:textId="77777777" w:rsidR="009235BD" w:rsidRDefault="009235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14704" w14:textId="77777777" w:rsidR="009235BD" w:rsidRDefault="009235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E2E7C" w14:textId="77777777" w:rsidR="009235BD" w:rsidRDefault="009235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235BD" w14:paraId="682BA62E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C8DD6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Sight Vocabulary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9F048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Instantly recognized words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3D412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“You are here.”</w:t>
            </w:r>
          </w:p>
        </w:tc>
      </w:tr>
      <w:tr w:rsidR="009235BD" w14:paraId="170F656B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3256C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Listening Vocabulary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FA3F5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understood by hearing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1D46F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“Whisper,” “danger”</w:t>
            </w:r>
          </w:p>
        </w:tc>
      </w:tr>
      <w:tr w:rsidR="009235BD" w14:paraId="7C808041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26B19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Vocabulary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384E3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recognized during reading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DB408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“Machine,” “explain”</w:t>
            </w:r>
          </w:p>
        </w:tc>
      </w:tr>
      <w:tr w:rsidR="009235BD" w14:paraId="1C41C2E8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52649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High-Frequency Vocabulary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AB547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 commonly used words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9612D" w14:textId="77777777" w:rsidR="009235BD" w:rsidRDefault="009235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“Go,” “and,” “want”</w:t>
            </w:r>
          </w:p>
        </w:tc>
      </w:tr>
    </w:tbl>
    <w:p w14:paraId="21DF03AB" w14:textId="77777777" w:rsidR="009235BD" w:rsidRDefault="009235BD">
      <w:r>
        <w:pict w14:anchorId="00CB74DD">
          <v:rect id="_x0000_i1029" style="width:0;height:1.5pt" o:hralign="center" o:hrstd="t" o:hr="t" fillcolor="#a0a0a0" stroked="f"/>
        </w:pict>
      </w:r>
    </w:p>
    <w:p w14:paraId="039C723E" w14:textId="77777777" w:rsidR="009235BD" w:rsidRDefault="009235BD"/>
    <w:p w14:paraId="446F426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B2258"/>
    <w:multiLevelType w:val="multilevel"/>
    <w:tmpl w:val="99AA91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97897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5BD"/>
    <w:rsid w:val="002D1F4F"/>
    <w:rsid w:val="00711B4D"/>
    <w:rsid w:val="008952B3"/>
    <w:rsid w:val="009235BD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0159"/>
  <w15:chartTrackingRefBased/>
  <w15:docId w15:val="{952F10C6-3F9D-45D9-9E51-46699297E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5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