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71C2" w14:textId="77777777" w:rsidR="0015045F" w:rsidRDefault="0015045F">
      <w:pPr>
        <w:pStyle w:val="Heading1"/>
      </w:pPr>
      <w:bookmarkStart w:id="0" w:name="_mwpnca1ir1b7" w:colFirst="0" w:colLast="0"/>
      <w:bookmarkEnd w:id="0"/>
      <w:r>
        <w:t>Pedantic Diction</w:t>
      </w:r>
    </w:p>
    <w:p w14:paraId="773AE6A8" w14:textId="77777777" w:rsidR="0015045F" w:rsidRDefault="0015045F">
      <w:pPr>
        <w:pStyle w:val="Heading2"/>
      </w:pPr>
      <w:bookmarkStart w:id="1" w:name="_dtevssdkho3a" w:colFirst="0" w:colLast="0"/>
      <w:bookmarkEnd w:id="1"/>
      <w:r>
        <w:t>🧐 What is Pedantic Diction</w:t>
      </w:r>
    </w:p>
    <w:p w14:paraId="29AFAA4D" w14:textId="77777777" w:rsidR="0015045F" w:rsidRDefault="0015045F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251BC5" w14:textId="77777777" w:rsidR="0015045F" w:rsidRDefault="0015045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Pedantic diction</w:t>
      </w:r>
      <w:r>
        <w:rPr>
          <w:rFonts w:ascii="Roboto Mono" w:eastAsia="Roboto Mono" w:hAnsi="Roboto Mono" w:cs="Roboto Mono"/>
        </w:rPr>
        <w:t xml:space="preserve"> refers to language that is </w:t>
      </w:r>
      <w:r>
        <w:rPr>
          <w:rFonts w:ascii="Roboto Mono" w:eastAsia="Roboto Mono" w:hAnsi="Roboto Mono" w:cs="Roboto Mono"/>
          <w:b/>
        </w:rPr>
        <w:t>overly concerned with formal rules, accuracy, and minute details</w:t>
      </w:r>
      <w:r>
        <w:rPr>
          <w:rFonts w:ascii="Roboto Mono" w:eastAsia="Roboto Mono" w:hAnsi="Roboto Mono" w:cs="Roboto Mono"/>
        </w:rPr>
        <w:t xml:space="preserve">. It often sounds </w:t>
      </w:r>
      <w:r>
        <w:rPr>
          <w:rFonts w:ascii="Roboto Mono" w:eastAsia="Roboto Mono" w:hAnsi="Roboto Mono" w:cs="Roboto Mono"/>
          <w:b/>
        </w:rPr>
        <w:t>pretentious, academic, or overly precise</w:t>
      </w:r>
      <w:r>
        <w:rPr>
          <w:rFonts w:ascii="Roboto Mono" w:eastAsia="Roboto Mono" w:hAnsi="Roboto Mono" w:cs="Roboto Mono"/>
        </w:rPr>
        <w:t>, especially when used unnecessarily in casual contexts.</w:t>
      </w:r>
    </w:p>
    <w:p w14:paraId="51A73F90" w14:textId="77777777" w:rsidR="0015045F" w:rsidRDefault="0015045F">
      <w:r>
        <w:pict w14:anchorId="49CFCB2D">
          <v:rect id="_x0000_i1025" style="width:0;height:1.5pt" o:hralign="center" o:hrstd="t" o:hr="t" fillcolor="#a0a0a0" stroked="f"/>
        </w:pict>
      </w:r>
    </w:p>
    <w:p w14:paraId="183E5FD7" w14:textId="77777777" w:rsidR="0015045F" w:rsidRDefault="0015045F">
      <w:pPr>
        <w:pStyle w:val="Heading2"/>
        <w:keepNext w:val="0"/>
        <w:keepLines w:val="0"/>
        <w:spacing w:before="280"/>
      </w:pPr>
      <w:bookmarkStart w:id="2" w:name="_amycoyh79017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BEF7D7E" w14:textId="77777777" w:rsidR="0015045F" w:rsidRDefault="0015045F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AE2211" w14:textId="77777777" w:rsidR="0015045F" w:rsidRDefault="0015045F">
      <w:r>
        <w:rPr>
          <w:noProof/>
        </w:rPr>
        <w:drawing>
          <wp:inline distT="114300" distB="114300" distL="114300" distR="114300" wp14:anchorId="43B25C48" wp14:editId="2C8B1551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220"/>
      </w:tblGrid>
      <w:tr w:rsidR="0015045F" w14:paraId="1072F3C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B11B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24DC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15045F" w14:paraId="34F07A1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C37B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0346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Arrogant, overly academic, nitpicky, show-offy</w:t>
            </w:r>
          </w:p>
        </w:tc>
      </w:tr>
      <w:tr w:rsidR="0015045F" w14:paraId="5CFDCAF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4A4F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6CC7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words, technical terms, long-winded explanations</w:t>
            </w:r>
          </w:p>
        </w:tc>
      </w:tr>
      <w:tr w:rsidR="0015045F" w14:paraId="6D8D756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0456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021B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writing, satire, pompous characters in fiction</w:t>
            </w:r>
          </w:p>
        </w:tc>
      </w:tr>
      <w:tr w:rsidR="0015045F" w14:paraId="3862173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3DEA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2A06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display knowledge, correct others, or maintain intellectual superiority</w:t>
            </w:r>
          </w:p>
        </w:tc>
      </w:tr>
    </w:tbl>
    <w:p w14:paraId="2621C6E4" w14:textId="77777777" w:rsidR="0015045F" w:rsidRDefault="0015045F">
      <w:r>
        <w:pict w14:anchorId="6EBD9220">
          <v:rect id="_x0000_i1026" style="width:0;height:1.5pt" o:hralign="center" o:hrstd="t" o:hr="t" fillcolor="#a0a0a0" stroked="f"/>
        </w:pict>
      </w:r>
    </w:p>
    <w:p w14:paraId="78D7E2DB" w14:textId="77777777" w:rsidR="0015045F" w:rsidRDefault="0015045F">
      <w:pPr>
        <w:pStyle w:val="Heading2"/>
        <w:keepNext w:val="0"/>
        <w:keepLines w:val="0"/>
        <w:spacing w:before="280"/>
      </w:pPr>
      <w:bookmarkStart w:id="3" w:name="_bsvizbkyica2" w:colFirst="0" w:colLast="0"/>
      <w:bookmarkEnd w:id="3"/>
      <w:r>
        <w:t>🧠 Examples of Pedantic Diction:</w:t>
      </w:r>
    </w:p>
    <w:p w14:paraId="0D26D716" w14:textId="77777777" w:rsidR="0015045F" w:rsidRDefault="0015045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160D48" w14:textId="77777777" w:rsidR="0015045F" w:rsidRDefault="0015045F">
      <w:r>
        <w:rPr>
          <w:noProof/>
        </w:rPr>
        <w:drawing>
          <wp:inline distT="114300" distB="114300" distL="114300" distR="114300" wp14:anchorId="799BBD53" wp14:editId="66BB01FA">
            <wp:extent cx="5943600" cy="142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3"/>
        <w:gridCol w:w="4954"/>
        <w:gridCol w:w="2613"/>
      </w:tblGrid>
      <w:tr w:rsidR="0015045F" w14:paraId="597221B9" w14:textId="77777777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5607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2056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Pedantic Use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5C43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Simpler Version</w:t>
            </w:r>
          </w:p>
        </w:tc>
      </w:tr>
      <w:tr w:rsidR="0015045F" w14:paraId="0420AD7B" w14:textId="77777777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9692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Education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02C8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“Your assertion lacks empirical substantiation.”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7EC9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have no proof.”</w:t>
            </w:r>
          </w:p>
        </w:tc>
      </w:tr>
      <w:tr w:rsidR="0015045F" w14:paraId="139A5694" w14:textId="77777777">
        <w:trPr>
          <w:trHeight w:val="785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ED98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DCFA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“One must evacuate the premises with alacrity.”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26EF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“Leave quickly.”</w:t>
            </w:r>
          </w:p>
        </w:tc>
      </w:tr>
      <w:tr w:rsidR="0015045F" w14:paraId="4EE29CD8" w14:textId="77777777">
        <w:trPr>
          <w:trHeight w:val="785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1547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Instructions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1066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“Manipulate the lever in a counterclockwise fashion.”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D719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“Turn the lever to the left.”</w:t>
            </w:r>
          </w:p>
        </w:tc>
      </w:tr>
    </w:tbl>
    <w:p w14:paraId="66A7DE3D" w14:textId="77777777" w:rsidR="0015045F" w:rsidRDefault="0015045F">
      <w:r>
        <w:pict w14:anchorId="2F47B228">
          <v:rect id="_x0000_i1027" style="width:0;height:1.5pt" o:hralign="center" o:hrstd="t" o:hr="t" fillcolor="#a0a0a0" stroked="f"/>
        </w:pict>
      </w:r>
    </w:p>
    <w:p w14:paraId="5105A6D9" w14:textId="77777777" w:rsidR="0015045F" w:rsidRDefault="0015045F">
      <w:pPr>
        <w:pStyle w:val="Heading2"/>
        <w:keepNext w:val="0"/>
        <w:keepLines w:val="0"/>
        <w:spacing w:before="280"/>
      </w:pPr>
      <w:bookmarkStart w:id="4" w:name="_ml0h5hu29h4o" w:colFirst="0" w:colLast="0"/>
      <w:bookmarkEnd w:id="4"/>
      <w:r>
        <w:t>✍️ Example Sentences Using Pedantic Diction:</w:t>
      </w:r>
    </w:p>
    <w:p w14:paraId="60DEA0C1" w14:textId="77777777" w:rsidR="0015045F" w:rsidRDefault="001504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CA08B8" w14:textId="77777777" w:rsidR="0015045F" w:rsidRDefault="0015045F" w:rsidP="0015045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“I couldn’t help but notice that your application of the subjunctive mood is, regrettably, erroneous.”</w:t>
      </w:r>
      <w:r>
        <w:rPr>
          <w:rFonts w:ascii="Roboto Mono" w:eastAsia="Roboto Mono" w:hAnsi="Roboto Mono" w:cs="Roboto Mono"/>
        </w:rPr>
        <w:br/>
      </w:r>
    </w:p>
    <w:p w14:paraId="7CBD574D" w14:textId="77777777" w:rsidR="0015045F" w:rsidRDefault="0015045F" w:rsidP="0015045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“According to Section 4.3 of the procedural framework, your behavior is noncompliant.”</w:t>
      </w:r>
    </w:p>
    <w:p w14:paraId="06CB2AB9" w14:textId="77777777" w:rsidR="0015045F" w:rsidRDefault="0015045F">
      <w:r>
        <w:pict w14:anchorId="6C8A764E">
          <v:rect id="_x0000_i1028" style="width:0;height:1.5pt" o:hralign="center" o:hrstd="t" o:hr="t" fillcolor="#a0a0a0" stroked="f"/>
        </w:pict>
      </w:r>
    </w:p>
    <w:p w14:paraId="3B32B786" w14:textId="77777777" w:rsidR="0015045F" w:rsidRDefault="0015045F">
      <w:pPr>
        <w:pStyle w:val="Heading2"/>
        <w:keepNext w:val="0"/>
        <w:keepLines w:val="0"/>
        <w:spacing w:before="280"/>
      </w:pPr>
      <w:bookmarkStart w:id="5" w:name="_89apj2gdgrzb" w:colFirst="0" w:colLast="0"/>
      <w:bookmarkEnd w:id="5"/>
      <w:r>
        <w:t>🆚 Pedantic Diction vs Didactic Diction:</w:t>
      </w:r>
    </w:p>
    <w:p w14:paraId="23B771FD" w14:textId="77777777" w:rsidR="0015045F" w:rsidRDefault="0015045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9CB660" w14:textId="77777777" w:rsidR="0015045F" w:rsidRDefault="0015045F">
      <w:r>
        <w:rPr>
          <w:noProof/>
        </w:rPr>
        <w:drawing>
          <wp:inline distT="114300" distB="114300" distL="114300" distR="114300" wp14:anchorId="16E97D02" wp14:editId="166D7425">
            <wp:extent cx="5943600" cy="116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90"/>
        <w:gridCol w:w="3920"/>
      </w:tblGrid>
      <w:tr w:rsidR="0015045F" w14:paraId="6CA507F9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54F2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Pedantic Diction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9A1B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Didactic Diction</w:t>
            </w:r>
          </w:p>
        </w:tc>
      </w:tr>
      <w:tr w:rsidR="0015045F" w14:paraId="12FA1480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D991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off </w:t>
            </w:r>
            <w:r>
              <w:rPr>
                <w:rFonts w:ascii="Roboto Mono" w:eastAsia="Roboto Mono" w:hAnsi="Roboto Mono" w:cs="Roboto Mono"/>
                <w:b/>
              </w:rPr>
              <w:t>knowledge or correctness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37C3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Aims to </w:t>
            </w:r>
            <w:r>
              <w:rPr>
                <w:rFonts w:ascii="Roboto Mono" w:eastAsia="Roboto Mono" w:hAnsi="Roboto Mono" w:cs="Roboto Mono"/>
                <w:b/>
              </w:rPr>
              <w:t>teach or guide</w:t>
            </w:r>
          </w:p>
        </w:tc>
      </w:tr>
      <w:tr w:rsidR="0015045F" w14:paraId="2A49F274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321E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seen as </w:t>
            </w:r>
            <w:r>
              <w:rPr>
                <w:rFonts w:ascii="Roboto Mono" w:eastAsia="Roboto Mono" w:hAnsi="Roboto Mono" w:cs="Roboto Mono"/>
                <w:b/>
              </w:rPr>
              <w:t>condescending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648B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seen as </w:t>
            </w:r>
            <w:r>
              <w:rPr>
                <w:rFonts w:ascii="Roboto Mono" w:eastAsia="Roboto Mono" w:hAnsi="Roboto Mono" w:cs="Roboto Mono"/>
                <w:b/>
              </w:rPr>
              <w:t>moral or instructive</w:t>
            </w:r>
          </w:p>
        </w:tc>
      </w:tr>
      <w:tr w:rsidR="0015045F" w14:paraId="35220C5F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0A54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“Your logic is fundamentally flawed.”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2F94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“It’s important to think before acting.”</w:t>
            </w:r>
          </w:p>
        </w:tc>
      </w:tr>
    </w:tbl>
    <w:p w14:paraId="7641568D" w14:textId="77777777" w:rsidR="0015045F" w:rsidRDefault="0015045F">
      <w:r>
        <w:pict w14:anchorId="000D6EAF">
          <v:rect id="_x0000_i1029" style="width:0;height:1.5pt" o:hralign="center" o:hrstd="t" o:hr="t" fillcolor="#a0a0a0" stroked="f"/>
        </w:pict>
      </w:r>
    </w:p>
    <w:p w14:paraId="43A24859" w14:textId="77777777" w:rsidR="0015045F" w:rsidRDefault="0015045F">
      <w:pPr>
        <w:pStyle w:val="Heading2"/>
        <w:keepNext w:val="0"/>
        <w:keepLines w:val="0"/>
        <w:spacing w:before="280"/>
      </w:pPr>
      <w:bookmarkStart w:id="6" w:name="_9o84hpr12odk" w:colFirst="0" w:colLast="0"/>
      <w:bookmarkEnd w:id="6"/>
      <w:r>
        <w:t>🧭 Used In:</w:t>
      </w:r>
    </w:p>
    <w:p w14:paraId="43BE522D" w14:textId="77777777" w:rsidR="0015045F" w:rsidRDefault="001504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636C00" w14:textId="77777777" w:rsidR="0015045F" w:rsidRDefault="0015045F" w:rsidP="0015045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writing (overly formal)</w:t>
      </w:r>
      <w:r>
        <w:rPr>
          <w:rFonts w:ascii="Roboto Mono" w:eastAsia="Roboto Mono" w:hAnsi="Roboto Mono" w:cs="Roboto Mono"/>
          <w:b/>
        </w:rPr>
        <w:br/>
      </w:r>
    </w:p>
    <w:p w14:paraId="3C332C2B" w14:textId="77777777" w:rsidR="0015045F" w:rsidRDefault="0015045F" w:rsidP="0015045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Satirical or humorous works</w:t>
      </w:r>
      <w:r>
        <w:rPr>
          <w:rFonts w:ascii="Roboto Mono" w:eastAsia="Roboto Mono" w:hAnsi="Roboto Mono" w:cs="Roboto Mono"/>
          <w:b/>
        </w:rPr>
        <w:br/>
      </w:r>
    </w:p>
    <w:p w14:paraId="12324451" w14:textId="77777777" w:rsidR="0015045F" w:rsidRDefault="0015045F" w:rsidP="0015045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Characters in literature who act superior</w:t>
      </w:r>
      <w:r>
        <w:rPr>
          <w:rFonts w:ascii="Roboto Mono" w:eastAsia="Roboto Mono" w:hAnsi="Roboto Mono" w:cs="Roboto Mono"/>
          <w:b/>
        </w:rPr>
        <w:br/>
      </w:r>
    </w:p>
    <w:p w14:paraId="2D7390F9" w14:textId="77777777" w:rsidR="0015045F" w:rsidRDefault="0015045F" w:rsidP="0015045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Excessively detailed manuals or emails</w:t>
      </w:r>
    </w:p>
    <w:p w14:paraId="458D671D" w14:textId="77777777" w:rsidR="0015045F" w:rsidRDefault="0015045F">
      <w:r>
        <w:pict w14:anchorId="1E5BEEBE">
          <v:rect id="_x0000_i1030" style="width:0;height:1.5pt" o:hralign="center" o:hrstd="t" o:hr="t" fillcolor="#a0a0a0" stroked="f"/>
        </w:pict>
      </w:r>
    </w:p>
    <w:p w14:paraId="5CB9A863" w14:textId="77777777" w:rsidR="0015045F" w:rsidRDefault="0015045F"/>
    <w:p w14:paraId="597DCA8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35D48"/>
    <w:multiLevelType w:val="multilevel"/>
    <w:tmpl w:val="BF9EC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F74DB8"/>
    <w:multiLevelType w:val="multilevel"/>
    <w:tmpl w:val="A70AC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0038899">
    <w:abstractNumId w:val="0"/>
  </w:num>
  <w:num w:numId="2" w16cid:durableId="105253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5F"/>
    <w:rsid w:val="0015045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0B35"/>
  <w15:chartTrackingRefBased/>
  <w15:docId w15:val="{B6AAC53B-515D-4BF2-B266-F34A6603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