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2567" w14:textId="77777777" w:rsidR="009D0AEB" w:rsidRDefault="009D0AEB">
      <w:pPr>
        <w:pStyle w:val="Heading1"/>
      </w:pPr>
      <w:bookmarkStart w:id="0" w:name="_yi2wov3i49ic" w:colFirst="0" w:colLast="0"/>
      <w:bookmarkEnd w:id="0"/>
      <w:r>
        <w:t>Technical vs Lay Synonyms</w:t>
      </w:r>
    </w:p>
    <w:p w14:paraId="53A0BBC1" w14:textId="77777777" w:rsidR="009D0AEB" w:rsidRDefault="009D0AEB">
      <w:pPr>
        <w:pStyle w:val="Heading2"/>
      </w:pPr>
      <w:bookmarkStart w:id="1" w:name="_w67wa4pzfz1n" w:colFirst="0" w:colLast="0"/>
      <w:bookmarkEnd w:id="1"/>
      <w:r>
        <w:t>🔹 What is Technical vs Lay Synonyms</w:t>
      </w:r>
    </w:p>
    <w:p w14:paraId="584FC510" w14:textId="77777777" w:rsidR="009D0AEB" w:rsidRDefault="009D0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47CA83" w14:textId="77777777" w:rsidR="009D0AEB" w:rsidRDefault="009D0A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synonyms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lay synonyms</w:t>
      </w:r>
      <w:r>
        <w:rPr>
          <w:rFonts w:ascii="Roboto Mono" w:eastAsia="Roboto Mono" w:hAnsi="Roboto Mono" w:cs="Roboto Mono"/>
        </w:rPr>
        <w:t xml:space="preserve"> are pairs of words that describe the same or similar concept but differ in </w:t>
      </w:r>
      <w:r>
        <w:rPr>
          <w:rFonts w:ascii="Roboto Mono" w:eastAsia="Roboto Mono" w:hAnsi="Roboto Mono" w:cs="Roboto Mono"/>
          <w:b/>
        </w:rPr>
        <w:t>specialization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audience</w:t>
      </w:r>
      <w:r>
        <w:rPr>
          <w:rFonts w:ascii="Roboto Mono" w:eastAsia="Roboto Mono" w:hAnsi="Roboto Mono" w:cs="Roboto Mono"/>
        </w:rPr>
        <w:t xml:space="preserve">. One is used in </w:t>
      </w:r>
      <w:r>
        <w:rPr>
          <w:rFonts w:ascii="Roboto Mono" w:eastAsia="Roboto Mono" w:hAnsi="Roboto Mono" w:cs="Roboto Mono"/>
          <w:b/>
        </w:rPr>
        <w:t>technical, academic, or professional</w:t>
      </w:r>
      <w:r>
        <w:rPr>
          <w:rFonts w:ascii="Roboto Mono" w:eastAsia="Roboto Mono" w:hAnsi="Roboto Mono" w:cs="Roboto Mono"/>
        </w:rPr>
        <w:t xml:space="preserve"> contexts, while the other is used in </w:t>
      </w:r>
      <w:r>
        <w:rPr>
          <w:rFonts w:ascii="Roboto Mono" w:eastAsia="Roboto Mono" w:hAnsi="Roboto Mono" w:cs="Roboto Mono"/>
          <w:b/>
        </w:rPr>
        <w:t>everyday, general language</w:t>
      </w:r>
      <w:r>
        <w:rPr>
          <w:rFonts w:ascii="Roboto Mono" w:eastAsia="Roboto Mono" w:hAnsi="Roboto Mono" w:cs="Roboto Mono"/>
        </w:rPr>
        <w:t>.</w:t>
      </w:r>
    </w:p>
    <w:p w14:paraId="6830B2F1" w14:textId="77777777" w:rsidR="009D0AEB" w:rsidRDefault="009D0AEB">
      <w:r>
        <w:pict w14:anchorId="3054EA51">
          <v:rect id="_x0000_i1025" style="width:0;height:1.5pt" o:hralign="center" o:hrstd="t" o:hr="t" fillcolor="#a0a0a0" stroked="f"/>
        </w:pict>
      </w:r>
    </w:p>
    <w:p w14:paraId="2F4DBFF6" w14:textId="77777777" w:rsidR="009D0AEB" w:rsidRDefault="009D0AEB">
      <w:pPr>
        <w:pStyle w:val="Heading2"/>
        <w:keepNext w:val="0"/>
        <w:keepLines w:val="0"/>
        <w:spacing w:before="280"/>
      </w:pPr>
      <w:bookmarkStart w:id="2" w:name="_veveh4p0hpjk" w:colFirst="0" w:colLast="0"/>
      <w:bookmarkEnd w:id="2"/>
      <w:r>
        <w:t>🧠 Definition:</w:t>
      </w:r>
    </w:p>
    <w:p w14:paraId="54CA163C" w14:textId="77777777" w:rsidR="009D0AEB" w:rsidRDefault="009D0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C3DBC7" w14:textId="77777777" w:rsidR="009D0AEB" w:rsidRDefault="009D0AE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vs Lay synonyms</w:t>
      </w:r>
      <w:r>
        <w:rPr>
          <w:rFonts w:ascii="Roboto Mono" w:eastAsia="Roboto Mono" w:hAnsi="Roboto Mono" w:cs="Roboto Mono"/>
        </w:rPr>
        <w:t xml:space="preserve"> refer to pairs of terms where one is specialized or jargon-based (</w:t>
      </w:r>
      <w:r>
        <w:rPr>
          <w:rFonts w:ascii="Roboto Mono" w:eastAsia="Roboto Mono" w:hAnsi="Roboto Mono" w:cs="Roboto Mono"/>
          <w:b/>
        </w:rPr>
        <w:t>technical</w:t>
      </w:r>
      <w:r>
        <w:rPr>
          <w:rFonts w:ascii="Roboto Mono" w:eastAsia="Roboto Mono" w:hAnsi="Roboto Mono" w:cs="Roboto Mono"/>
        </w:rPr>
        <w:t>) and the other is common or non-specialist (</w:t>
      </w:r>
      <w:r>
        <w:rPr>
          <w:rFonts w:ascii="Roboto Mono" w:eastAsia="Roboto Mono" w:hAnsi="Roboto Mono" w:cs="Roboto Mono"/>
          <w:b/>
        </w:rPr>
        <w:t>lay</w:t>
      </w:r>
      <w:r>
        <w:rPr>
          <w:rFonts w:ascii="Roboto Mono" w:eastAsia="Roboto Mono" w:hAnsi="Roboto Mono" w:cs="Roboto Mono"/>
        </w:rPr>
        <w:t>), though both refer to the same or similar thing.</w:t>
      </w:r>
    </w:p>
    <w:p w14:paraId="5FD35548" w14:textId="77777777" w:rsidR="009D0AEB" w:rsidRDefault="009D0AEB">
      <w:r>
        <w:pict w14:anchorId="44AE021D">
          <v:rect id="_x0000_i1026" style="width:0;height:1.5pt" o:hralign="center" o:hrstd="t" o:hr="t" fillcolor="#a0a0a0" stroked="f"/>
        </w:pict>
      </w:r>
    </w:p>
    <w:p w14:paraId="497B8BE3" w14:textId="77777777" w:rsidR="009D0AEB" w:rsidRDefault="009D0AEB">
      <w:pPr>
        <w:pStyle w:val="Heading2"/>
        <w:keepNext w:val="0"/>
        <w:keepLines w:val="0"/>
        <w:spacing w:before="280"/>
      </w:pPr>
      <w:bookmarkStart w:id="3" w:name="_gpgjvcabhuyg" w:colFirst="0" w:colLast="0"/>
      <w:bookmarkEnd w:id="3"/>
      <w:r>
        <w:t>📌 Key Features:</w:t>
      </w:r>
    </w:p>
    <w:p w14:paraId="23B2706A" w14:textId="77777777" w:rsidR="009D0AEB" w:rsidRDefault="009D0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8F4A08" w14:textId="77777777" w:rsidR="009D0AEB" w:rsidRDefault="009D0AEB">
      <w:r>
        <w:rPr>
          <w:noProof/>
        </w:rPr>
        <w:drawing>
          <wp:inline distT="114300" distB="114300" distL="114300" distR="114300" wp14:anchorId="5AB8EBE1" wp14:editId="033DF35B">
            <wp:extent cx="5943600" cy="1536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8"/>
        <w:gridCol w:w="4581"/>
        <w:gridCol w:w="3061"/>
      </w:tblGrid>
      <w:tr w:rsidR="009D0AEB" w14:paraId="3CE2435C" w14:textId="77777777">
        <w:trPr>
          <w:trHeight w:val="5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DF3D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E1D4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Synonym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6479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Lay Synonym</w:t>
            </w:r>
          </w:p>
        </w:tc>
      </w:tr>
      <w:tr w:rsidR="009D0AEB" w14:paraId="1666E0FF" w14:textId="77777777">
        <w:trPr>
          <w:trHeight w:val="5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EC40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2632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Specialists, professionals, academics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28EE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public, non-experts</w:t>
            </w:r>
          </w:p>
        </w:tc>
      </w:tr>
      <w:tr w:rsidR="009D0AEB" w14:paraId="51621148" w14:textId="77777777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4266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Type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9F987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Domain-specific jargon or terminology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8BE8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language</w:t>
            </w:r>
          </w:p>
        </w:tc>
      </w:tr>
      <w:tr w:rsidR="009D0AEB" w14:paraId="0F40A1DC" w14:textId="77777777">
        <w:trPr>
          <w:trHeight w:val="5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D45E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F27C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specificity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852A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Simpler, often less precise</w:t>
            </w:r>
          </w:p>
        </w:tc>
      </w:tr>
      <w:tr w:rsidR="009D0AEB" w14:paraId="4D5067CE" w14:textId="77777777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234E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2B86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formal, academic, or technical documents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7264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casual speech or writing</w:t>
            </w:r>
          </w:p>
        </w:tc>
      </w:tr>
    </w:tbl>
    <w:p w14:paraId="20AB1EE2" w14:textId="77777777" w:rsidR="009D0AEB" w:rsidRDefault="009D0AEB">
      <w:r>
        <w:pict w14:anchorId="6293E075">
          <v:rect id="_x0000_i1027" style="width:0;height:1.5pt" o:hralign="center" o:hrstd="t" o:hr="t" fillcolor="#a0a0a0" stroked="f"/>
        </w:pict>
      </w:r>
    </w:p>
    <w:p w14:paraId="5FCC7DCB" w14:textId="77777777" w:rsidR="009D0AEB" w:rsidRDefault="009D0AEB">
      <w:pPr>
        <w:pStyle w:val="Heading2"/>
        <w:keepNext w:val="0"/>
        <w:keepLines w:val="0"/>
        <w:spacing w:before="280"/>
      </w:pPr>
      <w:bookmarkStart w:id="4" w:name="_b6pgpgbfec3q" w:colFirst="0" w:colLast="0"/>
      <w:bookmarkEnd w:id="4"/>
      <w:r>
        <w:t>📚 Examples of Technical vs Lay Synonyms:</w:t>
      </w:r>
    </w:p>
    <w:p w14:paraId="4302CFB4" w14:textId="77777777" w:rsidR="009D0AEB" w:rsidRDefault="009D0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E70900" w14:textId="77777777" w:rsidR="009D0AEB" w:rsidRDefault="009D0AEB">
      <w:r>
        <w:rPr>
          <w:noProof/>
        </w:rPr>
        <w:drawing>
          <wp:inline distT="114300" distB="114300" distL="114300" distR="114300" wp14:anchorId="7AAD8AA6" wp14:editId="6EAD0308">
            <wp:extent cx="5943600" cy="3606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405"/>
        <w:gridCol w:w="2735"/>
      </w:tblGrid>
      <w:tr w:rsidR="009D0AEB" w14:paraId="1F915986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3253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Term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4E27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Lay Synonym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0A43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 / Field</w:t>
            </w:r>
          </w:p>
        </w:tc>
      </w:tr>
      <w:tr w:rsidR="009D0AEB" w14:paraId="3169F455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43177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Hypertension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5628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blood pressure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11A7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</w:tr>
      <w:tr w:rsidR="009D0AEB" w14:paraId="117DF7DA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315A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Myocardial infarction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26AE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Heart attack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CB03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</w:tr>
      <w:tr w:rsidR="009D0AEB" w14:paraId="7367571C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1DCB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Photosynthesis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C60B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plants make food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70E9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Biology</w:t>
            </w:r>
          </w:p>
        </w:tc>
      </w:tr>
      <w:tr w:rsidR="009D0AEB" w14:paraId="1B6B5712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BD6A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Velocity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693E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Speed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5248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Physics</w:t>
            </w:r>
          </w:p>
        </w:tc>
      </w:tr>
      <w:tr w:rsidR="009D0AEB" w14:paraId="776C25D6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08E1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register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9A8B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level/style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BB9B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</w:tr>
      <w:tr w:rsidR="009D0AEB" w14:paraId="0E4BB8D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7EC1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Authentication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56E7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Identity check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BCE0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Cybersecurity / IT</w:t>
            </w:r>
          </w:p>
        </w:tc>
      </w:tr>
      <w:tr w:rsidR="009D0AEB" w14:paraId="7F0E85B7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C7D0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Cognitive load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1BA7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effort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AC23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Psychology / Education</w:t>
            </w:r>
          </w:p>
        </w:tc>
      </w:tr>
      <w:tr w:rsidR="009D0AEB" w14:paraId="415D057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B6DD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 item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2004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0A4D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</w:tr>
      <w:tr w:rsidR="009D0AEB" w14:paraId="6B7888AA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6EE2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impairment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9BBC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Poor eyesight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47A6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Health / Disability studies</w:t>
            </w:r>
          </w:p>
        </w:tc>
      </w:tr>
      <w:tr w:rsidR="009D0AEB" w14:paraId="3038D924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C80A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Gastroenteritis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D8DD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Stomach flu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56BA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</w:tr>
    </w:tbl>
    <w:p w14:paraId="0FEF0B74" w14:textId="77777777" w:rsidR="009D0AEB" w:rsidRDefault="009D0AEB">
      <w:r>
        <w:pict w14:anchorId="5E16E51C">
          <v:rect id="_x0000_i1028" style="width:0;height:1.5pt" o:hralign="center" o:hrstd="t" o:hr="t" fillcolor="#a0a0a0" stroked="f"/>
        </w:pict>
      </w:r>
    </w:p>
    <w:p w14:paraId="60971EA8" w14:textId="77777777" w:rsidR="009D0AEB" w:rsidRDefault="009D0AEB">
      <w:pPr>
        <w:pStyle w:val="Heading2"/>
        <w:keepNext w:val="0"/>
        <w:keepLines w:val="0"/>
        <w:spacing w:before="280"/>
      </w:pPr>
      <w:bookmarkStart w:id="5" w:name="_o9ec62njhost" w:colFirst="0" w:colLast="0"/>
      <w:bookmarkEnd w:id="5"/>
      <w:r>
        <w:t>🔁 Comparison with Other Synonym Types:</w:t>
      </w:r>
    </w:p>
    <w:p w14:paraId="207FF1BE" w14:textId="77777777" w:rsidR="009D0AEB" w:rsidRDefault="009D0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69D046" w14:textId="77777777" w:rsidR="009D0AEB" w:rsidRDefault="009D0AEB">
      <w:r>
        <w:rPr>
          <w:noProof/>
        </w:rPr>
        <w:drawing>
          <wp:inline distT="114300" distB="114300" distL="114300" distR="114300" wp14:anchorId="7E5A3D11" wp14:editId="66E5BC6B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320"/>
        <w:gridCol w:w="3665"/>
      </w:tblGrid>
      <w:tr w:rsidR="009D0AEB" w14:paraId="6647005F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0DDB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7122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18BE" w14:textId="77777777" w:rsidR="009D0AEB" w:rsidRDefault="009D0A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0AEB" w14:paraId="17DD5078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2410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Synonyms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54B4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Emotional tone differs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83D87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Slim / Scrawny</w:t>
            </w:r>
          </w:p>
        </w:tc>
      </w:tr>
      <w:tr w:rsidR="009D0AEB" w14:paraId="68EA65B7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B8B4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9234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Formality or tone varies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B34C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Start / Commence</w:t>
            </w:r>
          </w:p>
        </w:tc>
      </w:tr>
      <w:tr w:rsidR="009D0AEB" w14:paraId="1B4264A0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D081C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Dialectal Synonyms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B97E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 usage differs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EDC4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Lift (UK) / Elevator (US)</w:t>
            </w:r>
          </w:p>
        </w:tc>
      </w:tr>
      <w:tr w:rsidR="009D0AEB" w14:paraId="4B2C5A30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2198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vs Lay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AB64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Technicality and audience differ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201B" w14:textId="77777777" w:rsidR="009D0AEB" w:rsidRDefault="009D0A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Hypertension / High blood pressure</w:t>
            </w:r>
          </w:p>
        </w:tc>
      </w:tr>
    </w:tbl>
    <w:p w14:paraId="7F8CCDFB" w14:textId="77777777" w:rsidR="009D0AEB" w:rsidRDefault="009D0AEB">
      <w:r>
        <w:pict w14:anchorId="2F603FA2">
          <v:rect id="_x0000_i1029" style="width:0;height:1.5pt" o:hralign="center" o:hrstd="t" o:hr="t" fillcolor="#a0a0a0" stroked="f"/>
        </w:pict>
      </w:r>
    </w:p>
    <w:p w14:paraId="57C721A0" w14:textId="77777777" w:rsidR="009D0AEB" w:rsidRDefault="009D0AEB">
      <w:pPr>
        <w:pStyle w:val="Heading2"/>
        <w:keepNext w:val="0"/>
        <w:keepLines w:val="0"/>
        <w:spacing w:before="280"/>
      </w:pPr>
      <w:bookmarkStart w:id="6" w:name="_72hksjnwajl4" w:colFirst="0" w:colLast="0"/>
      <w:bookmarkEnd w:id="6"/>
      <w:r>
        <w:t>🧾 Usage Note:</w:t>
      </w:r>
    </w:p>
    <w:p w14:paraId="0D61D251" w14:textId="77777777" w:rsidR="009D0AEB" w:rsidRDefault="009D0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E2312" w14:textId="77777777" w:rsidR="009D0AEB" w:rsidRDefault="009D0AEB" w:rsidP="009D0AE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Lay synonyms are useful for </w:t>
      </w:r>
      <w:r>
        <w:rPr>
          <w:rFonts w:ascii="Roboto Mono" w:eastAsia="Roboto Mono" w:hAnsi="Roboto Mono" w:cs="Roboto Mono"/>
          <w:b/>
        </w:rPr>
        <w:t>communication with the general public</w:t>
      </w:r>
      <w:r>
        <w:rPr>
          <w:rFonts w:ascii="Roboto Mono" w:eastAsia="Roboto Mono" w:hAnsi="Roboto Mono" w:cs="Roboto Mono"/>
        </w:rPr>
        <w:t xml:space="preserve">, while technical terms are crucial for </w:t>
      </w:r>
      <w:r>
        <w:rPr>
          <w:rFonts w:ascii="Roboto Mono" w:eastAsia="Roboto Mono" w:hAnsi="Roboto Mono" w:cs="Roboto Mono"/>
          <w:b/>
        </w:rPr>
        <w:t>precision in expert fields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246BD8" w14:textId="77777777" w:rsidR="009D0AEB" w:rsidRDefault="009D0AEB" w:rsidP="009D0AE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Translating technical terms into lay language is a key part of </w:t>
      </w:r>
      <w:r>
        <w:rPr>
          <w:rFonts w:ascii="Roboto Mono" w:eastAsia="Roboto Mono" w:hAnsi="Roboto Mono" w:cs="Roboto Mono"/>
          <w:b/>
        </w:rPr>
        <w:t>science communication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public health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education</w:t>
      </w:r>
      <w:r>
        <w:rPr>
          <w:rFonts w:ascii="Roboto Mono" w:eastAsia="Roboto Mono" w:hAnsi="Roboto Mono" w:cs="Roboto Mono"/>
        </w:rPr>
        <w:t>.</w:t>
      </w:r>
    </w:p>
    <w:p w14:paraId="0F49EC27" w14:textId="77777777" w:rsidR="009D0AEB" w:rsidRDefault="009D0AEB">
      <w:r>
        <w:pict w14:anchorId="1A76093D">
          <v:rect id="_x0000_i1030" style="width:0;height:1.5pt" o:hralign="center" o:hrstd="t" o:hr="t" fillcolor="#a0a0a0" stroked="f"/>
        </w:pict>
      </w:r>
    </w:p>
    <w:p w14:paraId="21F54DDD" w14:textId="77777777" w:rsidR="009D0AEB" w:rsidRDefault="009D0AEB"/>
    <w:p w14:paraId="7E6E6D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D7C0B"/>
    <w:multiLevelType w:val="multilevel"/>
    <w:tmpl w:val="E67CD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372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EB"/>
    <w:rsid w:val="002D1F4F"/>
    <w:rsid w:val="00711B4D"/>
    <w:rsid w:val="008952B3"/>
    <w:rsid w:val="009D0AEB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5A61"/>
  <w15:chartTrackingRefBased/>
  <w15:docId w15:val="{7ABCDF81-7C5F-49E1-9B9F-84344856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