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05EE" w14:textId="77777777" w:rsidR="0093486E" w:rsidRDefault="0093486E">
      <w:pPr>
        <w:pStyle w:val="Heading1"/>
      </w:pPr>
      <w:bookmarkStart w:id="0" w:name="_25b76dp9pdc" w:colFirst="0" w:colLast="0"/>
      <w:bookmarkEnd w:id="0"/>
      <w:r>
        <w:t>Near Synonyms</w:t>
      </w:r>
    </w:p>
    <w:p w14:paraId="58B24989" w14:textId="77777777" w:rsidR="0093486E" w:rsidRDefault="0093486E">
      <w:pPr>
        <w:pStyle w:val="Heading2"/>
      </w:pPr>
      <w:bookmarkStart w:id="1" w:name="_t4uu0slxtbd5" w:colFirst="0" w:colLast="0"/>
      <w:bookmarkEnd w:id="1"/>
      <w:r>
        <w:t>🔹 What is Near Synonyms</w:t>
      </w:r>
    </w:p>
    <w:p w14:paraId="4ABBF0F3" w14:textId="77777777" w:rsidR="0093486E" w:rsidRDefault="009348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76E80" w14:textId="77777777" w:rsidR="0093486E" w:rsidRDefault="009348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Near synonyms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quasi-synonyms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approximate synonyms</w:t>
      </w:r>
      <w:r>
        <w:rPr>
          <w:rFonts w:ascii="Roboto Mono" w:eastAsia="Roboto Mono" w:hAnsi="Roboto Mono" w:cs="Roboto Mono"/>
        </w:rPr>
        <w:t xml:space="preserve">) are words that have </w:t>
      </w:r>
      <w:r>
        <w:rPr>
          <w:rFonts w:ascii="Roboto Mono" w:eastAsia="Roboto Mono" w:hAnsi="Roboto Mono" w:cs="Roboto Mono"/>
          <w:b/>
        </w:rPr>
        <w:t>similar but not identical meanings</w:t>
      </w:r>
      <w:r>
        <w:rPr>
          <w:rFonts w:ascii="Roboto Mono" w:eastAsia="Roboto Mono" w:hAnsi="Roboto Mono" w:cs="Roboto Mono"/>
        </w:rPr>
        <w:t xml:space="preserve"> and may differ in </w:t>
      </w: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formality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intensity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>.</w:t>
      </w:r>
    </w:p>
    <w:p w14:paraId="48F6DE45" w14:textId="77777777" w:rsidR="0093486E" w:rsidRDefault="0093486E">
      <w:r>
        <w:pict w14:anchorId="630E7810">
          <v:rect id="_x0000_i1025" style="width:0;height:1.5pt" o:hralign="center" o:hrstd="t" o:hr="t" fillcolor="#a0a0a0" stroked="f"/>
        </w:pict>
      </w:r>
    </w:p>
    <w:p w14:paraId="41B9D8A1" w14:textId="77777777" w:rsidR="0093486E" w:rsidRDefault="0093486E">
      <w:pPr>
        <w:pStyle w:val="Heading2"/>
        <w:keepNext w:val="0"/>
        <w:keepLines w:val="0"/>
        <w:spacing w:before="280"/>
      </w:pPr>
      <w:bookmarkStart w:id="2" w:name="_ui63vlfgwufs" w:colFirst="0" w:colLast="0"/>
      <w:bookmarkEnd w:id="2"/>
      <w:r>
        <w:t>🧠 Definition:</w:t>
      </w:r>
    </w:p>
    <w:p w14:paraId="11B870FB" w14:textId="77777777" w:rsidR="0093486E" w:rsidRDefault="009348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D31483" w14:textId="77777777" w:rsidR="0093486E" w:rsidRDefault="009348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Near synonyms</w:t>
      </w:r>
      <w:r>
        <w:rPr>
          <w:rFonts w:ascii="Roboto Mono" w:eastAsia="Roboto Mono" w:hAnsi="Roboto Mono" w:cs="Roboto Mono"/>
        </w:rPr>
        <w:t xml:space="preserve"> are words with meanings that are </w:t>
      </w:r>
      <w:r>
        <w:rPr>
          <w:rFonts w:ascii="Roboto Mono" w:eastAsia="Roboto Mono" w:hAnsi="Roboto Mono" w:cs="Roboto Mono"/>
          <w:b/>
        </w:rPr>
        <w:t>close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not exactly the same</w:t>
      </w:r>
      <w:r>
        <w:rPr>
          <w:rFonts w:ascii="Roboto Mono" w:eastAsia="Roboto Mono" w:hAnsi="Roboto Mono" w:cs="Roboto Mono"/>
        </w:rPr>
        <w:t xml:space="preserve">. They </w:t>
      </w:r>
      <w:r>
        <w:rPr>
          <w:rFonts w:ascii="Roboto Mono" w:eastAsia="Roboto Mono" w:hAnsi="Roboto Mono" w:cs="Roboto Mono"/>
          <w:b/>
        </w:rPr>
        <w:t>cannot be used interchangeably in all situations</w:t>
      </w:r>
      <w:r>
        <w:rPr>
          <w:rFonts w:ascii="Roboto Mono" w:eastAsia="Roboto Mono" w:hAnsi="Roboto Mono" w:cs="Roboto Mono"/>
        </w:rPr>
        <w:t>.</w:t>
      </w:r>
    </w:p>
    <w:p w14:paraId="1BC6E2CC" w14:textId="77777777" w:rsidR="0093486E" w:rsidRDefault="009348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usually belong to the same </w:t>
      </w:r>
      <w:r>
        <w:rPr>
          <w:rFonts w:ascii="Roboto Mono" w:eastAsia="Roboto Mono" w:hAnsi="Roboto Mono" w:cs="Roboto Mono"/>
          <w:b/>
        </w:rPr>
        <w:t>semantic field</w:t>
      </w:r>
      <w:r>
        <w:rPr>
          <w:rFonts w:ascii="Roboto Mono" w:eastAsia="Roboto Mono" w:hAnsi="Roboto Mono" w:cs="Roboto Mono"/>
        </w:rPr>
        <w:t xml:space="preserve"> but carry </w:t>
      </w:r>
      <w:r>
        <w:rPr>
          <w:rFonts w:ascii="Roboto Mono" w:eastAsia="Roboto Mono" w:hAnsi="Roboto Mono" w:cs="Roboto Mono"/>
          <w:b/>
        </w:rPr>
        <w:t>subtle differences</w:t>
      </w:r>
      <w:r>
        <w:rPr>
          <w:rFonts w:ascii="Roboto Mono" w:eastAsia="Roboto Mono" w:hAnsi="Roboto Mono" w:cs="Roboto Mono"/>
        </w:rPr>
        <w:t xml:space="preserve"> in:</w:t>
      </w:r>
    </w:p>
    <w:p w14:paraId="37F773AB" w14:textId="77777777" w:rsidR="0093486E" w:rsidRDefault="0093486E" w:rsidP="0093486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Emotion or tone</w:t>
      </w:r>
      <w:r>
        <w:rPr>
          <w:rFonts w:ascii="Roboto Mono" w:eastAsia="Roboto Mono" w:hAnsi="Roboto Mono" w:cs="Roboto Mono"/>
        </w:rPr>
        <w:br/>
      </w:r>
    </w:p>
    <w:p w14:paraId="2B1D2C82" w14:textId="77777777" w:rsidR="0093486E" w:rsidRDefault="0093486E" w:rsidP="0093486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Register (formal/informal)</w:t>
      </w:r>
      <w:r>
        <w:rPr>
          <w:rFonts w:ascii="Roboto Mono" w:eastAsia="Roboto Mono" w:hAnsi="Roboto Mono" w:cs="Roboto Mono"/>
        </w:rPr>
        <w:br/>
      </w:r>
    </w:p>
    <w:p w14:paraId="19413259" w14:textId="77777777" w:rsidR="0093486E" w:rsidRDefault="0093486E" w:rsidP="0093486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Typical usage (collocation)</w:t>
      </w:r>
      <w:r>
        <w:rPr>
          <w:rFonts w:ascii="Roboto Mono" w:eastAsia="Roboto Mono" w:hAnsi="Roboto Mono" w:cs="Roboto Mono"/>
        </w:rPr>
        <w:br/>
      </w:r>
    </w:p>
    <w:p w14:paraId="75353FDE" w14:textId="77777777" w:rsidR="0093486E" w:rsidRDefault="0093486E" w:rsidP="0093486E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Strength or intensity</w:t>
      </w:r>
      <w:r>
        <w:rPr>
          <w:rFonts w:ascii="Roboto Mono" w:eastAsia="Roboto Mono" w:hAnsi="Roboto Mono" w:cs="Roboto Mono"/>
        </w:rPr>
        <w:br/>
      </w:r>
    </w:p>
    <w:p w14:paraId="16E0290D" w14:textId="77777777" w:rsidR="0093486E" w:rsidRDefault="0093486E">
      <w:r>
        <w:pict w14:anchorId="3D20EBBC">
          <v:rect id="_x0000_i1026" style="width:0;height:1.5pt" o:hralign="center" o:hrstd="t" o:hr="t" fillcolor="#a0a0a0" stroked="f"/>
        </w:pict>
      </w:r>
    </w:p>
    <w:p w14:paraId="3093A5E0" w14:textId="77777777" w:rsidR="0093486E" w:rsidRDefault="0093486E">
      <w:pPr>
        <w:pStyle w:val="Heading2"/>
        <w:keepNext w:val="0"/>
        <w:keepLines w:val="0"/>
        <w:spacing w:before="280"/>
      </w:pPr>
      <w:bookmarkStart w:id="3" w:name="_af51e5xs3k9f" w:colFirst="0" w:colLast="0"/>
      <w:bookmarkEnd w:id="3"/>
      <w:r>
        <w:t>📌 Key Features:</w:t>
      </w:r>
    </w:p>
    <w:p w14:paraId="2B4F4729" w14:textId="77777777" w:rsidR="0093486E" w:rsidRDefault="009348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69BFFF" w14:textId="77777777" w:rsidR="0093486E" w:rsidRDefault="0093486E">
      <w:r>
        <w:rPr>
          <w:noProof/>
        </w:rPr>
        <w:drawing>
          <wp:inline distT="114300" distB="114300" distL="114300" distR="114300" wp14:anchorId="71C67C60" wp14:editId="669E6F3A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270"/>
      </w:tblGrid>
      <w:tr w:rsidR="0093486E" w14:paraId="6E0C51E9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53C8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F7B3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93486E" w14:paraId="6B35C765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F473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Similar Core Meaning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CE4B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 a central idea or concept</w:t>
            </w:r>
          </w:p>
        </w:tc>
      </w:tr>
      <w:tr w:rsidR="0093486E" w14:paraId="05A756EA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57B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Subtle Differences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E23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Vary in degree, tone, usage, or grammatical function</w:t>
            </w:r>
          </w:p>
        </w:tc>
      </w:tr>
      <w:tr w:rsidR="0093486E" w14:paraId="368F2D01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F71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Universally Substitutable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D3461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Work in </w:t>
            </w:r>
            <w:r>
              <w:rPr>
                <w:rFonts w:ascii="Roboto Mono" w:eastAsia="Roboto Mono" w:hAnsi="Roboto Mono" w:cs="Roboto Mono"/>
                <w:b/>
              </w:rPr>
              <w:t>some</w:t>
            </w:r>
            <w:r>
              <w:rPr>
                <w:rFonts w:ascii="Roboto Mono" w:eastAsia="Roboto Mono" w:hAnsi="Roboto Mono" w:cs="Roboto Mono"/>
              </w:rPr>
              <w:t xml:space="preserve">, but not </w:t>
            </w:r>
            <w:r>
              <w:rPr>
                <w:rFonts w:ascii="Roboto Mono" w:eastAsia="Roboto Mono" w:hAnsi="Roboto Mono" w:cs="Roboto Mono"/>
                <w:b/>
              </w:rPr>
              <w:t>all</w:t>
            </w:r>
            <w:r>
              <w:rPr>
                <w:rFonts w:ascii="Roboto Mono" w:eastAsia="Roboto Mono" w:hAnsi="Roboto Mono" w:cs="Roboto Mono"/>
              </w:rPr>
              <w:t>, contexts</w:t>
            </w:r>
          </w:p>
        </w:tc>
      </w:tr>
      <w:tr w:rsidR="0093486E" w14:paraId="6040386D" w14:textId="77777777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E48F2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 Language Use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12DA0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Much more frequent than absolute synonyms</w:t>
            </w:r>
          </w:p>
        </w:tc>
      </w:tr>
    </w:tbl>
    <w:p w14:paraId="1AC19D9E" w14:textId="77777777" w:rsidR="0093486E" w:rsidRDefault="0093486E">
      <w:r>
        <w:pict w14:anchorId="330050AE">
          <v:rect id="_x0000_i1027" style="width:0;height:1.5pt" o:hralign="center" o:hrstd="t" o:hr="t" fillcolor="#a0a0a0" stroked="f"/>
        </w:pict>
      </w:r>
    </w:p>
    <w:p w14:paraId="10C87F15" w14:textId="77777777" w:rsidR="0093486E" w:rsidRDefault="0093486E">
      <w:pPr>
        <w:pStyle w:val="Heading2"/>
        <w:keepNext w:val="0"/>
        <w:keepLines w:val="0"/>
        <w:spacing w:before="280"/>
      </w:pPr>
      <w:bookmarkStart w:id="4" w:name="_zoy65ra3mp" w:colFirst="0" w:colLast="0"/>
      <w:bookmarkEnd w:id="4"/>
      <w:r>
        <w:t>📚 Examples of Near Synonyms:</w:t>
      </w:r>
    </w:p>
    <w:p w14:paraId="76C00372" w14:textId="77777777" w:rsidR="0093486E" w:rsidRDefault="009348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11CCF" w14:textId="77777777" w:rsidR="0093486E" w:rsidRDefault="0093486E">
      <w:r>
        <w:rPr>
          <w:noProof/>
        </w:rPr>
        <w:drawing>
          <wp:inline distT="114300" distB="114300" distL="114300" distR="114300" wp14:anchorId="671DE3C0" wp14:editId="00B73B3C">
            <wp:extent cx="5943600" cy="2476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415"/>
        <w:gridCol w:w="6620"/>
      </w:tblGrid>
      <w:tr w:rsidR="0093486E" w14:paraId="36BBCAE8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F65C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F3FF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6FE6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 / Example</w:t>
            </w:r>
          </w:p>
        </w:tc>
      </w:tr>
      <w:tr w:rsidR="0093486E" w14:paraId="5806E405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05F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Slim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ACD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Skinny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4CBAF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“Slim” is positive; “skinny” can be negative or informal.</w:t>
            </w:r>
          </w:p>
        </w:tc>
      </w:tr>
      <w:tr w:rsidR="0093486E" w14:paraId="447470F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67FCA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Child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386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Kid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C752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“Child” is neutral/formal; “kid” is casual/informal.</w:t>
            </w:r>
          </w:p>
        </w:tc>
      </w:tr>
      <w:tr w:rsidR="0093486E" w14:paraId="65FF7B9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042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Job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18E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Occupation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E30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“Occupation” is more formal or technical.</w:t>
            </w:r>
          </w:p>
        </w:tc>
      </w:tr>
      <w:tr w:rsidR="0093486E" w14:paraId="20D5036A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B628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Mistake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EAC2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Error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6E03B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“Error” is more formal or technical; “mistake” is general/casual.</w:t>
            </w:r>
          </w:p>
        </w:tc>
      </w:tr>
      <w:tr w:rsidR="0093486E" w14:paraId="39BEEFA8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B40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Speak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450F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Talk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4C75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Often interchangeable, but “talk” is more informal.</w:t>
            </w:r>
          </w:p>
        </w:tc>
      </w:tr>
      <w:tr w:rsidR="0093486E" w14:paraId="4175581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E0FC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Angry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256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Upset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8BA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“Angry” is stronger; “upset” is broader and milder.</w:t>
            </w:r>
          </w:p>
        </w:tc>
      </w:tr>
    </w:tbl>
    <w:p w14:paraId="4DC13CB3" w14:textId="77777777" w:rsidR="0093486E" w:rsidRDefault="0093486E">
      <w:r>
        <w:pict w14:anchorId="2E2404B2">
          <v:rect id="_x0000_i1028" style="width:0;height:1.5pt" o:hralign="center" o:hrstd="t" o:hr="t" fillcolor="#a0a0a0" stroked="f"/>
        </w:pict>
      </w:r>
    </w:p>
    <w:p w14:paraId="094290C6" w14:textId="77777777" w:rsidR="0093486E" w:rsidRDefault="0093486E">
      <w:pPr>
        <w:pStyle w:val="Heading2"/>
        <w:keepNext w:val="0"/>
        <w:keepLines w:val="0"/>
        <w:spacing w:before="280"/>
      </w:pPr>
      <w:bookmarkStart w:id="5" w:name="_vcfxj21qz60" w:colFirst="0" w:colLast="0"/>
      <w:bookmarkEnd w:id="5"/>
      <w:r>
        <w:t>🔁 Near Synonyms vs Absolute Synonyms:</w:t>
      </w:r>
    </w:p>
    <w:p w14:paraId="59B8A510" w14:textId="77777777" w:rsidR="0093486E" w:rsidRDefault="009348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A14C4D" w14:textId="77777777" w:rsidR="0093486E" w:rsidRDefault="0093486E">
      <w:r>
        <w:rPr>
          <w:noProof/>
        </w:rPr>
        <w:drawing>
          <wp:inline distT="114300" distB="114300" distL="114300" distR="114300" wp14:anchorId="1068114A" wp14:editId="036C08F9">
            <wp:extent cx="5943600" cy="1562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1"/>
        <w:gridCol w:w="4408"/>
        <w:gridCol w:w="2990"/>
      </w:tblGrid>
      <w:tr w:rsidR="0093486E" w14:paraId="27B6A733" w14:textId="77777777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F89F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6ACA7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 Synonyms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A41AE" w14:textId="77777777" w:rsidR="0093486E" w:rsidRDefault="009348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Absolute Synonyms</w:t>
            </w:r>
          </w:p>
        </w:tc>
      </w:tr>
      <w:tr w:rsidR="0093486E" w14:paraId="106D80DB" w14:textId="77777777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141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718D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but not identical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F4BC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Identical in all contexts</w:t>
            </w:r>
          </w:p>
        </w:tc>
      </w:tr>
      <w:tr w:rsidR="0093486E" w14:paraId="0300BE09" w14:textId="77777777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F9A5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Interchangeability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0F99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to some situations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4690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 interchangeable</w:t>
            </w:r>
          </w:p>
        </w:tc>
      </w:tr>
      <w:tr w:rsidR="0093486E" w14:paraId="47DC0180" w14:textId="77777777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709D4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Register / Style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EA74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differ (formal vs informal, strong vs soft)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25DB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style and register</w:t>
            </w:r>
          </w:p>
        </w:tc>
      </w:tr>
      <w:tr w:rsidR="0093486E" w14:paraId="5EA68280" w14:textId="77777777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25527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9A836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slim / skinny, begin / commence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00CD" w14:textId="77777777" w:rsidR="0093486E" w:rsidRDefault="009348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start / begin (in most contexts)</w:t>
            </w:r>
          </w:p>
        </w:tc>
      </w:tr>
    </w:tbl>
    <w:p w14:paraId="34E95406" w14:textId="77777777" w:rsidR="0093486E" w:rsidRDefault="0093486E">
      <w:r>
        <w:pict w14:anchorId="36D4E034">
          <v:rect id="_x0000_i1029" style="width:0;height:1.5pt" o:hralign="center" o:hrstd="t" o:hr="t" fillcolor="#a0a0a0" stroked="f"/>
        </w:pict>
      </w:r>
    </w:p>
    <w:p w14:paraId="764936C1" w14:textId="77777777" w:rsidR="0093486E" w:rsidRDefault="0093486E"/>
    <w:p w14:paraId="590917E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11805"/>
    <w:multiLevelType w:val="multilevel"/>
    <w:tmpl w:val="45E6D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503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86E"/>
    <w:rsid w:val="002D1F4F"/>
    <w:rsid w:val="00711B4D"/>
    <w:rsid w:val="008952B3"/>
    <w:rsid w:val="0093486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B14C5"/>
  <w15:chartTrackingRefBased/>
  <w15:docId w15:val="{8C3CC541-1F23-44CB-B455-99452EE6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