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9CC0" w14:textId="77777777" w:rsidR="00AA37D1" w:rsidRDefault="00AA37D1">
      <w:pPr>
        <w:pStyle w:val="Heading1"/>
      </w:pPr>
      <w:bookmarkStart w:id="0" w:name="_qic68pb0pzn4" w:colFirst="0" w:colLast="0"/>
      <w:bookmarkEnd w:id="0"/>
      <w:r>
        <w:t>Stylistic Synonyms</w:t>
      </w:r>
    </w:p>
    <w:p w14:paraId="0AAA7388" w14:textId="77777777" w:rsidR="00AA37D1" w:rsidRDefault="00AA37D1">
      <w:pPr>
        <w:pStyle w:val="Heading2"/>
      </w:pPr>
      <w:bookmarkStart w:id="1" w:name="_m0e1p7yvq78f" w:colFirst="0" w:colLast="0"/>
      <w:bookmarkEnd w:id="1"/>
      <w:r>
        <w:t>🔹 What is Stylistic Synonyms</w:t>
      </w:r>
    </w:p>
    <w:p w14:paraId="481ECC99" w14:textId="77777777" w:rsidR="00AA37D1" w:rsidRDefault="00AA37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9BD927" w14:textId="77777777" w:rsidR="00AA37D1" w:rsidRDefault="00AA37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Stylistic synonyms</w:t>
      </w:r>
      <w:r>
        <w:rPr>
          <w:rFonts w:ascii="Roboto Mono" w:eastAsia="Roboto Mono" w:hAnsi="Roboto Mono" w:cs="Roboto Mono"/>
        </w:rPr>
        <w:t xml:space="preserve"> are words that have </w:t>
      </w:r>
      <w:r>
        <w:rPr>
          <w:rFonts w:ascii="Roboto Mono" w:eastAsia="Roboto Mono" w:hAnsi="Roboto Mono" w:cs="Roboto Mono"/>
          <w:b/>
        </w:rPr>
        <w:t>similar or identical meanings</w:t>
      </w:r>
      <w:r>
        <w:rPr>
          <w:rFonts w:ascii="Roboto Mono" w:eastAsia="Roboto Mono" w:hAnsi="Roboto Mono" w:cs="Roboto Mono"/>
        </w:rPr>
        <w:t xml:space="preserve"> but differ in </w:t>
      </w:r>
      <w:r>
        <w:rPr>
          <w:rFonts w:ascii="Roboto Mono" w:eastAsia="Roboto Mono" w:hAnsi="Roboto Mono" w:cs="Roboto Mono"/>
          <w:b/>
        </w:rPr>
        <w:t>tone, formality, social usage, or literary style</w:t>
      </w:r>
      <w:r>
        <w:rPr>
          <w:rFonts w:ascii="Roboto Mono" w:eastAsia="Roboto Mono" w:hAnsi="Roboto Mono" w:cs="Roboto Mono"/>
        </w:rPr>
        <w:t xml:space="preserve">. They are used to match the </w:t>
      </w:r>
      <w:r>
        <w:rPr>
          <w:rFonts w:ascii="Roboto Mono" w:eastAsia="Roboto Mono" w:hAnsi="Roboto Mono" w:cs="Roboto Mono"/>
          <w:b/>
        </w:rPr>
        <w:t>stylistic context</w:t>
      </w:r>
      <w:r>
        <w:rPr>
          <w:rFonts w:ascii="Roboto Mono" w:eastAsia="Roboto Mono" w:hAnsi="Roboto Mono" w:cs="Roboto Mono"/>
        </w:rPr>
        <w:t xml:space="preserve"> (e.g. formal vs informal, poetic vs technical) rather than just the literal meaning.</w:t>
      </w:r>
    </w:p>
    <w:p w14:paraId="55E6A99F" w14:textId="77777777" w:rsidR="00AA37D1" w:rsidRDefault="00AA37D1">
      <w:r>
        <w:pict w14:anchorId="77E60111">
          <v:rect id="_x0000_i1025" style="width:0;height:1.5pt" o:hralign="center" o:hrstd="t" o:hr="t" fillcolor="#a0a0a0" stroked="f"/>
        </w:pict>
      </w:r>
    </w:p>
    <w:p w14:paraId="0D062DA7" w14:textId="77777777" w:rsidR="00AA37D1" w:rsidRDefault="00AA37D1">
      <w:pPr>
        <w:pStyle w:val="Heading2"/>
        <w:keepNext w:val="0"/>
        <w:keepLines w:val="0"/>
        <w:spacing w:before="280"/>
      </w:pPr>
      <w:bookmarkStart w:id="2" w:name="_rm0hlgqor1go" w:colFirst="0" w:colLast="0"/>
      <w:bookmarkEnd w:id="2"/>
      <w:r>
        <w:t>🧠 Definition:</w:t>
      </w:r>
    </w:p>
    <w:p w14:paraId="411220EE" w14:textId="77777777" w:rsidR="00AA37D1" w:rsidRDefault="00AA37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862C51" w14:textId="77777777" w:rsidR="00AA37D1" w:rsidRDefault="00AA37D1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Stylistic synonyms</w:t>
      </w:r>
      <w:r>
        <w:rPr>
          <w:rFonts w:ascii="Roboto Mono" w:eastAsia="Roboto Mono" w:hAnsi="Roboto Mono" w:cs="Roboto Mono"/>
        </w:rPr>
        <w:t xml:space="preserve"> are words that share a core meaning but differ in how, where, or by whom they are used, based on </w:t>
      </w:r>
      <w:r>
        <w:rPr>
          <w:rFonts w:ascii="Roboto Mono" w:eastAsia="Roboto Mono" w:hAnsi="Roboto Mono" w:cs="Roboto Mono"/>
          <w:b/>
        </w:rPr>
        <w:t>register, tone, or stylistic effect</w:t>
      </w:r>
      <w:r>
        <w:rPr>
          <w:rFonts w:ascii="Roboto Mono" w:eastAsia="Roboto Mono" w:hAnsi="Roboto Mono" w:cs="Roboto Mono"/>
        </w:rPr>
        <w:t>.</w:t>
      </w:r>
    </w:p>
    <w:p w14:paraId="095F01CF" w14:textId="77777777" w:rsidR="00AA37D1" w:rsidRDefault="00AA37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especially important in </w:t>
      </w:r>
      <w:r>
        <w:rPr>
          <w:rFonts w:ascii="Roboto Mono" w:eastAsia="Roboto Mono" w:hAnsi="Roboto Mono" w:cs="Roboto Mono"/>
          <w:b/>
        </w:rPr>
        <w:t>writing, rhetoric, and translation</w:t>
      </w:r>
      <w:r>
        <w:rPr>
          <w:rFonts w:ascii="Roboto Mono" w:eastAsia="Roboto Mono" w:hAnsi="Roboto Mono" w:cs="Roboto Mono"/>
        </w:rPr>
        <w:t xml:space="preserve">, where </w:t>
      </w:r>
      <w:r>
        <w:rPr>
          <w:rFonts w:ascii="Roboto Mono" w:eastAsia="Roboto Mono" w:hAnsi="Roboto Mono" w:cs="Roboto Mono"/>
          <w:b/>
        </w:rPr>
        <w:t>tone and audience</w:t>
      </w:r>
      <w:r>
        <w:rPr>
          <w:rFonts w:ascii="Roboto Mono" w:eastAsia="Roboto Mono" w:hAnsi="Roboto Mono" w:cs="Roboto Mono"/>
        </w:rPr>
        <w:t xml:space="preserve"> matter.</w:t>
      </w:r>
    </w:p>
    <w:p w14:paraId="1CD528B6" w14:textId="77777777" w:rsidR="00AA37D1" w:rsidRDefault="00AA37D1">
      <w:r>
        <w:pict w14:anchorId="4DC3F01F">
          <v:rect id="_x0000_i1026" style="width:0;height:1.5pt" o:hralign="center" o:hrstd="t" o:hr="t" fillcolor="#a0a0a0" stroked="f"/>
        </w:pict>
      </w:r>
    </w:p>
    <w:p w14:paraId="38877EAC" w14:textId="77777777" w:rsidR="00AA37D1" w:rsidRDefault="00AA37D1">
      <w:pPr>
        <w:pStyle w:val="Heading2"/>
        <w:keepNext w:val="0"/>
        <w:keepLines w:val="0"/>
        <w:spacing w:before="280"/>
      </w:pPr>
      <w:bookmarkStart w:id="3" w:name="_js6q7zone0q2" w:colFirst="0" w:colLast="0"/>
      <w:bookmarkEnd w:id="3"/>
      <w:r>
        <w:t>📌 Key Features:</w:t>
      </w:r>
    </w:p>
    <w:p w14:paraId="41135AEF" w14:textId="77777777" w:rsidR="00AA37D1" w:rsidRDefault="00AA37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94637C" w14:textId="77777777" w:rsidR="00AA37D1" w:rsidRDefault="00AA37D1">
      <w:r>
        <w:rPr>
          <w:noProof/>
        </w:rPr>
        <w:drawing>
          <wp:inline distT="114300" distB="114300" distL="114300" distR="114300" wp14:anchorId="432389A0" wp14:editId="456399A3">
            <wp:extent cx="5943600" cy="1587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5855"/>
      </w:tblGrid>
      <w:tr w:rsidR="00AA37D1" w14:paraId="5BB65D5F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94BA9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7468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A37D1" w14:paraId="104C82FB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8EA10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Same Meaning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85EE1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concept is the same</w:t>
            </w:r>
          </w:p>
        </w:tc>
      </w:tr>
      <w:tr w:rsidR="00AA37D1" w14:paraId="4E42FB72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953A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Different Register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ABD6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Vary in formality or social setting</w:t>
            </w:r>
          </w:p>
        </w:tc>
      </w:tr>
      <w:tr w:rsidR="00AA37D1" w14:paraId="58588FA0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21EC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 and Style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4EF4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for effect—formal, informal, poetic, archaic, etc.</w:t>
            </w:r>
          </w:p>
        </w:tc>
      </w:tr>
      <w:tr w:rsidR="00AA37D1" w14:paraId="694DD1CC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D4AD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Always Interchangeable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CBBC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Swapping may change the </w:t>
            </w:r>
            <w:r>
              <w:rPr>
                <w:rFonts w:ascii="Roboto Mono" w:eastAsia="Roboto Mono" w:hAnsi="Roboto Mono" w:cs="Roboto Mono"/>
                <w:b/>
              </w:rPr>
              <w:t>tone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social appropriateness</w:t>
            </w:r>
          </w:p>
        </w:tc>
      </w:tr>
    </w:tbl>
    <w:p w14:paraId="69766B87" w14:textId="77777777" w:rsidR="00AA37D1" w:rsidRDefault="00AA37D1">
      <w:r>
        <w:pict w14:anchorId="70DFB458">
          <v:rect id="_x0000_i1027" style="width:0;height:1.5pt" o:hralign="center" o:hrstd="t" o:hr="t" fillcolor="#a0a0a0" stroked="f"/>
        </w:pict>
      </w:r>
    </w:p>
    <w:p w14:paraId="7F0813DF" w14:textId="77777777" w:rsidR="00AA37D1" w:rsidRDefault="00AA37D1">
      <w:pPr>
        <w:pStyle w:val="Heading2"/>
        <w:keepNext w:val="0"/>
        <w:keepLines w:val="0"/>
        <w:spacing w:before="280"/>
      </w:pPr>
      <w:bookmarkStart w:id="4" w:name="_lkbrbmasj1dq" w:colFirst="0" w:colLast="0"/>
      <w:bookmarkEnd w:id="4"/>
      <w:r>
        <w:t>📚 Examples of Stylistic Synonyms:</w:t>
      </w:r>
    </w:p>
    <w:p w14:paraId="73EF5F8C" w14:textId="77777777" w:rsidR="00AA37D1" w:rsidRDefault="00AA37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3182B5" w14:textId="77777777" w:rsidR="00AA37D1" w:rsidRDefault="00AA37D1">
      <w:r>
        <w:rPr>
          <w:noProof/>
        </w:rPr>
        <w:drawing>
          <wp:inline distT="114300" distB="114300" distL="114300" distR="114300" wp14:anchorId="1909EC3E" wp14:editId="2CB8BAD3">
            <wp:extent cx="5943600" cy="2641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7"/>
        <w:gridCol w:w="1659"/>
        <w:gridCol w:w="2523"/>
        <w:gridCol w:w="3621"/>
      </w:tblGrid>
      <w:tr w:rsidR="00AA37D1" w14:paraId="5F067562" w14:textId="77777777">
        <w:trPr>
          <w:trHeight w:val="785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358B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Word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DC88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 Word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30860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522D8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AA37D1" w14:paraId="00648A42" w14:textId="77777777">
        <w:trPr>
          <w:trHeight w:val="785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2244B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Commence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161B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Start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E0E1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begin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CDC3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“Commence” is formal or ceremonial</w:t>
            </w:r>
          </w:p>
        </w:tc>
      </w:tr>
      <w:tr w:rsidR="00AA37D1" w14:paraId="048180E1" w14:textId="77777777">
        <w:trPr>
          <w:trHeight w:val="500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C657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Deceased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D292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Dead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0088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longer alive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44EA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“Deceased” is respectful/legal tone</w:t>
            </w:r>
          </w:p>
        </w:tc>
      </w:tr>
      <w:tr w:rsidR="00AA37D1" w14:paraId="18FF3F37" w14:textId="77777777">
        <w:trPr>
          <w:trHeight w:val="785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F03B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Residence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05FE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Home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8CCF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 where someone lives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A922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“Residence” is technical/official</w:t>
            </w:r>
          </w:p>
        </w:tc>
      </w:tr>
      <w:tr w:rsidR="00AA37D1" w14:paraId="3A42074F" w14:textId="77777777">
        <w:trPr>
          <w:trHeight w:val="785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EDDC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Utilize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9D256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6F6AC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make use of something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FEA0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“Utilize” is more academic or technical</w:t>
            </w:r>
          </w:p>
        </w:tc>
      </w:tr>
      <w:tr w:rsidR="00AA37D1" w14:paraId="490A4EF8" w14:textId="77777777">
        <w:trPr>
          <w:trHeight w:val="500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2A9C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Examine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4C08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Look at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B2EF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inspect or observe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6779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“Examine” is more precise/formal</w:t>
            </w:r>
          </w:p>
        </w:tc>
      </w:tr>
      <w:tr w:rsidR="00AA37D1" w14:paraId="5B1BD39D" w14:textId="77777777">
        <w:trPr>
          <w:trHeight w:val="500"/>
        </w:trPr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5AE9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Assist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55D1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8FD1C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give support</w:t>
            </w:r>
          </w:p>
        </w:tc>
        <w:tc>
          <w:tcPr>
            <w:tcW w:w="36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C7E8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“Assist” is more neutral or formal</w:t>
            </w:r>
          </w:p>
        </w:tc>
      </w:tr>
    </w:tbl>
    <w:p w14:paraId="5592210D" w14:textId="77777777" w:rsidR="00AA37D1" w:rsidRDefault="00AA37D1">
      <w:r>
        <w:pict w14:anchorId="51168110">
          <v:rect id="_x0000_i1028" style="width:0;height:1.5pt" o:hralign="center" o:hrstd="t" o:hr="t" fillcolor="#a0a0a0" stroked="f"/>
        </w:pict>
      </w:r>
    </w:p>
    <w:p w14:paraId="620AC297" w14:textId="77777777" w:rsidR="00AA37D1" w:rsidRDefault="00AA37D1">
      <w:pPr>
        <w:pStyle w:val="Heading2"/>
        <w:keepNext w:val="0"/>
        <w:keepLines w:val="0"/>
        <w:spacing w:before="280"/>
      </w:pPr>
      <w:bookmarkStart w:id="5" w:name="_xvo12tjcrb6" w:colFirst="0" w:colLast="0"/>
      <w:bookmarkEnd w:id="5"/>
      <w:r>
        <w:t>🧾 Other Types of Stylistic Variation:</w:t>
      </w:r>
    </w:p>
    <w:p w14:paraId="51D81703" w14:textId="77777777" w:rsidR="00AA37D1" w:rsidRDefault="00AA37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F7A71A" w14:textId="77777777" w:rsidR="00AA37D1" w:rsidRDefault="00AA37D1">
      <w:r>
        <w:rPr>
          <w:noProof/>
        </w:rPr>
        <w:drawing>
          <wp:inline distT="114300" distB="114300" distL="114300" distR="114300" wp14:anchorId="45E40240" wp14:editId="573723AC">
            <wp:extent cx="5943600" cy="1866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2540"/>
        <w:gridCol w:w="4010"/>
      </w:tblGrid>
      <w:tr w:rsidR="00AA37D1" w14:paraId="43EBE8F2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2888E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Stylistic Type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D8FF2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0104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</w:tr>
      <w:tr w:rsidR="00AA37D1" w14:paraId="303C5154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545F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vs Informal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8CCA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terminate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Roboto Mono" w:eastAsia="Roboto Mono" w:hAnsi="Roboto Mono" w:cs="Roboto Mono"/>
                <w:i/>
              </w:rPr>
              <w:t>end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6F7C6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Job interview vs casual chat</w:t>
            </w:r>
          </w:p>
        </w:tc>
      </w:tr>
      <w:tr w:rsidR="00AA37D1" w14:paraId="6B8E5F13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8DAA9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vs General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4264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respiration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Roboto Mono" w:eastAsia="Roboto Mono" w:hAnsi="Roboto Mono" w:cs="Roboto Mono"/>
                <w:i/>
              </w:rPr>
              <w:t>breathing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A442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Biology textbook vs general discussion</w:t>
            </w:r>
          </w:p>
        </w:tc>
      </w:tr>
      <w:tr w:rsidR="00AA37D1" w14:paraId="708B8387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59B5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Poetic vs Plain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4DB2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slumber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Roboto Mono" w:eastAsia="Roboto Mono" w:hAnsi="Roboto Mono" w:cs="Roboto Mono"/>
                <w:i/>
              </w:rPr>
              <w:t>sleep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7072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Literature vs everyday speech</w:t>
            </w:r>
          </w:p>
        </w:tc>
      </w:tr>
      <w:tr w:rsidR="00AA37D1" w14:paraId="3B8D3363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1C223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Archaic vs Modern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1885C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thee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Roboto Mono" w:eastAsia="Roboto Mono" w:hAnsi="Roboto Mono" w:cs="Roboto Mono"/>
                <w:i/>
              </w:rPr>
              <w:t>you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34D9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Shakespeare vs present day</w:t>
            </w:r>
          </w:p>
        </w:tc>
      </w:tr>
      <w:tr w:rsidR="00AA37D1" w14:paraId="17CF51D9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2C8A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Elevated vs Common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E803A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depart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Roboto Mono" w:eastAsia="Roboto Mono" w:hAnsi="Roboto Mono" w:cs="Roboto Mono"/>
                <w:i/>
              </w:rPr>
              <w:t>leave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FF98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Ceremonial vs normal usage</w:t>
            </w:r>
          </w:p>
        </w:tc>
      </w:tr>
    </w:tbl>
    <w:p w14:paraId="0783AD54" w14:textId="77777777" w:rsidR="00AA37D1" w:rsidRDefault="00AA37D1">
      <w:r>
        <w:pict w14:anchorId="67622EA2">
          <v:rect id="_x0000_i1029" style="width:0;height:1.5pt" o:hralign="center" o:hrstd="t" o:hr="t" fillcolor="#a0a0a0" stroked="f"/>
        </w:pict>
      </w:r>
    </w:p>
    <w:p w14:paraId="619D2B88" w14:textId="77777777" w:rsidR="00AA37D1" w:rsidRDefault="00AA37D1">
      <w:pPr>
        <w:pStyle w:val="Heading2"/>
        <w:keepNext w:val="0"/>
        <w:keepLines w:val="0"/>
        <w:spacing w:before="280"/>
      </w:pPr>
      <w:bookmarkStart w:id="6" w:name="_ktat4imsu7lz" w:colFirst="0" w:colLast="0"/>
      <w:bookmarkEnd w:id="6"/>
      <w:r>
        <w:t>🔁 Comparison with Other Synonym Types:</w:t>
      </w:r>
    </w:p>
    <w:p w14:paraId="659BED33" w14:textId="77777777" w:rsidR="00AA37D1" w:rsidRDefault="00AA37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E7B3D7" w14:textId="77777777" w:rsidR="00AA37D1" w:rsidRDefault="00AA37D1">
      <w:r>
        <w:rPr>
          <w:noProof/>
        </w:rPr>
        <w:drawing>
          <wp:inline distT="114300" distB="114300" distL="114300" distR="114300" wp14:anchorId="79604FD4" wp14:editId="7EE369C1">
            <wp:extent cx="5943600" cy="1562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2315"/>
        <w:gridCol w:w="4190"/>
      </w:tblGrid>
      <w:tr w:rsidR="00AA37D1" w14:paraId="45CD64A9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B11AD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Synonym Type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FA22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5AD7D" w14:textId="77777777" w:rsidR="00AA37D1" w:rsidRDefault="00AA37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Difference</w:t>
            </w:r>
          </w:p>
        </w:tc>
      </w:tr>
      <w:tr w:rsidR="00AA37D1" w14:paraId="5BFE4196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6F79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Cognitive Synonyms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06B1F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&amp; logic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48F8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 complete semantic equivalence</w:t>
            </w:r>
          </w:p>
        </w:tc>
      </w:tr>
      <w:tr w:rsidR="00AA37D1" w14:paraId="57767775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FC1F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Stylistic Synonyms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08EE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Style, register, tone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A59DE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meaning, different expression style</w:t>
            </w:r>
          </w:p>
        </w:tc>
      </w:tr>
      <w:tr w:rsidR="00AA37D1" w14:paraId="75F2390B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1AD3A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Partial Synonyms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6F39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Overlapping meaning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BFF0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Different scope, intensity, or collocation</w:t>
            </w:r>
          </w:p>
        </w:tc>
      </w:tr>
      <w:tr w:rsidR="00AA37D1" w14:paraId="34BE6107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598C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Synonyms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481F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 equivalence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9531" w14:textId="77777777" w:rsidR="00AA37D1" w:rsidRDefault="00AA37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and interchangeable in all contexts</w:t>
            </w:r>
          </w:p>
        </w:tc>
      </w:tr>
    </w:tbl>
    <w:p w14:paraId="069D1680" w14:textId="77777777" w:rsidR="00AA37D1" w:rsidRDefault="00AA37D1">
      <w:r>
        <w:pict w14:anchorId="3CA3E54D">
          <v:rect id="_x0000_i1030" style="width:0;height:1.5pt" o:hralign="center" o:hrstd="t" o:hr="t" fillcolor="#a0a0a0" stroked="f"/>
        </w:pict>
      </w:r>
    </w:p>
    <w:p w14:paraId="5374CE84" w14:textId="77777777" w:rsidR="00AA37D1" w:rsidRDefault="00AA37D1"/>
    <w:p w14:paraId="7B4985E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D1"/>
    <w:rsid w:val="002D1F4F"/>
    <w:rsid w:val="00711B4D"/>
    <w:rsid w:val="008952B3"/>
    <w:rsid w:val="00A70480"/>
    <w:rsid w:val="00AA37D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E081"/>
  <w15:chartTrackingRefBased/>
  <w15:docId w15:val="{EDDA4DDE-6760-43EF-9501-011D30CE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