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14EB7" w14:textId="77777777" w:rsidR="004D145A" w:rsidRDefault="004D145A">
      <w:pPr>
        <w:pStyle w:val="Heading1"/>
      </w:pPr>
      <w:bookmarkStart w:id="0" w:name="_2yjepnz0qd8b" w:colFirst="0" w:colLast="0"/>
      <w:bookmarkEnd w:id="0"/>
      <w:r>
        <w:t>Taxonomic Antonyms</w:t>
      </w:r>
    </w:p>
    <w:p w14:paraId="3AD583BE" w14:textId="77777777" w:rsidR="004D145A" w:rsidRDefault="004D145A">
      <w:pPr>
        <w:pStyle w:val="Heading2"/>
      </w:pPr>
      <w:bookmarkStart w:id="1" w:name="_nf8pfgnw95ks" w:colFirst="0" w:colLast="0"/>
      <w:bookmarkEnd w:id="1"/>
      <w:r>
        <w:t>What is Taxonomic Antonyms</w:t>
      </w:r>
    </w:p>
    <w:p w14:paraId="2C2BF1E2" w14:textId="77777777" w:rsidR="004D145A" w:rsidRDefault="004D145A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/>
          <w:sz w:val="18"/>
          <w:highlight w:val="lightGray"/>
        </w:rPr>
        <w:br/>
      </w:r>
      <w:r>
        <w:rPr>
          <w:rFonts w:ascii="Arial" w:hAnsi="Arial"/>
          <w:sz w:val="18"/>
          <w:highlight w:val="lightGray"/>
        </w:rPr>
        <w:t xml:space="preserve">Taxonomic antonyms are </w:t>
      </w:r>
      <w:r>
        <w:rPr>
          <w:rFonts w:ascii="Arial" w:hAnsi="Arial"/>
          <w:b/>
          <w:sz w:val="18"/>
          <w:highlight w:val="lightGray"/>
        </w:rPr>
        <w:t>words that belong to the same semantic category or class</w:t>
      </w:r>
      <w:r>
        <w:rPr>
          <w:rFonts w:ascii="Arial" w:hAnsi="Arial"/>
          <w:sz w:val="18"/>
          <w:highlight w:val="lightGray"/>
        </w:rPr>
        <w:t xml:space="preserve"> but represent </w:t>
      </w:r>
      <w:r>
        <w:rPr>
          <w:rFonts w:ascii="Arial" w:hAnsi="Arial"/>
          <w:b/>
          <w:sz w:val="18"/>
          <w:highlight w:val="lightGray"/>
        </w:rPr>
        <w:t>mutually exclusive types or subcategories</w:t>
      </w:r>
      <w:r>
        <w:rPr>
          <w:rFonts w:ascii="Arial" w:hAnsi="Arial"/>
          <w:sz w:val="18"/>
          <w:highlight w:val="lightGray"/>
        </w:rPr>
        <w:t xml:space="preserve"> within it. They are not direct opposites in meaning, but are considered "opposite" in </w:t>
      </w:r>
      <w:r>
        <w:rPr>
          <w:rFonts w:ascii="Arial" w:hAnsi="Arial"/>
          <w:b/>
          <w:sz w:val="18"/>
          <w:highlight w:val="lightGray"/>
        </w:rPr>
        <w:t>classification</w:t>
      </w:r>
      <w:r>
        <w:rPr>
          <w:rFonts w:ascii="Arial" w:hAnsi="Arial"/>
          <w:sz w:val="18"/>
          <w:highlight w:val="lightGray"/>
        </w:rPr>
        <w:t>.</w:t>
      </w:r>
    </w:p>
    <w:p w14:paraId="2CEB271F" w14:textId="77777777" w:rsidR="004D145A" w:rsidRDefault="004D145A">
      <w:r>
        <w:pict w14:anchorId="0581D798">
          <v:rect id="_x0000_i1025" style="width:0;height:1.5pt" o:hralign="center" o:hrstd="t" o:hr="t" fillcolor="#a0a0a0" stroked="f"/>
        </w:pict>
      </w:r>
    </w:p>
    <w:p w14:paraId="544896B2" w14:textId="77777777" w:rsidR="004D145A" w:rsidRDefault="004D145A">
      <w:pPr>
        <w:pStyle w:val="Heading2"/>
        <w:keepNext w:val="0"/>
        <w:keepLines w:val="0"/>
        <w:spacing w:before="280"/>
      </w:pPr>
      <w:bookmarkStart w:id="2" w:name="_92an76766js8" w:colFirst="0" w:colLast="0"/>
      <w:bookmarkEnd w:id="2"/>
      <w:r>
        <w:t>📊 Overview Table</w:t>
      </w:r>
    </w:p>
    <w:p w14:paraId="7FC9FA9C" w14:textId="77777777" w:rsidR="004D145A" w:rsidRDefault="004D145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2A02B9C" w14:textId="77777777" w:rsidR="004D145A" w:rsidRDefault="004D145A">
      <w:r>
        <w:rPr>
          <w:noProof/>
        </w:rPr>
        <w:drawing>
          <wp:inline distT="114300" distB="114300" distL="114300" distR="114300" wp14:anchorId="639FEA08" wp14:editId="08E2290C">
            <wp:extent cx="5943600" cy="19177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25"/>
        <w:gridCol w:w="6890"/>
      </w:tblGrid>
      <w:tr w:rsidR="004D145A" w14:paraId="164FC118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5B9BE" w14:textId="77777777" w:rsidR="004D145A" w:rsidRDefault="004D145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A37F19" w14:textId="77777777" w:rsidR="004D145A" w:rsidRDefault="004D145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</w:tr>
      <w:tr w:rsidR="004D145A" w14:paraId="67A1E533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AF757C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Definition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ADFA0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Opposites by classification within the same category or taxonomy</w:t>
            </w:r>
          </w:p>
        </w:tc>
      </w:tr>
      <w:tr w:rsidR="004D145A" w14:paraId="007FECF4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E2BAD5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Relationship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64709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Mutually exclusive types or members of a broader class</w:t>
            </w:r>
          </w:p>
        </w:tc>
      </w:tr>
      <w:tr w:rsidR="004D145A" w14:paraId="25035F2E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20776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Opposition Type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D503E6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Categorical rather than conceptual or directional</w:t>
            </w:r>
          </w:p>
        </w:tc>
      </w:tr>
      <w:tr w:rsidR="004D145A" w14:paraId="6A61A4A1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72C46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Context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1A349F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found in biological, literary, or academic classification systems</w:t>
            </w:r>
          </w:p>
        </w:tc>
      </w:tr>
      <w:tr w:rsidR="004D145A" w14:paraId="237AF71D" w14:textId="77777777">
        <w:trPr>
          <w:trHeight w:val="500"/>
        </w:trPr>
        <w:tc>
          <w:tcPr>
            <w:tcW w:w="19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5B1C5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Key Feature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1A103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Opposed not in meaning, but in </w:t>
            </w:r>
            <w:r>
              <w:rPr>
                <w:rFonts w:ascii="Roboto Mono" w:eastAsia="Roboto Mono" w:hAnsi="Roboto Mono" w:cs="Roboto Mono"/>
                <w:b/>
              </w:rPr>
              <w:t>type</w:t>
            </w:r>
            <w:r>
              <w:rPr>
                <w:rFonts w:ascii="Roboto Mono" w:eastAsia="Roboto Mono" w:hAnsi="Roboto Mono" w:cs="Roboto Mono"/>
              </w:rPr>
              <w:t xml:space="preserve"> within a shared category</w:t>
            </w:r>
          </w:p>
        </w:tc>
      </w:tr>
    </w:tbl>
    <w:p w14:paraId="3F66D34D" w14:textId="77777777" w:rsidR="004D145A" w:rsidRDefault="004D145A">
      <w:r>
        <w:pict w14:anchorId="61388668">
          <v:rect id="_x0000_i1026" style="width:0;height:1.5pt" o:hralign="center" o:hrstd="t" o:hr="t" fillcolor="#a0a0a0" stroked="f"/>
        </w:pict>
      </w:r>
    </w:p>
    <w:p w14:paraId="66C4FA8D" w14:textId="77777777" w:rsidR="004D145A" w:rsidRDefault="004D145A">
      <w:pPr>
        <w:pStyle w:val="Heading2"/>
        <w:keepNext w:val="0"/>
        <w:keepLines w:val="0"/>
        <w:spacing w:before="280"/>
      </w:pPr>
      <w:bookmarkStart w:id="3" w:name="_bfqvmf83kr3a" w:colFirst="0" w:colLast="0"/>
      <w:bookmarkEnd w:id="3"/>
      <w:r>
        <w:t>🧠 Examples of Taxonomic Antonyms</w:t>
      </w:r>
    </w:p>
    <w:p w14:paraId="2DCCDB4D" w14:textId="77777777" w:rsidR="004D145A" w:rsidRDefault="004D145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705D7EA" w14:textId="77777777" w:rsidR="004D145A" w:rsidRDefault="004D145A">
      <w:r>
        <w:rPr>
          <w:noProof/>
        </w:rPr>
        <w:drawing>
          <wp:inline distT="114300" distB="114300" distL="114300" distR="114300" wp14:anchorId="674D79AA" wp14:editId="22415377">
            <wp:extent cx="5943600" cy="26035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9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50"/>
        <w:gridCol w:w="1790"/>
        <w:gridCol w:w="4670"/>
      </w:tblGrid>
      <w:tr w:rsidR="004D145A" w14:paraId="5753351D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8F5AA" w14:textId="77777777" w:rsidR="004D145A" w:rsidRDefault="004D145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Taxonomic Pair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35436F" w14:textId="77777777" w:rsidR="004D145A" w:rsidRDefault="004D145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Category/Class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900E0" w14:textId="77777777" w:rsidR="004D145A" w:rsidRDefault="004D145A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4D145A" w14:paraId="2921FA32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98C07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Dog / Cat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DBF63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Animals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D40072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Different animals within the mammal class</w:t>
            </w:r>
          </w:p>
        </w:tc>
      </w:tr>
      <w:tr w:rsidR="004D145A" w14:paraId="44A69DA3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80F68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Fiction / Non-fiction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3C7F2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Literature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DA6D79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Opposing genres within the domain of writing</w:t>
            </w:r>
          </w:p>
        </w:tc>
      </w:tr>
      <w:tr w:rsidR="004D145A" w14:paraId="5FD522C9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A5885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Oak / Pine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2CC26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Trees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E7B84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Mutually exclusive types of trees</w:t>
            </w:r>
          </w:p>
        </w:tc>
      </w:tr>
      <w:tr w:rsidR="004D145A" w14:paraId="521864DD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45CD4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Rectangle / Circle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9E264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Shapes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F0B12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Belong to different geometric categories</w:t>
            </w:r>
          </w:p>
        </w:tc>
      </w:tr>
      <w:tr w:rsidR="004D145A" w14:paraId="6C21B439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E25C63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Winter / Summer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EFD3B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Seasons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5B445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Opposed by type in the category of seasons</w:t>
            </w:r>
          </w:p>
        </w:tc>
      </w:tr>
      <w:tr w:rsidR="004D145A" w14:paraId="7FDA9A6F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BE3F8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Jazz / Classical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58546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Music genres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6A2A7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Different styles under the music domain</w:t>
            </w:r>
          </w:p>
        </w:tc>
      </w:tr>
      <w:tr w:rsidR="004D145A" w14:paraId="0BD5B110" w14:textId="77777777">
        <w:trPr>
          <w:trHeight w:val="500"/>
        </w:trPr>
        <w:tc>
          <w:tcPr>
            <w:tcW w:w="24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639641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Republican / Democrat</w:t>
            </w:r>
          </w:p>
        </w:tc>
        <w:tc>
          <w:tcPr>
            <w:tcW w:w="17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87EDE5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Political parties</w:t>
            </w:r>
          </w:p>
        </w:tc>
        <w:tc>
          <w:tcPr>
            <w:tcW w:w="46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E191A" w14:textId="77777777" w:rsidR="004D145A" w:rsidRDefault="004D145A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Opposing members within a political system</w:t>
            </w:r>
          </w:p>
        </w:tc>
      </w:tr>
    </w:tbl>
    <w:p w14:paraId="1FF666FE" w14:textId="77777777" w:rsidR="004D145A" w:rsidRDefault="004D145A">
      <w:r>
        <w:pict w14:anchorId="508939B8">
          <v:rect id="_x0000_i1027" style="width:0;height:1.5pt" o:hralign="center" o:hrstd="t" o:hr="t" fillcolor="#a0a0a0" stroked="f"/>
        </w:pict>
      </w:r>
    </w:p>
    <w:p w14:paraId="4AD9E958" w14:textId="77777777" w:rsidR="004D145A" w:rsidRDefault="004D145A">
      <w:pPr>
        <w:pStyle w:val="Heading2"/>
        <w:keepNext w:val="0"/>
        <w:keepLines w:val="0"/>
        <w:spacing w:before="280"/>
      </w:pPr>
      <w:bookmarkStart w:id="4" w:name="_5sd7g676h5es" w:colFirst="0" w:colLast="0"/>
      <w:bookmarkEnd w:id="4"/>
      <w:r>
        <w:rPr>
          <w:rFonts w:ascii="Arial Unicode MS" w:eastAsia="Arial Unicode MS" w:hAnsi="Arial Unicode MS" w:cs="Arial Unicode MS"/>
        </w:rPr>
        <w:t>✅ Key Characteristics:</w:t>
      </w:r>
    </w:p>
    <w:p w14:paraId="24D99FB6" w14:textId="77777777" w:rsidR="004D145A" w:rsidRDefault="004D145A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D0D6E4" w14:textId="77777777" w:rsidR="004D145A" w:rsidRDefault="004D145A" w:rsidP="004D145A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Not true antonyms in </w:t>
      </w:r>
      <w:r>
        <w:rPr>
          <w:rFonts w:ascii="Roboto Mono" w:eastAsia="Roboto Mono" w:hAnsi="Roboto Mono" w:cs="Roboto Mono"/>
          <w:b/>
        </w:rPr>
        <w:t>core meaning</w:t>
      </w:r>
      <w:r>
        <w:rPr>
          <w:rFonts w:ascii="Roboto Mono" w:eastAsia="Roboto Mono" w:hAnsi="Roboto Mono" w:cs="Roboto Mono"/>
        </w:rPr>
        <w:t xml:space="preserve">, but in </w:t>
      </w:r>
      <w:r>
        <w:rPr>
          <w:rFonts w:ascii="Roboto Mono" w:eastAsia="Roboto Mono" w:hAnsi="Roboto Mono" w:cs="Roboto Mono"/>
          <w:b/>
        </w:rPr>
        <w:t>classification</w:t>
      </w:r>
      <w:r>
        <w:rPr>
          <w:rFonts w:ascii="Roboto Mono" w:eastAsia="Roboto Mono" w:hAnsi="Roboto Mono" w:cs="Roboto Mono"/>
          <w:b/>
        </w:rPr>
        <w:br/>
      </w:r>
    </w:p>
    <w:p w14:paraId="25D0D780" w14:textId="77777777" w:rsidR="004D145A" w:rsidRDefault="004D145A" w:rsidP="004D145A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They </w:t>
      </w:r>
      <w:r>
        <w:rPr>
          <w:rFonts w:ascii="Roboto Mono" w:eastAsia="Roboto Mono" w:hAnsi="Roboto Mono" w:cs="Roboto Mono"/>
          <w:b/>
        </w:rPr>
        <w:t>do not form scales or involve reversal</w:t>
      </w:r>
      <w:r>
        <w:rPr>
          <w:rFonts w:ascii="Roboto Mono" w:eastAsia="Roboto Mono" w:hAnsi="Roboto Mono" w:cs="Roboto Mono"/>
          <w:b/>
        </w:rPr>
        <w:br/>
      </w:r>
    </w:p>
    <w:p w14:paraId="57E807D7" w14:textId="77777777" w:rsidR="004D145A" w:rsidRDefault="004D145A" w:rsidP="004D145A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Often depend on </w:t>
      </w:r>
      <w:r>
        <w:rPr>
          <w:rFonts w:ascii="Roboto Mono" w:eastAsia="Roboto Mono" w:hAnsi="Roboto Mono" w:cs="Roboto Mono"/>
          <w:b/>
        </w:rPr>
        <w:t>contextual grouping</w:t>
      </w:r>
    </w:p>
    <w:p w14:paraId="7B81A1BD" w14:textId="77777777" w:rsidR="004D145A" w:rsidRDefault="004D145A">
      <w:r>
        <w:pict w14:anchorId="3B781DF0">
          <v:rect id="_x0000_i1028" style="width:0;height:1.5pt" o:hralign="center" o:hrstd="t" o:hr="t" fillcolor="#a0a0a0" stroked="f"/>
        </w:pict>
      </w:r>
    </w:p>
    <w:p w14:paraId="3726B94F" w14:textId="77777777" w:rsidR="004D145A" w:rsidRDefault="004D145A"/>
    <w:p w14:paraId="6A631BF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902F8"/>
    <w:multiLevelType w:val="multilevel"/>
    <w:tmpl w:val="266E968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12405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45A"/>
    <w:rsid w:val="002D1F4F"/>
    <w:rsid w:val="004D145A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6208B"/>
  <w15:chartTrackingRefBased/>
  <w15:docId w15:val="{4AD81A48-EBEE-41EF-A8FA-0FC54D28F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1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1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305</Words>
  <Characters>1741</Characters>
  <Application>Microsoft Office Word</Application>
  <DocSecurity>0</DocSecurity>
  <Lines>14</Lines>
  <Paragraphs>4</Paragraphs>
  <ScaleCrop>false</ScaleCrop>
  <Company/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