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5F3F" w14:textId="77777777" w:rsidR="00845BE5" w:rsidRDefault="00845BE5">
      <w:pPr>
        <w:pStyle w:val="Heading1"/>
      </w:pPr>
      <w:bookmarkStart w:id="0" w:name="_n0tnq18orsng" w:colFirst="0" w:colLast="0"/>
      <w:bookmarkEnd w:id="0"/>
      <w:r>
        <w:t>Colloquial Technical Terminology</w:t>
      </w:r>
    </w:p>
    <w:p w14:paraId="564CD238" w14:textId="77777777" w:rsidR="00845BE5" w:rsidRDefault="00845BE5">
      <w:pPr>
        <w:pStyle w:val="Heading2"/>
      </w:pPr>
      <w:bookmarkStart w:id="1" w:name="_gjrdyhmc3pid" w:colFirst="0" w:colLast="0"/>
      <w:bookmarkEnd w:id="1"/>
      <w:r>
        <w:t>🧾 What is Colloquial Technical Terminology</w:t>
      </w:r>
    </w:p>
    <w:p w14:paraId="5C29A27B" w14:textId="77777777" w:rsidR="00845BE5" w:rsidRDefault="00845BE5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4B375A" w14:textId="77777777" w:rsidR="00845BE5" w:rsidRDefault="00845B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Colloquial Technical Terminology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informal or slang-like versions of technical terms</w:t>
      </w:r>
      <w:r>
        <w:rPr>
          <w:rFonts w:ascii="Roboto Mono" w:eastAsia="Roboto Mono" w:hAnsi="Roboto Mono" w:cs="Roboto Mono"/>
        </w:rPr>
        <w:t xml:space="preserve"> used </w:t>
      </w:r>
      <w:r>
        <w:rPr>
          <w:rFonts w:ascii="Roboto Mono" w:eastAsia="Roboto Mono" w:hAnsi="Roboto Mono" w:cs="Roboto Mono"/>
          <w:b/>
        </w:rPr>
        <w:t>within a professional or technical community</w:t>
      </w:r>
      <w:r>
        <w:rPr>
          <w:rFonts w:ascii="Roboto Mono" w:eastAsia="Roboto Mono" w:hAnsi="Roboto Mono" w:cs="Roboto Mono"/>
        </w:rPr>
        <w:t>, often for ease of communication or cultural familiarity.</w:t>
      </w:r>
    </w:p>
    <w:p w14:paraId="14975C67" w14:textId="77777777" w:rsidR="00845BE5" w:rsidRDefault="00845BE5">
      <w:r>
        <w:pict w14:anchorId="36F078B0">
          <v:rect id="_x0000_i1025" style="width:0;height:1.5pt" o:hralign="center" o:hrstd="t" o:hr="t" fillcolor="#a0a0a0" stroked="f"/>
        </w:pict>
      </w:r>
    </w:p>
    <w:p w14:paraId="0DC093B1" w14:textId="77777777" w:rsidR="00845BE5" w:rsidRDefault="00845BE5">
      <w:pPr>
        <w:pStyle w:val="Heading2"/>
        <w:keepNext w:val="0"/>
        <w:keepLines w:val="0"/>
        <w:spacing w:before="280"/>
      </w:pPr>
      <w:bookmarkStart w:id="2" w:name="_50pd8sbrfgtm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FEEB096" w14:textId="77777777" w:rsidR="00845BE5" w:rsidRDefault="00845BE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F948AD" w14:textId="77777777" w:rsidR="00845BE5" w:rsidRDefault="00845BE5">
      <w:r>
        <w:rPr>
          <w:noProof/>
        </w:rPr>
        <w:drawing>
          <wp:inline distT="114300" distB="114300" distL="114300" distR="114300" wp14:anchorId="1D455B7B" wp14:editId="08D344B8">
            <wp:extent cx="5943600" cy="369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6920"/>
      </w:tblGrid>
      <w:tr w:rsidR="00845BE5" w14:paraId="5FC72505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FB0C" w14:textId="77777777" w:rsidR="00845BE5" w:rsidRDefault="00845B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CF245" w14:textId="77777777" w:rsidR="00845BE5" w:rsidRDefault="00845B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845BE5" w14:paraId="0C8C4D82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4167E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CC45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 or insiders in a specific field</w:t>
            </w:r>
          </w:p>
        </w:tc>
      </w:tr>
      <w:tr w:rsidR="00845BE5" w14:paraId="0E9A7DD5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30EA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8628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simplify or personalize technical language in casual conversation</w:t>
            </w:r>
          </w:p>
        </w:tc>
      </w:tr>
      <w:tr w:rsidR="00845BE5" w14:paraId="147D5C58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A0AED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208ED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or semi-formal</w:t>
            </w:r>
          </w:p>
        </w:tc>
      </w:tr>
      <w:tr w:rsidR="00845BE5" w14:paraId="5A34C5EA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5331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Precision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539F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less precise but understood within the field’s context</w:t>
            </w:r>
          </w:p>
        </w:tc>
      </w:tr>
      <w:tr w:rsidR="00845BE5" w14:paraId="4BCE4ADE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82F7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21937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Conversational, friendly, insider-specific</w:t>
            </w:r>
          </w:p>
        </w:tc>
      </w:tr>
      <w:tr w:rsidR="00845BE5" w14:paraId="57D7CD03" w14:textId="77777777">
        <w:trPr>
          <w:trHeight w:val="105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F21A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A5E9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"Bug" (instead of </w:t>
            </w:r>
            <w:r>
              <w:rPr>
                <w:rFonts w:ascii="Roboto Mono" w:eastAsia="Roboto Mono" w:hAnsi="Roboto Mono" w:cs="Roboto Mono"/>
                <w:i/>
              </w:rPr>
              <w:t>software defect</w:t>
            </w:r>
            <w:r>
              <w:rPr>
                <w:rFonts w:ascii="Roboto Mono" w:eastAsia="Roboto Mono" w:hAnsi="Roboto Mono" w:cs="Roboto Mono"/>
              </w:rPr>
              <w:t xml:space="preserve">) - "Doc" (for </w:t>
            </w:r>
            <w:r>
              <w:rPr>
                <w:rFonts w:ascii="Roboto Mono" w:eastAsia="Roboto Mono" w:hAnsi="Roboto Mono" w:cs="Roboto Mono"/>
                <w:i/>
              </w:rPr>
              <w:t>doctor</w:t>
            </w:r>
            <w:r>
              <w:rPr>
                <w:rFonts w:ascii="Roboto Mono" w:eastAsia="Roboto Mono" w:hAnsi="Roboto Mono" w:cs="Roboto Mono"/>
              </w:rPr>
              <w:t xml:space="preserve">) - "Scope creep" (instead of </w:t>
            </w:r>
            <w:r>
              <w:rPr>
                <w:rFonts w:ascii="Roboto Mono" w:eastAsia="Roboto Mono" w:hAnsi="Roboto Mono" w:cs="Roboto Mono"/>
                <w:i/>
              </w:rPr>
              <w:t>project requirement inflation</w:t>
            </w:r>
            <w:r>
              <w:rPr>
                <w:rFonts w:ascii="Roboto Mono" w:eastAsia="Roboto Mono" w:hAnsi="Roboto Mono" w:cs="Roboto Mono"/>
              </w:rPr>
              <w:t xml:space="preserve">) - "Crash" (instead of </w:t>
            </w:r>
            <w:r>
              <w:rPr>
                <w:rFonts w:ascii="Roboto Mono" w:eastAsia="Roboto Mono" w:hAnsi="Roboto Mono" w:cs="Roboto Mono"/>
                <w:i/>
              </w:rPr>
              <w:t>system failure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845BE5" w14:paraId="03FB06B2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BF1D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078E7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Day-to-day work talk, internal meetings, forums, tech blogs</w:t>
            </w:r>
          </w:p>
        </w:tc>
      </w:tr>
      <w:tr w:rsidR="00845BE5" w14:paraId="143831DC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C86CC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 to Formal Technical Terms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196D" w14:textId="77777777" w:rsidR="00845BE5" w:rsidRDefault="00845B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derived from formal terminology but shaped by workplace culture or convenience</w:t>
            </w:r>
          </w:p>
        </w:tc>
      </w:tr>
    </w:tbl>
    <w:p w14:paraId="4ADD6E6F" w14:textId="77777777" w:rsidR="00845BE5" w:rsidRDefault="00845BE5">
      <w:r>
        <w:pict w14:anchorId="4252B647">
          <v:rect id="_x0000_i1026" style="width:0;height:1.5pt" o:hralign="center" o:hrstd="t" o:hr="t" fillcolor="#a0a0a0" stroked="f"/>
        </w:pict>
      </w:r>
    </w:p>
    <w:p w14:paraId="2BE263EE" w14:textId="77777777" w:rsidR="00845BE5" w:rsidRDefault="00845BE5">
      <w:pPr>
        <w:pStyle w:val="Heading2"/>
        <w:rPr>
          <w:sz w:val="30"/>
          <w:szCs w:val="30"/>
        </w:rPr>
      </w:pPr>
      <w:bookmarkStart w:id="3" w:name="_iwk1h8x5bn67" w:colFirst="0" w:colLast="0"/>
      <w:bookmarkEnd w:id="3"/>
      <w:r>
        <w:rPr>
          <w:sz w:val="30"/>
          <w:szCs w:val="30"/>
        </w:rPr>
        <w:t>Colloquial Terminology vs Technical Terminology vs Lay Terminology:</w:t>
      </w:r>
    </w:p>
    <w:p w14:paraId="27205F81" w14:textId="77777777" w:rsidR="00845BE5" w:rsidRDefault="00845B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FC9AA0" w14:textId="77777777" w:rsidR="00845BE5" w:rsidRDefault="00845BE5">
      <w:pPr>
        <w:spacing w:before="240" w:after="240"/>
      </w:pPr>
      <w:r>
        <w:rPr>
          <w:noProof/>
        </w:rPr>
        <w:drawing>
          <wp:inline distT="114300" distB="114300" distL="114300" distR="114300" wp14:anchorId="2C0001D0" wp14:editId="17526088">
            <wp:extent cx="5943600" cy="3657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4"/>
        <w:gridCol w:w="2593"/>
        <w:gridCol w:w="2622"/>
        <w:gridCol w:w="2651"/>
      </w:tblGrid>
      <w:tr w:rsidR="00845BE5" w14:paraId="6E1C2976" w14:textId="77777777">
        <w:trPr>
          <w:trHeight w:val="78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BFE5" w14:textId="77777777" w:rsidR="00845BE5" w:rsidRDefault="00845BE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90E0" w14:textId="77777777" w:rsidR="00845BE5" w:rsidRDefault="00845BE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 Technical Terminology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D5AA" w14:textId="77777777" w:rsidR="00845BE5" w:rsidRDefault="00845BE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Terminology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B100" w14:textId="77777777" w:rsidR="00845BE5" w:rsidRDefault="00845BE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Lay Terminology</w:t>
            </w:r>
          </w:p>
        </w:tc>
      </w:tr>
      <w:tr w:rsidR="00845BE5" w14:paraId="605B43F9" w14:textId="77777777">
        <w:trPr>
          <w:trHeight w:val="1340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F7340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540EE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insider slang or simplified terms used within a field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CCC5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precise terms used in professional or academic contexts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46108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terms used to explain technical concepts to the general public</w:t>
            </w:r>
          </w:p>
        </w:tc>
      </w:tr>
      <w:tr w:rsidR="00845BE5" w14:paraId="741A3EE7" w14:textId="77777777">
        <w:trPr>
          <w:trHeight w:val="78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BA005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9D41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 within a field (informal setting)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C4B8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academics, professionals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6954C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public, non-experts</w:t>
            </w:r>
          </w:p>
        </w:tc>
      </w:tr>
      <w:tr w:rsidR="00845BE5" w14:paraId="0F6C2210" w14:textId="77777777">
        <w:trPr>
          <w:trHeight w:val="78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09E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4784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or semi-formal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E65B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formal and standardized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FEB20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and accessible</w:t>
            </w:r>
          </w:p>
        </w:tc>
      </w:tr>
      <w:tr w:rsidR="00845BE5" w14:paraId="6D519716" w14:textId="77777777">
        <w:trPr>
          <w:trHeight w:val="105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387D2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E4C1E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Ease of communication among peers; brevity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0A04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Precision, standardization, and clarity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23AD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Simplification and understanding</w:t>
            </w:r>
          </w:p>
        </w:tc>
      </w:tr>
      <w:tr w:rsidR="00845BE5" w14:paraId="58B7E451" w14:textId="77777777">
        <w:trPr>
          <w:trHeight w:val="500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0EC4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6513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Conversational, insider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44B8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impersonal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4373C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Friendly, simplified</w:t>
            </w:r>
          </w:p>
        </w:tc>
      </w:tr>
      <w:tr w:rsidR="00845BE5" w14:paraId="50EA2F32" w14:textId="77777777">
        <w:trPr>
          <w:trHeight w:val="105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EA71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(Software)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C3EC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“Bug”, “Crash”, “Lag”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0A8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“Software defect”, “System failure”, “Latency”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B610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“Problem in the program”, “The app broke”, “It’s slow”</w:t>
            </w:r>
          </w:p>
        </w:tc>
      </w:tr>
      <w:tr w:rsidR="00845BE5" w14:paraId="19F3429F" w14:textId="77777777">
        <w:trPr>
          <w:trHeight w:val="105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718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(Medicine)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CEBC8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“Doc”, “Code Blue”, “Heart Attack”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4A2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“Physician”, “Cardiac arrest”, “Myocardial infarction”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5C43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“Doctor”, “Emergency”, “Heart trouble”</w:t>
            </w:r>
          </w:p>
        </w:tc>
      </w:tr>
      <w:tr w:rsidR="00845BE5" w14:paraId="0F75A987" w14:textId="77777777">
        <w:trPr>
          <w:trHeight w:val="78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7DCB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Clarity for Public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98C9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(unless familiar with the field)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07CC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to moderate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0076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</w:tr>
      <w:tr w:rsidR="00845BE5" w14:paraId="4330A0D5" w14:textId="77777777">
        <w:trPr>
          <w:trHeight w:val="785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60DB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Cases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8FF7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communication, forums, informal reports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F1D7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Journals, technical manuals, academic texts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6895D" w14:textId="77777777" w:rsidR="00845BE5" w:rsidRDefault="00845BE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Public health info, journalism, education</w:t>
            </w:r>
          </w:p>
        </w:tc>
      </w:tr>
    </w:tbl>
    <w:p w14:paraId="3B96E25F" w14:textId="77777777" w:rsidR="00845BE5" w:rsidRDefault="00845BE5">
      <w:pPr>
        <w:spacing w:before="280"/>
      </w:pPr>
      <w:r>
        <w:pict w14:anchorId="7A27A06D">
          <v:rect id="_x0000_i1027" style="width:0;height:1.5pt" o:hralign="center" o:hrstd="t" o:hr="t" fillcolor="#a0a0a0" stroked="f"/>
        </w:pict>
      </w:r>
    </w:p>
    <w:p w14:paraId="26772BEF" w14:textId="77777777" w:rsidR="00845BE5" w:rsidRDefault="00845BE5">
      <w:pPr>
        <w:pStyle w:val="Heading2"/>
        <w:keepNext w:val="0"/>
        <w:keepLines w:val="0"/>
        <w:spacing w:before="280"/>
      </w:pPr>
      <w:bookmarkStart w:id="4" w:name="_28d80ulfogim" w:colFirst="0" w:colLast="0"/>
      <w:bookmarkEnd w:id="4"/>
      <w:r>
        <w:t>🧠 Summary:</w:t>
      </w:r>
    </w:p>
    <w:p w14:paraId="44DD25FF" w14:textId="77777777" w:rsidR="00845BE5" w:rsidRDefault="00845B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078DFC" w14:textId="77777777" w:rsidR="00845BE5" w:rsidRDefault="00845BE5">
      <w:pPr>
        <w:spacing w:before="240" w:after="240"/>
      </w:pPr>
      <w:r>
        <w:rPr>
          <w:rFonts w:ascii="Roboto Mono" w:eastAsia="Roboto Mono" w:hAnsi="Roboto Mono" w:cs="Roboto Mono"/>
        </w:rPr>
        <w:t xml:space="preserve">Colloquial technical terminology blends </w:t>
      </w:r>
      <w:r>
        <w:rPr>
          <w:rFonts w:ascii="Roboto Mono" w:eastAsia="Roboto Mono" w:hAnsi="Roboto Mono" w:cs="Roboto Mono"/>
          <w:b/>
        </w:rPr>
        <w:t>professional knowledge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informal tone</w:t>
      </w:r>
      <w:r>
        <w:rPr>
          <w:rFonts w:ascii="Roboto Mono" w:eastAsia="Roboto Mono" w:hAnsi="Roboto Mono" w:cs="Roboto Mono"/>
        </w:rPr>
        <w:t>, helping experts communicate more naturally within their own circles. While not always suitable for formal writing or public communication, it’s effective in team settings and peer discussions.</w:t>
      </w:r>
    </w:p>
    <w:p w14:paraId="03DF0166" w14:textId="77777777" w:rsidR="00845BE5" w:rsidRDefault="00845BE5"/>
    <w:p w14:paraId="210713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E5"/>
    <w:rsid w:val="002D1F4F"/>
    <w:rsid w:val="00711B4D"/>
    <w:rsid w:val="00845BE5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EEF4"/>
  <w15:chartTrackingRefBased/>
  <w15:docId w15:val="{225851FC-A930-486A-A6CB-C8432265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