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9D923" w14:textId="77777777" w:rsidR="005C4F09" w:rsidRDefault="005C4F09">
      <w:pPr>
        <w:pStyle w:val="Heading1"/>
      </w:pPr>
      <w:bookmarkStart w:id="0" w:name="_qs9rn351r7z5" w:colFirst="0" w:colLast="0"/>
      <w:bookmarkEnd w:id="0"/>
      <w:r>
        <w:t>Traditional Grammar</w:t>
      </w:r>
    </w:p>
    <w:p w14:paraId="602BE3F6" w14:textId="77777777" w:rsidR="005C4F09" w:rsidRDefault="005C4F09">
      <w:pPr>
        <w:pStyle w:val="Heading2"/>
      </w:pPr>
      <w:bookmarkStart w:id="1" w:name="_f55m9f6gt8bo" w:colFirst="0" w:colLast="0"/>
      <w:bookmarkEnd w:id="1"/>
      <w:r>
        <w:t>🔹 What is Traditional Grammar</w:t>
      </w:r>
    </w:p>
    <w:p w14:paraId="0ED542D1" w14:textId="77777777" w:rsidR="005C4F09" w:rsidRDefault="005C4F09">
      <w:pPr>
        <w:spacing w:before="240" w:after="240"/>
        <w:rPr>
          <w:b/>
          <w:sz w:val="34"/>
          <w:szCs w:val="34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670F55D" w14:textId="77777777" w:rsidR="005C4F09" w:rsidRDefault="005C4F0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Traditional grammar</w:t>
      </w:r>
      <w:r>
        <w:rPr>
          <w:rFonts w:ascii="Roboto Mono" w:eastAsia="Roboto Mono" w:hAnsi="Roboto Mono" w:cs="Roboto Mono"/>
        </w:rPr>
        <w:t xml:space="preserve"> is the system of grammatical rules and terminology that has been passed down through centuries, largely based on the </w:t>
      </w:r>
      <w:r>
        <w:rPr>
          <w:rFonts w:ascii="Roboto Mono" w:eastAsia="Roboto Mono" w:hAnsi="Roboto Mono" w:cs="Roboto Mono"/>
          <w:b/>
        </w:rPr>
        <w:t>grammar of Latin and Greek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It focuses on </w:t>
      </w:r>
      <w:r>
        <w:rPr>
          <w:rFonts w:ascii="Roboto Mono" w:eastAsia="Roboto Mono" w:hAnsi="Roboto Mono" w:cs="Roboto Mono"/>
          <w:b/>
        </w:rPr>
        <w:t>categorizing parts of speech</w:t>
      </w:r>
      <w:r>
        <w:rPr>
          <w:rFonts w:ascii="Roboto Mono" w:eastAsia="Roboto Mono" w:hAnsi="Roboto Mono" w:cs="Roboto Mono"/>
        </w:rPr>
        <w:t>, sentence structure, and prescribing proper usage—often in a formal and academic context.</w:t>
      </w:r>
    </w:p>
    <w:p w14:paraId="5681B56B" w14:textId="77777777" w:rsidR="005C4F09" w:rsidRDefault="005C4F09">
      <w:r>
        <w:pict w14:anchorId="1FC572EA">
          <v:rect id="_x0000_i1025" style="width:0;height:1.5pt" o:hralign="center" o:hrstd="t" o:hr="t" fillcolor="#a0a0a0" stroked="f"/>
        </w:pict>
      </w:r>
    </w:p>
    <w:p w14:paraId="4919B265" w14:textId="77777777" w:rsidR="005C4F09" w:rsidRDefault="005C4F09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pfs2z6yq84oq" w:colFirst="0" w:colLast="0"/>
      <w:bookmarkEnd w:id="2"/>
      <w:r>
        <w:rPr>
          <w:rFonts w:ascii="Arial Unicode MS" w:eastAsia="Arial Unicode MS" w:hAnsi="Arial Unicode MS" w:cs="Arial Unicode MS"/>
          <w:b/>
          <w:sz w:val="34"/>
          <w:szCs w:val="34"/>
        </w:rPr>
        <w:t>✅ Key Features of Traditional Grammar:</w:t>
      </w:r>
    </w:p>
    <w:p w14:paraId="79DDB570" w14:textId="77777777" w:rsidR="005C4F09" w:rsidRDefault="005C4F09">
      <w:pPr>
        <w:spacing w:before="240" w:after="240"/>
        <w:rPr>
          <w:b/>
          <w:sz w:val="34"/>
          <w:szCs w:val="34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9868758" w14:textId="77777777" w:rsidR="005C4F09" w:rsidRDefault="005C4F09">
      <w:r>
        <w:rPr>
          <w:noProof/>
        </w:rPr>
        <w:drawing>
          <wp:inline distT="114300" distB="114300" distL="114300" distR="114300" wp14:anchorId="48A86B73" wp14:editId="002F057B">
            <wp:extent cx="5943600" cy="19177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1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85"/>
        <w:gridCol w:w="6545"/>
      </w:tblGrid>
      <w:tr w:rsidR="005C4F09" w14:paraId="3697D00D" w14:textId="77777777">
        <w:trPr>
          <w:trHeight w:val="500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305F9" w14:textId="77777777" w:rsidR="005C4F09" w:rsidRDefault="005C4F0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6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8F47B" w14:textId="77777777" w:rsidR="005C4F09" w:rsidRDefault="005C4F0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Explanation</w:t>
            </w:r>
          </w:p>
        </w:tc>
      </w:tr>
      <w:tr w:rsidR="005C4F09" w14:paraId="6D187D3D" w14:textId="77777777">
        <w:trPr>
          <w:trHeight w:val="500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5537E" w14:textId="77777777" w:rsidR="005C4F09" w:rsidRDefault="005C4F0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Part-of-speech focus</w:t>
            </w:r>
          </w:p>
        </w:tc>
        <w:tc>
          <w:tcPr>
            <w:tcW w:w="6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101A2" w14:textId="77777777" w:rsidR="005C4F09" w:rsidRDefault="005C4F0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Classifies words into categories like noun, verb, adjective, etc.</w:t>
            </w:r>
          </w:p>
        </w:tc>
      </w:tr>
      <w:tr w:rsidR="005C4F09" w14:paraId="6AF316D7" w14:textId="77777777">
        <w:trPr>
          <w:trHeight w:val="500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981BF" w14:textId="77777777" w:rsidR="005C4F09" w:rsidRDefault="005C4F0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 diagramming</w:t>
            </w:r>
          </w:p>
        </w:tc>
        <w:tc>
          <w:tcPr>
            <w:tcW w:w="6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36E81" w14:textId="77777777" w:rsidR="005C4F09" w:rsidRDefault="005C4F0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Emphasizes how sentence parts fit together logically</w:t>
            </w:r>
          </w:p>
        </w:tc>
      </w:tr>
      <w:tr w:rsidR="005C4F09" w14:paraId="2FD27D7A" w14:textId="77777777">
        <w:trPr>
          <w:trHeight w:val="500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016FE" w14:textId="77777777" w:rsidR="005C4F09" w:rsidRDefault="005C4F0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Prescriptive influence</w:t>
            </w:r>
          </w:p>
        </w:tc>
        <w:tc>
          <w:tcPr>
            <w:tcW w:w="6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EBC82" w14:textId="77777777" w:rsidR="005C4F09" w:rsidRDefault="005C4F0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Tends to favor correct or “proper” usage (e.g., no split infinitives)</w:t>
            </w:r>
          </w:p>
        </w:tc>
      </w:tr>
      <w:tr w:rsidR="005C4F09" w14:paraId="4189D89E" w14:textId="77777777">
        <w:trPr>
          <w:trHeight w:val="500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47847" w14:textId="77777777" w:rsidR="005C4F09" w:rsidRDefault="005C4F0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Rule-based</w:t>
            </w:r>
          </w:p>
        </w:tc>
        <w:tc>
          <w:tcPr>
            <w:tcW w:w="6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71628" w14:textId="77777777" w:rsidR="005C4F09" w:rsidRDefault="005C4F0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Emphasizes rules of correct grammar and standard forms</w:t>
            </w:r>
          </w:p>
        </w:tc>
      </w:tr>
      <w:tr w:rsidR="005C4F09" w14:paraId="5497098A" w14:textId="77777777">
        <w:trPr>
          <w:trHeight w:val="500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8084D" w14:textId="77777777" w:rsidR="005C4F09" w:rsidRDefault="005C4F0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Surface-level focus</w:t>
            </w:r>
          </w:p>
        </w:tc>
        <w:tc>
          <w:tcPr>
            <w:tcW w:w="6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3692F" w14:textId="77777777" w:rsidR="005C4F09" w:rsidRDefault="005C4F0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Concerned more with written, not spoken or mental grammar</w:t>
            </w:r>
          </w:p>
        </w:tc>
      </w:tr>
    </w:tbl>
    <w:p w14:paraId="4155C854" w14:textId="77777777" w:rsidR="005C4F09" w:rsidRDefault="005C4F09">
      <w:r>
        <w:pict w14:anchorId="74D63706">
          <v:rect id="_x0000_i1026" style="width:0;height:1.5pt" o:hralign="center" o:hrstd="t" o:hr="t" fillcolor="#a0a0a0" stroked="f"/>
        </w:pict>
      </w:r>
    </w:p>
    <w:p w14:paraId="12F30626" w14:textId="77777777" w:rsidR="005C4F09" w:rsidRDefault="005C4F09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t4se9vw4t4l5" w:colFirst="0" w:colLast="0"/>
      <w:bookmarkEnd w:id="3"/>
      <w:r>
        <w:rPr>
          <w:rFonts w:ascii="Arial Unicode MS" w:eastAsia="Arial Unicode MS" w:hAnsi="Arial Unicode MS" w:cs="Arial Unicode MS"/>
          <w:b/>
          <w:sz w:val="34"/>
          <w:szCs w:val="34"/>
        </w:rPr>
        <w:t>✅ Components of Traditional Grammar:</w:t>
      </w:r>
    </w:p>
    <w:p w14:paraId="103FAC29" w14:textId="77777777" w:rsidR="005C4F09" w:rsidRDefault="005C4F09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5BC57E4" w14:textId="77777777" w:rsidR="005C4F09" w:rsidRDefault="005C4F09">
      <w:r>
        <w:rPr>
          <w:noProof/>
        </w:rPr>
        <w:drawing>
          <wp:inline distT="114300" distB="114300" distL="114300" distR="114300" wp14:anchorId="26F1E5F9" wp14:editId="29105455">
            <wp:extent cx="5943600" cy="22733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4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30"/>
        <w:gridCol w:w="5135"/>
      </w:tblGrid>
      <w:tr w:rsidR="005C4F09" w14:paraId="5E17B2DB" w14:textId="77777777">
        <w:trPr>
          <w:trHeight w:val="500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4AC1B" w14:textId="77777777" w:rsidR="005C4F09" w:rsidRDefault="005C4F0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Concept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B5F66" w14:textId="77777777" w:rsidR="005C4F09" w:rsidRDefault="005C4F0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5C4F09" w14:paraId="588F9426" w14:textId="77777777">
        <w:trPr>
          <w:trHeight w:val="500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55D7D" w14:textId="77777777" w:rsidR="005C4F09" w:rsidRDefault="005C4F0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Parts of Speech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06DC2" w14:textId="77777777" w:rsidR="005C4F09" w:rsidRDefault="005C4F0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Noun, verb, adjective, adverb, etc.</w:t>
            </w:r>
          </w:p>
        </w:tc>
      </w:tr>
      <w:tr w:rsidR="005C4F09" w14:paraId="5A319038" w14:textId="77777777">
        <w:trPr>
          <w:trHeight w:val="500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36C92" w14:textId="77777777" w:rsidR="005C4F09" w:rsidRDefault="005C4F0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 Types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8CCB2" w14:textId="77777777" w:rsidR="005C4F09" w:rsidRDefault="005C4F0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Declarative, interrogative, imperative, exclamatory</w:t>
            </w:r>
          </w:p>
        </w:tc>
      </w:tr>
      <w:tr w:rsidR="005C4F09" w14:paraId="37B0BEA5" w14:textId="77777777">
        <w:trPr>
          <w:trHeight w:val="500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6A017" w14:textId="77777777" w:rsidR="005C4F09" w:rsidRDefault="005C4F0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Phrases &amp; Clauses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873D6" w14:textId="77777777" w:rsidR="005C4F09" w:rsidRDefault="005C4F0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Noun phrases, dependent clauses, etc.</w:t>
            </w:r>
          </w:p>
        </w:tc>
      </w:tr>
      <w:tr w:rsidR="005C4F09" w14:paraId="37F29128" w14:textId="77777777">
        <w:trPr>
          <w:trHeight w:val="500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E9AFB" w14:textId="77777777" w:rsidR="005C4F09" w:rsidRDefault="005C4F0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Tenses &amp; Agreement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C5D43" w14:textId="77777777" w:rsidR="005C4F09" w:rsidRDefault="005C4F0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Past, present, future; subject-verb agreement</w:t>
            </w:r>
          </w:p>
        </w:tc>
      </w:tr>
      <w:tr w:rsidR="005C4F09" w14:paraId="18A361BE" w14:textId="77777777">
        <w:trPr>
          <w:trHeight w:val="500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77FC0" w14:textId="77777777" w:rsidR="005C4F09" w:rsidRDefault="005C4F0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Voice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CC8E1" w14:textId="77777777" w:rsidR="005C4F09" w:rsidRDefault="005C4F0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Active vs. passive</w:t>
            </w:r>
          </w:p>
        </w:tc>
      </w:tr>
      <w:tr w:rsidR="005C4F09" w14:paraId="11635211" w14:textId="77777777">
        <w:trPr>
          <w:trHeight w:val="500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96F31" w14:textId="77777777" w:rsidR="005C4F09" w:rsidRDefault="005C4F0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Mood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B9B57" w14:textId="77777777" w:rsidR="005C4F09" w:rsidRDefault="005C4F0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Indicative, imperative, subjunctive</w:t>
            </w:r>
          </w:p>
        </w:tc>
      </w:tr>
    </w:tbl>
    <w:p w14:paraId="2A501A96" w14:textId="77777777" w:rsidR="005C4F09" w:rsidRDefault="005C4F09">
      <w:r>
        <w:pict w14:anchorId="5909CDF9">
          <v:rect id="_x0000_i1027" style="width:0;height:1.5pt" o:hralign="center" o:hrstd="t" o:hr="t" fillcolor="#a0a0a0" stroked="f"/>
        </w:pict>
      </w:r>
    </w:p>
    <w:p w14:paraId="5E18C01C" w14:textId="77777777" w:rsidR="005C4F09" w:rsidRDefault="005C4F09">
      <w:pPr>
        <w:pStyle w:val="Heading2"/>
        <w:keepNext w:val="0"/>
        <w:keepLines w:val="0"/>
        <w:rPr>
          <w:b/>
          <w:sz w:val="34"/>
          <w:szCs w:val="34"/>
        </w:rPr>
      </w:pPr>
      <w:bookmarkStart w:id="4" w:name="_5j0z4egcr2fh" w:colFirst="0" w:colLast="0"/>
      <w:bookmarkEnd w:id="4"/>
      <w:r>
        <w:rPr>
          <w:rFonts w:ascii="Arial Unicode MS" w:eastAsia="Arial Unicode MS" w:hAnsi="Arial Unicode MS" w:cs="Arial Unicode MS"/>
          <w:b/>
          <w:sz w:val="34"/>
          <w:szCs w:val="34"/>
        </w:rPr>
        <w:t>✅ Examples of Traditional Grammar Rules:</w:t>
      </w:r>
    </w:p>
    <w:p w14:paraId="768EE748" w14:textId="77777777" w:rsidR="005C4F09" w:rsidRDefault="005C4F09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34BB1AF" w14:textId="77777777" w:rsidR="005C4F09" w:rsidRDefault="005C4F09">
      <w:r>
        <w:rPr>
          <w:noProof/>
        </w:rPr>
        <w:drawing>
          <wp:inline distT="114300" distB="114300" distL="114300" distR="114300" wp14:anchorId="727FFEB1" wp14:editId="335AC6E2">
            <wp:extent cx="5943600" cy="15875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2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70"/>
        <w:gridCol w:w="5690"/>
      </w:tblGrid>
      <w:tr w:rsidR="005C4F09" w14:paraId="721D203D" w14:textId="77777777">
        <w:trPr>
          <w:trHeight w:val="500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C8294" w14:textId="77777777" w:rsidR="005C4F09" w:rsidRDefault="005C4F0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Rule</w:t>
            </w:r>
          </w:p>
        </w:tc>
        <w:tc>
          <w:tcPr>
            <w:tcW w:w="5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A5935" w14:textId="77777777" w:rsidR="005C4F09" w:rsidRDefault="005C4F0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Traditional View</w:t>
            </w:r>
          </w:p>
        </w:tc>
      </w:tr>
      <w:tr w:rsidR="005C4F09" w14:paraId="6C323C79" w14:textId="77777777">
        <w:trPr>
          <w:trHeight w:val="545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ACA21" w14:textId="77777777" w:rsidR="005C4F09" w:rsidRDefault="005C4F0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Don’t split infinitives</w:t>
            </w:r>
          </w:p>
        </w:tc>
        <w:tc>
          <w:tcPr>
            <w:tcW w:w="5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94B80" w14:textId="77777777" w:rsidR="005C4F09" w:rsidRDefault="005C4F0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✖ “to boldly go” → ✔ “to go boldly”</w:t>
            </w:r>
          </w:p>
        </w:tc>
      </w:tr>
      <w:tr w:rsidR="005C4F09" w14:paraId="3D630AC5" w14:textId="77777777">
        <w:trPr>
          <w:trHeight w:val="545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6D907" w14:textId="77777777" w:rsidR="005C4F09" w:rsidRDefault="005C4F0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Avoid double negatives</w:t>
            </w:r>
          </w:p>
        </w:tc>
        <w:tc>
          <w:tcPr>
            <w:tcW w:w="5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0D11C" w14:textId="77777777" w:rsidR="005C4F09" w:rsidRDefault="005C4F0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✖ “I don’t know nothing” → ✔ “I don’t know anything”</w:t>
            </w:r>
          </w:p>
        </w:tc>
      </w:tr>
      <w:tr w:rsidR="005C4F09" w14:paraId="4AC5B0B7" w14:textId="77777777">
        <w:trPr>
          <w:trHeight w:val="545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0FB1D" w14:textId="77777777" w:rsidR="005C4F09" w:rsidRDefault="005C4F0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 “whom” for objects</w:t>
            </w:r>
          </w:p>
        </w:tc>
        <w:tc>
          <w:tcPr>
            <w:tcW w:w="5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E4F52" w14:textId="77777777" w:rsidR="005C4F09" w:rsidRDefault="005C4F0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✔ “To whom did you speak?” (not “who”)</w:t>
            </w:r>
          </w:p>
        </w:tc>
      </w:tr>
      <w:tr w:rsidR="005C4F09" w14:paraId="4994AE25" w14:textId="77777777">
        <w:trPr>
          <w:trHeight w:val="545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9319A" w14:textId="77777777" w:rsidR="005C4F09" w:rsidRDefault="005C4F0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 of “shall” vs. “will”</w:t>
            </w:r>
          </w:p>
        </w:tc>
        <w:tc>
          <w:tcPr>
            <w:tcW w:w="5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0A19B" w14:textId="77777777" w:rsidR="005C4F09" w:rsidRDefault="005C4F0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✔ “I shall go” for future; “will” implies intention</w:t>
            </w:r>
          </w:p>
        </w:tc>
      </w:tr>
    </w:tbl>
    <w:p w14:paraId="67E99E6D" w14:textId="77777777" w:rsidR="005C4F09" w:rsidRDefault="005C4F09">
      <w:r>
        <w:pict w14:anchorId="682FBFC4">
          <v:rect id="_x0000_i1028" style="width:0;height:1.5pt" o:hralign="center" o:hrstd="t" o:hr="t" fillcolor="#a0a0a0" stroked="f"/>
        </w:pict>
      </w:r>
    </w:p>
    <w:p w14:paraId="086FA566" w14:textId="77777777" w:rsidR="005C4F09" w:rsidRDefault="005C4F09">
      <w:pPr>
        <w:pStyle w:val="Heading2"/>
        <w:keepNext w:val="0"/>
        <w:keepLines w:val="0"/>
        <w:rPr>
          <w:b/>
          <w:sz w:val="34"/>
          <w:szCs w:val="34"/>
        </w:rPr>
      </w:pPr>
      <w:bookmarkStart w:id="5" w:name="_ito9aiypsdrm" w:colFirst="0" w:colLast="0"/>
      <w:bookmarkEnd w:id="5"/>
      <w:r>
        <w:rPr>
          <w:rFonts w:ascii="Arial Unicode MS" w:eastAsia="Arial Unicode MS" w:hAnsi="Arial Unicode MS" w:cs="Arial Unicode MS"/>
          <w:b/>
          <w:sz w:val="34"/>
          <w:szCs w:val="34"/>
        </w:rPr>
        <w:t>✅ Traditional Grammar vs. Other Types:</w:t>
      </w:r>
    </w:p>
    <w:p w14:paraId="3E28FFD0" w14:textId="77777777" w:rsidR="005C4F09" w:rsidRDefault="005C4F09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5EAAC86" w14:textId="77777777" w:rsidR="005C4F09" w:rsidRDefault="005C4F09">
      <w:r>
        <w:rPr>
          <w:noProof/>
        </w:rPr>
        <w:drawing>
          <wp:inline distT="114300" distB="114300" distL="114300" distR="114300" wp14:anchorId="3C8CAC3C" wp14:editId="7BB8555B">
            <wp:extent cx="5943600" cy="19304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4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60"/>
        <w:gridCol w:w="3530"/>
        <w:gridCol w:w="2450"/>
      </w:tblGrid>
      <w:tr w:rsidR="005C4F09" w14:paraId="73978114" w14:textId="77777777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E961FA" w14:textId="77777777" w:rsidR="005C4F09" w:rsidRDefault="005C4F0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090BB" w14:textId="77777777" w:rsidR="005C4F09" w:rsidRDefault="005C4F0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Focus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D38C3" w14:textId="77777777" w:rsidR="005C4F09" w:rsidRDefault="005C4F0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Approach</w:t>
            </w:r>
          </w:p>
        </w:tc>
      </w:tr>
      <w:tr w:rsidR="005C4F09" w14:paraId="13C05DFA" w14:textId="77777777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3FE038" w14:textId="77777777" w:rsidR="005C4F09" w:rsidRDefault="005C4F0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Traditional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972E0" w14:textId="77777777" w:rsidR="005C4F09" w:rsidRDefault="005C4F0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Rules, parts of speech, correctness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8CD7F" w14:textId="77777777" w:rsidR="005C4F09" w:rsidRDefault="005C4F0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Formal, based on Latin</w:t>
            </w:r>
          </w:p>
        </w:tc>
      </w:tr>
      <w:tr w:rsidR="005C4F09" w14:paraId="7A5AD18E" w14:textId="77777777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1F551" w14:textId="77777777" w:rsidR="005C4F09" w:rsidRDefault="005C4F0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Descriptive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D18CA" w14:textId="77777777" w:rsidR="005C4F09" w:rsidRDefault="005C4F0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How people actually use language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FCDA98" w14:textId="77777777" w:rsidR="005C4F09" w:rsidRDefault="005C4F0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Observational</w:t>
            </w:r>
          </w:p>
        </w:tc>
      </w:tr>
      <w:tr w:rsidR="005C4F09" w14:paraId="38C1A759" w14:textId="77777777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63AB6" w14:textId="77777777" w:rsidR="005C4F09" w:rsidRDefault="005C4F0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Prescriptive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710FE" w14:textId="77777777" w:rsidR="005C4F09" w:rsidRDefault="005C4F0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How people should use language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38E95" w14:textId="77777777" w:rsidR="005C4F09" w:rsidRDefault="005C4F0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Normative</w:t>
            </w:r>
          </w:p>
        </w:tc>
      </w:tr>
      <w:tr w:rsidR="005C4F09" w14:paraId="435F9528" w14:textId="77777777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DC42A" w14:textId="77777777" w:rsidR="005C4F09" w:rsidRDefault="005C4F0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Generative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B805B" w14:textId="77777777" w:rsidR="005C4F09" w:rsidRDefault="005C4F0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Mental rules and structures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82211" w14:textId="77777777" w:rsidR="005C4F09" w:rsidRDefault="005C4F0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Theoretical/analytical</w:t>
            </w:r>
          </w:p>
        </w:tc>
      </w:tr>
      <w:tr w:rsidR="005C4F09" w14:paraId="3AE076E6" w14:textId="77777777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9F519" w14:textId="77777777" w:rsidR="005C4F09" w:rsidRDefault="005C4F0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Functional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CAA8E" w14:textId="77777777" w:rsidR="005C4F09" w:rsidRDefault="005C4F0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Language in context and use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7E7B3" w14:textId="77777777" w:rsidR="005C4F09" w:rsidRDefault="005C4F0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Purpose-based</w:t>
            </w:r>
          </w:p>
        </w:tc>
      </w:tr>
    </w:tbl>
    <w:p w14:paraId="503E2A39" w14:textId="77777777" w:rsidR="005C4F09" w:rsidRDefault="005C4F09">
      <w:r>
        <w:pict w14:anchorId="0ADCBB24">
          <v:rect id="_x0000_i1029" style="width:0;height:1.5pt" o:hralign="center" o:hrstd="t" o:hr="t" fillcolor="#a0a0a0" stroked="f"/>
        </w:pict>
      </w:r>
    </w:p>
    <w:p w14:paraId="7BE6B049" w14:textId="77777777" w:rsidR="005C4F09" w:rsidRDefault="005C4F09">
      <w:pPr>
        <w:pStyle w:val="Heading2"/>
        <w:keepNext w:val="0"/>
        <w:keepLines w:val="0"/>
        <w:rPr>
          <w:b/>
          <w:sz w:val="34"/>
          <w:szCs w:val="34"/>
        </w:rPr>
      </w:pPr>
      <w:bookmarkStart w:id="6" w:name="_fkdmtuxdrzyf" w:colFirst="0" w:colLast="0"/>
      <w:bookmarkEnd w:id="6"/>
      <w:r>
        <w:rPr>
          <w:rFonts w:ascii="Arial Unicode MS" w:eastAsia="Arial Unicode MS" w:hAnsi="Arial Unicode MS" w:cs="Arial Unicode MS"/>
          <w:b/>
          <w:sz w:val="34"/>
          <w:szCs w:val="34"/>
        </w:rPr>
        <w:t>✅ Why Traditional Grammar Matters:</w:t>
      </w:r>
    </w:p>
    <w:p w14:paraId="5C05C9B8" w14:textId="77777777" w:rsidR="005C4F09" w:rsidRDefault="005C4F0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5187294" w14:textId="77777777" w:rsidR="005C4F09" w:rsidRDefault="005C4F09" w:rsidP="005C4F09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Serves as the </w:t>
      </w:r>
      <w:r>
        <w:rPr>
          <w:rFonts w:ascii="Roboto Mono" w:eastAsia="Roboto Mono" w:hAnsi="Roboto Mono" w:cs="Roboto Mono"/>
          <w:b/>
        </w:rPr>
        <w:t>foundation</w:t>
      </w:r>
      <w:r>
        <w:rPr>
          <w:rFonts w:ascii="Roboto Mono" w:eastAsia="Roboto Mono" w:hAnsi="Roboto Mono" w:cs="Roboto Mono"/>
        </w:rPr>
        <w:t xml:space="preserve"> of grammar instruction in schools</w:t>
      </w:r>
      <w:r>
        <w:rPr>
          <w:rFonts w:ascii="Roboto Mono" w:eastAsia="Roboto Mono" w:hAnsi="Roboto Mono" w:cs="Roboto Mono"/>
        </w:rPr>
        <w:br/>
      </w:r>
    </w:p>
    <w:p w14:paraId="75F096B1" w14:textId="77777777" w:rsidR="005C4F09" w:rsidRDefault="005C4F09" w:rsidP="005C4F09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Introduces </w:t>
      </w:r>
      <w:r>
        <w:rPr>
          <w:rFonts w:ascii="Roboto Mono" w:eastAsia="Roboto Mono" w:hAnsi="Roboto Mono" w:cs="Roboto Mono"/>
          <w:b/>
        </w:rPr>
        <w:t>clear, familiar terminology</w:t>
      </w:r>
      <w:r>
        <w:rPr>
          <w:rFonts w:ascii="Roboto Mono" w:eastAsia="Roboto Mono" w:hAnsi="Roboto Mono" w:cs="Roboto Mono"/>
        </w:rPr>
        <w:t xml:space="preserve"> (noun, verb, etc.)</w:t>
      </w:r>
      <w:r>
        <w:rPr>
          <w:rFonts w:ascii="Roboto Mono" w:eastAsia="Roboto Mono" w:hAnsi="Roboto Mono" w:cs="Roboto Mono"/>
        </w:rPr>
        <w:br/>
      </w:r>
    </w:p>
    <w:p w14:paraId="29D1F8F7" w14:textId="77777777" w:rsidR="005C4F09" w:rsidRDefault="005C4F09" w:rsidP="005C4F09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Useful for </w:t>
      </w:r>
      <w:r>
        <w:rPr>
          <w:rFonts w:ascii="Roboto Mono" w:eastAsia="Roboto Mono" w:hAnsi="Roboto Mono" w:cs="Roboto Mono"/>
          <w:b/>
        </w:rPr>
        <w:t>learning foreign languages</w:t>
      </w:r>
      <w:r>
        <w:rPr>
          <w:rFonts w:ascii="Roboto Mono" w:eastAsia="Roboto Mono" w:hAnsi="Roboto Mono" w:cs="Roboto Mono"/>
        </w:rPr>
        <w:t>, especially Latin-based ones</w:t>
      </w:r>
      <w:r>
        <w:rPr>
          <w:rFonts w:ascii="Roboto Mono" w:eastAsia="Roboto Mono" w:hAnsi="Roboto Mono" w:cs="Roboto Mono"/>
        </w:rPr>
        <w:br/>
      </w:r>
    </w:p>
    <w:p w14:paraId="7748EE86" w14:textId="77777777" w:rsidR="005C4F09" w:rsidRDefault="005C4F09" w:rsidP="005C4F09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Supports </w:t>
      </w:r>
      <w:r>
        <w:rPr>
          <w:rFonts w:ascii="Roboto Mono" w:eastAsia="Roboto Mono" w:hAnsi="Roboto Mono" w:cs="Roboto Mono"/>
          <w:b/>
        </w:rPr>
        <w:t>clear writing and sentence construction</w:t>
      </w:r>
    </w:p>
    <w:p w14:paraId="43F37FDE" w14:textId="77777777" w:rsidR="005C4F09" w:rsidRDefault="005C4F09">
      <w:r>
        <w:pict w14:anchorId="51040DFF">
          <v:rect id="_x0000_i1030" style="width:0;height:1.5pt" o:hralign="center" o:hrstd="t" o:hr="t" fillcolor="#a0a0a0" stroked="f"/>
        </w:pict>
      </w:r>
    </w:p>
    <w:p w14:paraId="6F7D44C8" w14:textId="77777777" w:rsidR="005C4F09" w:rsidRDefault="005C4F09">
      <w:pPr>
        <w:pStyle w:val="Heading2"/>
        <w:keepNext w:val="0"/>
        <w:keepLines w:val="0"/>
        <w:spacing w:before="280"/>
      </w:pPr>
      <w:bookmarkStart w:id="7" w:name="_6uv9654rlzzy" w:colFirst="0" w:colLast="0"/>
      <w:bookmarkEnd w:id="7"/>
      <w:r>
        <w:t>📝 Summary:</w:t>
      </w:r>
    </w:p>
    <w:p w14:paraId="33C4A465" w14:textId="77777777" w:rsidR="005C4F09" w:rsidRDefault="005C4F0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9E3745C" w14:textId="77777777" w:rsidR="005C4F09" w:rsidRDefault="005C4F09" w:rsidP="005C4F09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Traditional grammar</w:t>
      </w:r>
      <w:r>
        <w:rPr>
          <w:rFonts w:ascii="Roboto Mono" w:eastAsia="Roboto Mono" w:hAnsi="Roboto Mono" w:cs="Roboto Mono"/>
        </w:rPr>
        <w:t xml:space="preserve"> is the </w:t>
      </w:r>
      <w:r>
        <w:rPr>
          <w:rFonts w:ascii="Roboto Mono" w:eastAsia="Roboto Mono" w:hAnsi="Roboto Mono" w:cs="Roboto Mono"/>
          <w:b/>
        </w:rPr>
        <w:t>classical framework</w:t>
      </w:r>
      <w:r>
        <w:rPr>
          <w:rFonts w:ascii="Roboto Mono" w:eastAsia="Roboto Mono" w:hAnsi="Roboto Mono" w:cs="Roboto Mono"/>
        </w:rPr>
        <w:t xml:space="preserve"> of grammar rules and categories.</w:t>
      </w:r>
      <w:r>
        <w:rPr>
          <w:rFonts w:ascii="Roboto Mono" w:eastAsia="Roboto Mono" w:hAnsi="Roboto Mono" w:cs="Roboto Mono"/>
        </w:rPr>
        <w:br/>
      </w:r>
    </w:p>
    <w:p w14:paraId="45F3B3B4" w14:textId="77777777" w:rsidR="005C4F09" w:rsidRDefault="005C4F09" w:rsidP="005C4F09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Emphasizes </w:t>
      </w:r>
      <w:r>
        <w:rPr>
          <w:rFonts w:ascii="Roboto Mono" w:eastAsia="Roboto Mono" w:hAnsi="Roboto Mono" w:cs="Roboto Mono"/>
          <w:b/>
        </w:rPr>
        <w:t>parts of speech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sentence structure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proper usage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141E8C4" w14:textId="77777777" w:rsidR="005C4F09" w:rsidRDefault="005C4F09" w:rsidP="005C4F09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Influenced by </w:t>
      </w:r>
      <w:r>
        <w:rPr>
          <w:rFonts w:ascii="Roboto Mono" w:eastAsia="Roboto Mono" w:hAnsi="Roboto Mono" w:cs="Roboto Mono"/>
          <w:b/>
        </w:rPr>
        <w:t>Latin and Greek models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88B8204" w14:textId="77777777" w:rsidR="005C4F09" w:rsidRDefault="005C4F09" w:rsidP="005C4F09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Still widely used in </w:t>
      </w:r>
      <w:r>
        <w:rPr>
          <w:rFonts w:ascii="Roboto Mono" w:eastAsia="Roboto Mono" w:hAnsi="Roboto Mono" w:cs="Roboto Mono"/>
          <w:b/>
        </w:rPr>
        <w:t>education, grammar books, and standardized tests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B07B2FD" w14:textId="77777777" w:rsidR="005C4F09" w:rsidRDefault="005C4F09">
      <w:pPr>
        <w:spacing w:before="240" w:after="240"/>
      </w:pPr>
    </w:p>
    <w:p w14:paraId="616A5E16" w14:textId="77777777" w:rsidR="005C4F09" w:rsidRDefault="005C4F09"/>
    <w:p w14:paraId="5B72F48A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3D182E"/>
    <w:multiLevelType w:val="multilevel"/>
    <w:tmpl w:val="974496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A570992"/>
    <w:multiLevelType w:val="multilevel"/>
    <w:tmpl w:val="9912DB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04701797">
    <w:abstractNumId w:val="1"/>
  </w:num>
  <w:num w:numId="2" w16cid:durableId="1252158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F09"/>
    <w:rsid w:val="002D1F4F"/>
    <w:rsid w:val="005C4F09"/>
    <w:rsid w:val="00711B4D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A5C51"/>
  <w15:chartTrackingRefBased/>
  <w15:docId w15:val="{FEB44FEF-7504-4E4D-96E3-47F7D989E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4F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4F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4F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4F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4F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4F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4F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4F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4F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4F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4F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4F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4F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4F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4F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4F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4F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4F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4F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4F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4F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4F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4F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4F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4F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4F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4F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4F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4F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527</Words>
  <Characters>3010</Characters>
  <Application>Microsoft Office Word</Application>
  <DocSecurity>0</DocSecurity>
  <Lines>25</Lines>
  <Paragraphs>7</Paragraphs>
  <ScaleCrop>false</ScaleCrop>
  <Company/>
  <LinksUpToDate>false</LinksUpToDate>
  <CharactersWithSpaces>3530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2026-01-31T04:53:00Z</dcterms:created>
  <dcterms:modified xsi:type="dcterms:W3CDTF">2026-01-31T04:53:00Z</dcterms:modified>
</cp:coreProperties>
</file>