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34BB" w14:textId="47A5E109" w:rsidR="00A70480" w:rsidRDefault="00A85C5F" w:rsidP="00A85C5F">
      <w:pPr>
        <w:pStyle w:val="Heading1"/>
      </w:pPr>
      <w:r w:rsidRPr="00A85C5F">
        <w:t>CE Calendar (Common Era)</w:t>
      </w:r>
    </w:p>
    <w:p w14:paraId="32A759A1" w14:textId="5FC22B56" w:rsidR="00A85C5F" w:rsidRPr="00A85C5F" w:rsidRDefault="00A85C5F" w:rsidP="00A85C5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265445" w14:textId="77635DF9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drawing>
          <wp:inline distT="0" distB="0" distL="0" distR="0" wp14:anchorId="1CD7A6E6" wp14:editId="739540E0">
            <wp:extent cx="5943600" cy="3103880"/>
            <wp:effectExtent l="0" t="0" r="0" b="1270"/>
            <wp:docPr id="52089994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D2A7" w14:textId="3AD26415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drawing>
          <wp:inline distT="0" distB="0" distL="0" distR="0" wp14:anchorId="182A94AF" wp14:editId="162F9777">
            <wp:extent cx="5943600" cy="4457700"/>
            <wp:effectExtent l="0" t="0" r="0" b="0"/>
            <wp:docPr id="133991430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269C" w14:textId="727DEA84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drawing>
          <wp:inline distT="0" distB="0" distL="0" distR="0" wp14:anchorId="3496A9DC" wp14:editId="21DE98B6">
            <wp:extent cx="5486400" cy="8229600"/>
            <wp:effectExtent l="0" t="0" r="0" b="0"/>
            <wp:docPr id="191832745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15A0" w14:textId="65162296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drawing>
          <wp:inline distT="0" distB="0" distL="0" distR="0" wp14:anchorId="12FF1DD0" wp14:editId="13C76FBB">
            <wp:extent cx="5943600" cy="4457700"/>
            <wp:effectExtent l="0" t="0" r="0" b="0"/>
            <wp:docPr id="86000286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64A0" w14:textId="4E05271D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drawing>
          <wp:inline distT="0" distB="0" distL="0" distR="0" wp14:anchorId="60277393" wp14:editId="51E6E4A6">
            <wp:extent cx="5943600" cy="5943600"/>
            <wp:effectExtent l="0" t="0" r="0" b="0"/>
            <wp:docPr id="106331547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5598" w14:textId="7C2F2C3A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drawing>
          <wp:inline distT="0" distB="0" distL="0" distR="0" wp14:anchorId="6489C563" wp14:editId="0E660DE1">
            <wp:extent cx="5943600" cy="4754880"/>
            <wp:effectExtent l="0" t="0" r="0" b="7620"/>
            <wp:docPr id="8025034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91A4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</w:t>
      </w:r>
      <w:r w:rsidRPr="00A85C5F">
        <w:rPr>
          <w:rFonts w:ascii="Roboto Mono" w:hAnsi="Roboto Mono"/>
          <w:b/>
          <w:bCs/>
        </w:rPr>
        <w:t>CE Calendar</w:t>
      </w:r>
      <w:r w:rsidRPr="00A85C5F">
        <w:rPr>
          <w:rFonts w:ascii="Roboto Mono" w:hAnsi="Roboto Mono"/>
        </w:rPr>
        <w:t xml:space="preserve"> (</w:t>
      </w:r>
      <w:r w:rsidRPr="00A85C5F">
        <w:rPr>
          <w:rFonts w:ascii="Roboto Mono" w:hAnsi="Roboto Mono"/>
          <w:b/>
          <w:bCs/>
        </w:rPr>
        <w:t>Common Era</w:t>
      </w:r>
      <w:r w:rsidRPr="00A85C5F">
        <w:rPr>
          <w:rFonts w:ascii="Roboto Mono" w:hAnsi="Roboto Mono"/>
        </w:rPr>
        <w:t xml:space="preserve">) is the modern, secular year-numbering system used with the </w:t>
      </w:r>
      <w:r w:rsidRPr="00A85C5F">
        <w:rPr>
          <w:rFonts w:ascii="Roboto Mono" w:hAnsi="Roboto Mono"/>
          <w:b/>
          <w:bCs/>
        </w:rPr>
        <w:t>Gregorian Calendar</w:t>
      </w:r>
      <w:r w:rsidRPr="00A85C5F">
        <w:rPr>
          <w:rFonts w:ascii="Roboto Mono" w:hAnsi="Roboto Mono"/>
        </w:rPr>
        <w:t xml:space="preserve">. It uses the </w:t>
      </w:r>
      <w:r w:rsidRPr="00A85C5F">
        <w:rPr>
          <w:rFonts w:ascii="Roboto Mono" w:hAnsi="Roboto Mono"/>
          <w:b/>
          <w:bCs/>
        </w:rPr>
        <w:t>same year numbers</w:t>
      </w:r>
      <w:r w:rsidRPr="00A85C5F">
        <w:rPr>
          <w:rFonts w:ascii="Roboto Mono" w:hAnsi="Roboto Mono"/>
        </w:rPr>
        <w:t xml:space="preserve"> as the traditional </w:t>
      </w:r>
      <w:r w:rsidRPr="00A85C5F">
        <w:rPr>
          <w:rFonts w:ascii="Roboto Mono" w:hAnsi="Roboto Mono"/>
          <w:b/>
          <w:bCs/>
        </w:rPr>
        <w:t>AD (Anno Domini)</w:t>
      </w:r>
      <w:r w:rsidRPr="00A85C5F">
        <w:rPr>
          <w:rFonts w:ascii="Roboto Mono" w:hAnsi="Roboto Mono"/>
        </w:rPr>
        <w:t xml:space="preserve"> system but avoids religious terminology.</w:t>
      </w:r>
    </w:p>
    <w:p w14:paraId="749A304B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Today, </w:t>
      </w: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 xml:space="preserve"> is widely used in:</w:t>
      </w:r>
    </w:p>
    <w:p w14:paraId="5A3BA6C7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Education</w:t>
      </w:r>
    </w:p>
    <w:p w14:paraId="3D7A121C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Science</w:t>
      </w:r>
    </w:p>
    <w:p w14:paraId="0F1592A4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Archaeology</w:t>
      </w:r>
    </w:p>
    <w:p w14:paraId="49A76895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History</w:t>
      </w:r>
    </w:p>
    <w:p w14:paraId="3663EF26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International publications</w:t>
      </w:r>
    </w:p>
    <w:p w14:paraId="32DA6889" w14:textId="77777777" w:rsidR="00A85C5F" w:rsidRPr="00A85C5F" w:rsidRDefault="00A85C5F" w:rsidP="00A85C5F">
      <w:pPr>
        <w:numPr>
          <w:ilvl w:val="0"/>
          <w:numId w:val="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Academic research</w:t>
      </w:r>
    </w:p>
    <w:p w14:paraId="7FE9208A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pict w14:anchorId="146651E4">
          <v:rect id="_x0000_i1151" style="width:0;height:1.5pt" o:hralign="center" o:hrstd="t" o:hr="t" fillcolor="#a0a0a0" stroked="f"/>
        </w:pict>
      </w:r>
    </w:p>
    <w:p w14:paraId="2D9246FE" w14:textId="77777777" w:rsidR="00A85C5F" w:rsidRDefault="00A85C5F" w:rsidP="00A85C5F">
      <w:pPr>
        <w:pStyle w:val="Heading2"/>
      </w:pPr>
      <w:r w:rsidRPr="00A85C5F">
        <w:t>Definition</w:t>
      </w:r>
    </w:p>
    <w:p w14:paraId="7AA85C95" w14:textId="27F4C581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BA57A9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The Common Era (CE) is a year-numbering system that uses the same numbering as the AD system while employing non-religious terminology.</w:t>
      </w:r>
    </w:p>
    <w:p w14:paraId="0AC1E2FD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For example:</w:t>
      </w:r>
    </w:p>
    <w:p w14:paraId="4B2DA94D" w14:textId="77777777" w:rsidR="00A85C5F" w:rsidRPr="00A85C5F" w:rsidRDefault="00A85C5F" w:rsidP="00A85C5F">
      <w:pPr>
        <w:numPr>
          <w:ilvl w:val="0"/>
          <w:numId w:val="2"/>
        </w:num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2026 CE</w:t>
      </w:r>
      <w:r w:rsidRPr="00A85C5F">
        <w:rPr>
          <w:rFonts w:ascii="Roboto Mono" w:hAnsi="Roboto Mono"/>
        </w:rPr>
        <w:t xml:space="preserve"> is exactly the same year as </w:t>
      </w:r>
      <w:r w:rsidRPr="00A85C5F">
        <w:rPr>
          <w:rFonts w:ascii="Roboto Mono" w:hAnsi="Roboto Mono"/>
          <w:b/>
          <w:bCs/>
        </w:rPr>
        <w:t>AD 2026</w:t>
      </w:r>
      <w:r w:rsidRPr="00A85C5F">
        <w:rPr>
          <w:rFonts w:ascii="Roboto Mono" w:hAnsi="Roboto Mono"/>
        </w:rPr>
        <w:t>.</w:t>
      </w:r>
    </w:p>
    <w:p w14:paraId="31C4BAF3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34605306">
          <v:rect id="_x0000_i1152" style="width:0;height:1.5pt" o:hralign="center" o:hrstd="t" o:hr="t" fillcolor="#a0a0a0" stroked="f"/>
        </w:pict>
      </w:r>
    </w:p>
    <w:p w14:paraId="6344DD28" w14:textId="77777777" w:rsidR="00A85C5F" w:rsidRDefault="00A85C5F" w:rsidP="00A85C5F">
      <w:pPr>
        <w:pStyle w:val="Heading2"/>
      </w:pPr>
      <w:r w:rsidRPr="00A85C5F">
        <w:t>Meaning of CE</w:t>
      </w:r>
    </w:p>
    <w:p w14:paraId="265A5B4A" w14:textId="736CE246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E54269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 xml:space="preserve"> stands for:</w:t>
      </w:r>
    </w:p>
    <w:p w14:paraId="6D31B226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Common Era</w:t>
      </w:r>
    </w:p>
    <w:p w14:paraId="268C4D3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It is paired with:</w:t>
      </w:r>
    </w:p>
    <w:p w14:paraId="6F7C4406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BCE</w:t>
      </w:r>
      <w:r w:rsidRPr="00A85C5F">
        <w:rPr>
          <w:rFonts w:ascii="Roboto Mono" w:hAnsi="Roboto Mono"/>
        </w:rPr>
        <w:t xml:space="preserve"> — </w:t>
      </w:r>
      <w:r w:rsidRPr="00A85C5F">
        <w:rPr>
          <w:rFonts w:ascii="Roboto Mono" w:hAnsi="Roboto Mono"/>
          <w:b/>
          <w:bCs/>
        </w:rPr>
        <w:t>Before Common Era</w:t>
      </w:r>
    </w:p>
    <w:p w14:paraId="0D4A87BA" w14:textId="77777777" w:rsid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Together they replace the traditional terms:</w:t>
      </w:r>
    </w:p>
    <w:p w14:paraId="026C545B" w14:textId="4AEEAA85" w:rsidR="00A85C5F" w:rsidRPr="00A85C5F" w:rsidRDefault="00A85C5F" w:rsidP="00A85C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05C3B4" wp14:editId="2DE5547C">
            <wp:extent cx="5943600" cy="884555"/>
            <wp:effectExtent l="0" t="0" r="0" b="0"/>
            <wp:docPr id="351529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A85C5F" w:rsidRPr="00A85C5F" w14:paraId="5F57A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5B39F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008DEC9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Modern Equivalent</w:t>
            </w:r>
          </w:p>
        </w:tc>
      </w:tr>
      <w:tr w:rsidR="00A85C5F" w:rsidRPr="00A85C5F" w14:paraId="42AB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ABF9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43C0488C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BCE</w:t>
            </w:r>
          </w:p>
        </w:tc>
      </w:tr>
      <w:tr w:rsidR="00A85C5F" w:rsidRPr="00A85C5F" w14:paraId="7B055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12A3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3ADAE80F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CE</w:t>
            </w:r>
          </w:p>
        </w:tc>
      </w:tr>
    </w:tbl>
    <w:p w14:paraId="15DD034D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year numbers remain </w:t>
      </w:r>
      <w:r w:rsidRPr="00A85C5F">
        <w:rPr>
          <w:rFonts w:ascii="Roboto Mono" w:hAnsi="Roboto Mono"/>
          <w:b/>
          <w:bCs/>
        </w:rPr>
        <w:t>identical</w:t>
      </w:r>
      <w:r w:rsidRPr="00A85C5F">
        <w:rPr>
          <w:rFonts w:ascii="Roboto Mono" w:hAnsi="Roboto Mono"/>
        </w:rPr>
        <w:t>.</w:t>
      </w:r>
    </w:p>
    <w:p w14:paraId="5AD46F1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6E5DD3AF">
          <v:rect id="_x0000_i1153" style="width:0;height:1.5pt" o:hralign="center" o:hrstd="t" o:hr="t" fillcolor="#a0a0a0" stroked="f"/>
        </w:pict>
      </w:r>
    </w:p>
    <w:p w14:paraId="22B7E369" w14:textId="77777777" w:rsidR="00A85C5F" w:rsidRDefault="00A85C5F" w:rsidP="00A85C5F">
      <w:pPr>
        <w:pStyle w:val="Heading2"/>
      </w:pPr>
      <w:r w:rsidRPr="00A85C5F">
        <w:lastRenderedPageBreak/>
        <w:t>Historical Background</w:t>
      </w:r>
    </w:p>
    <w:p w14:paraId="5F69ED50" w14:textId="7DC1FAB0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9C033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concept of using neutral terminology became increasingly common during the </w:t>
      </w:r>
      <w:r w:rsidRPr="00A85C5F">
        <w:rPr>
          <w:rFonts w:ascii="Roboto Mono" w:hAnsi="Roboto Mono"/>
          <w:b/>
          <w:bCs/>
        </w:rPr>
        <w:t>18th and 19th centuries</w:t>
      </w:r>
      <w:r w:rsidRPr="00A85C5F">
        <w:rPr>
          <w:rFonts w:ascii="Roboto Mono" w:hAnsi="Roboto Mono"/>
        </w:rPr>
        <w:t>, especially among historians and scholars.</w:t>
      </w:r>
    </w:p>
    <w:p w14:paraId="13354209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widespread adoption of </w:t>
      </w:r>
      <w:r w:rsidRPr="00A85C5F">
        <w:rPr>
          <w:rFonts w:ascii="Roboto Mono" w:hAnsi="Roboto Mono"/>
          <w:b/>
          <w:bCs/>
        </w:rPr>
        <w:t>CE/BCE</w:t>
      </w:r>
      <w:r w:rsidRPr="00A85C5F">
        <w:rPr>
          <w:rFonts w:ascii="Roboto Mono" w:hAnsi="Roboto Mono"/>
        </w:rPr>
        <w:t xml:space="preserve"> aims to provide terminology that can be used universally regardless of religious background.</w:t>
      </w:r>
    </w:p>
    <w:p w14:paraId="7D3304F2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208EDDDB">
          <v:rect id="_x0000_i1154" style="width:0;height:1.5pt" o:hralign="center" o:hrstd="t" o:hr="t" fillcolor="#a0a0a0" stroked="f"/>
        </w:pict>
      </w:r>
    </w:p>
    <w:p w14:paraId="2951A22A" w14:textId="77777777" w:rsidR="00A85C5F" w:rsidRDefault="00A85C5F" w:rsidP="00A85C5F">
      <w:pPr>
        <w:pStyle w:val="Heading2"/>
      </w:pPr>
      <w:r w:rsidRPr="00A85C5F">
        <w:t>Relationship to AD</w:t>
      </w:r>
    </w:p>
    <w:p w14:paraId="0D5B41A3" w14:textId="00F1C197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C6EE9D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CE system is </w:t>
      </w:r>
      <w:r w:rsidRPr="00A85C5F">
        <w:rPr>
          <w:rFonts w:ascii="Roboto Mono" w:hAnsi="Roboto Mono"/>
          <w:b/>
          <w:bCs/>
        </w:rPr>
        <w:t>not a different calendar</w:t>
      </w:r>
      <w:r w:rsidRPr="00A85C5F">
        <w:rPr>
          <w:rFonts w:ascii="Roboto Mono" w:hAnsi="Roboto Mono"/>
        </w:rPr>
        <w:t>.</w:t>
      </w:r>
    </w:p>
    <w:p w14:paraId="59BCD034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It uses:</w:t>
      </w:r>
    </w:p>
    <w:p w14:paraId="3B8C4C8F" w14:textId="77777777" w:rsidR="00A85C5F" w:rsidRPr="00A85C5F" w:rsidRDefault="00A85C5F" w:rsidP="00A85C5F">
      <w:pPr>
        <w:numPr>
          <w:ilvl w:val="0"/>
          <w:numId w:val="3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The same years</w:t>
      </w:r>
    </w:p>
    <w:p w14:paraId="1061D27C" w14:textId="77777777" w:rsidR="00A85C5F" w:rsidRPr="00A85C5F" w:rsidRDefault="00A85C5F" w:rsidP="00A85C5F">
      <w:pPr>
        <w:numPr>
          <w:ilvl w:val="0"/>
          <w:numId w:val="3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The same months</w:t>
      </w:r>
    </w:p>
    <w:p w14:paraId="13D48BEF" w14:textId="77777777" w:rsidR="00A85C5F" w:rsidRPr="00A85C5F" w:rsidRDefault="00A85C5F" w:rsidP="00A85C5F">
      <w:pPr>
        <w:numPr>
          <w:ilvl w:val="0"/>
          <w:numId w:val="3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The same leap-year rules</w:t>
      </w:r>
    </w:p>
    <w:p w14:paraId="5C08FBBB" w14:textId="77777777" w:rsidR="00A85C5F" w:rsidRPr="00A85C5F" w:rsidRDefault="00A85C5F" w:rsidP="00A85C5F">
      <w:pPr>
        <w:numPr>
          <w:ilvl w:val="0"/>
          <w:numId w:val="3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The same Gregorian Calendar</w:t>
      </w:r>
    </w:p>
    <w:p w14:paraId="5FAE1FB4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Only the names change.</w:t>
      </w:r>
    </w:p>
    <w:p w14:paraId="36033660" w14:textId="77777777" w:rsid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Examples:</w:t>
      </w:r>
    </w:p>
    <w:p w14:paraId="1684B425" w14:textId="76D4A3F0" w:rsidR="00610887" w:rsidRPr="00A85C5F" w:rsidRDefault="00610887" w:rsidP="00A85C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F2437" wp14:editId="13CC3889">
            <wp:extent cx="5943600" cy="1189990"/>
            <wp:effectExtent l="0" t="0" r="0" b="0"/>
            <wp:docPr id="417868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84"/>
      </w:tblGrid>
      <w:tr w:rsidR="00A85C5F" w:rsidRPr="00A85C5F" w14:paraId="6B1E2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CFA0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0EAF034C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CE</w:t>
            </w:r>
          </w:p>
        </w:tc>
      </w:tr>
      <w:tr w:rsidR="00A85C5F" w:rsidRPr="00A85C5F" w14:paraId="469D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1B29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AD 1</w:t>
            </w:r>
          </w:p>
        </w:tc>
        <w:tc>
          <w:tcPr>
            <w:tcW w:w="0" w:type="auto"/>
            <w:vAlign w:val="center"/>
            <w:hideMark/>
          </w:tcPr>
          <w:p w14:paraId="0D02FC7E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1 CE</w:t>
            </w:r>
          </w:p>
        </w:tc>
      </w:tr>
      <w:tr w:rsidR="00A85C5F" w:rsidRPr="00A85C5F" w14:paraId="413E2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DD21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lastRenderedPageBreak/>
              <w:t>AD 1066</w:t>
            </w:r>
          </w:p>
        </w:tc>
        <w:tc>
          <w:tcPr>
            <w:tcW w:w="0" w:type="auto"/>
            <w:vAlign w:val="center"/>
            <w:hideMark/>
          </w:tcPr>
          <w:p w14:paraId="223408B1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1066 CE</w:t>
            </w:r>
          </w:p>
        </w:tc>
      </w:tr>
      <w:tr w:rsidR="00A85C5F" w:rsidRPr="00A85C5F" w14:paraId="33F2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690B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AD 2026</w:t>
            </w:r>
          </w:p>
        </w:tc>
        <w:tc>
          <w:tcPr>
            <w:tcW w:w="0" w:type="auto"/>
            <w:vAlign w:val="center"/>
            <w:hideMark/>
          </w:tcPr>
          <w:p w14:paraId="35E882E5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2026 CE</w:t>
            </w:r>
          </w:p>
        </w:tc>
      </w:tr>
    </w:tbl>
    <w:p w14:paraId="7240966D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23E1E903">
          <v:rect id="_x0000_i1155" style="width:0;height:1.5pt" o:hralign="center" o:hrstd="t" o:hr="t" fillcolor="#a0a0a0" stroked="f"/>
        </w:pict>
      </w:r>
    </w:p>
    <w:p w14:paraId="32D7B7EE" w14:textId="77777777" w:rsidR="00A85C5F" w:rsidRDefault="00A85C5F" w:rsidP="00A85C5F">
      <w:pPr>
        <w:pStyle w:val="Heading2"/>
      </w:pPr>
      <w:r w:rsidRPr="00A85C5F">
        <w:t>Relationship to BCE</w:t>
      </w:r>
    </w:p>
    <w:p w14:paraId="3D59F17F" w14:textId="3E925D4B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B7E155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Years before the Common Era are labeled:</w:t>
      </w:r>
    </w:p>
    <w:p w14:paraId="614C3260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BCE (Before Common Era)</w:t>
      </w:r>
    </w:p>
    <w:p w14:paraId="43356511" w14:textId="77777777" w:rsid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Example timeline:</w:t>
      </w:r>
    </w:p>
    <w:p w14:paraId="0A74ABEE" w14:textId="32F4F200" w:rsidR="009C65F4" w:rsidRPr="00A85C5F" w:rsidRDefault="009C65F4" w:rsidP="00A85C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19193" wp14:editId="0992482B">
            <wp:extent cx="5943600" cy="353695"/>
            <wp:effectExtent l="0" t="0" r="0" b="8255"/>
            <wp:docPr id="1582649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0EF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2 BCE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1 BCE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1 CE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2 CE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3 CE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... </w:t>
      </w:r>
      <w:r w:rsidRPr="00A85C5F">
        <w:rPr>
          <w:rFonts w:ascii="Arial" w:hAnsi="Arial" w:cs="Arial"/>
        </w:rPr>
        <w:t>→</w:t>
      </w:r>
      <w:r w:rsidRPr="00A85C5F">
        <w:rPr>
          <w:rFonts w:ascii="Roboto Mono" w:hAnsi="Roboto Mono"/>
        </w:rPr>
        <w:t xml:space="preserve"> 2026 CE</w:t>
      </w:r>
    </w:p>
    <w:p w14:paraId="431333F7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2CB4D263">
          <v:rect id="_x0000_i1156" style="width:0;height:1.5pt" o:hralign="center" o:hrstd="t" o:hr="t" fillcolor="#a0a0a0" stroked="f"/>
        </w:pict>
      </w:r>
    </w:p>
    <w:p w14:paraId="52BD50CA" w14:textId="77777777" w:rsidR="00A85C5F" w:rsidRDefault="00A85C5F" w:rsidP="00A85C5F">
      <w:pPr>
        <w:pStyle w:val="Heading2"/>
      </w:pPr>
      <w:r w:rsidRPr="00A85C5F">
        <w:t>No Year Zero</w:t>
      </w:r>
    </w:p>
    <w:p w14:paraId="58807A2D" w14:textId="53DC0250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D128DA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Like the AD system, the CE system has:</w:t>
      </w:r>
    </w:p>
    <w:p w14:paraId="4A191A5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No Year 0</w:t>
      </w:r>
    </w:p>
    <w:p w14:paraId="40158CEC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 sequence is:</w:t>
      </w:r>
    </w:p>
    <w:p w14:paraId="15CC0E7B" w14:textId="77777777" w:rsidR="00A85C5F" w:rsidRPr="00A85C5F" w:rsidRDefault="00A85C5F" w:rsidP="00A85C5F">
      <w:pPr>
        <w:numPr>
          <w:ilvl w:val="0"/>
          <w:numId w:val="4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2 BCE</w:t>
      </w:r>
    </w:p>
    <w:p w14:paraId="505448DE" w14:textId="77777777" w:rsidR="00A85C5F" w:rsidRPr="00A85C5F" w:rsidRDefault="00A85C5F" w:rsidP="00A85C5F">
      <w:pPr>
        <w:numPr>
          <w:ilvl w:val="0"/>
          <w:numId w:val="4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1 BCE</w:t>
      </w:r>
    </w:p>
    <w:p w14:paraId="4C7C51BA" w14:textId="77777777" w:rsidR="00A85C5F" w:rsidRPr="00A85C5F" w:rsidRDefault="00A85C5F" w:rsidP="00A85C5F">
      <w:pPr>
        <w:numPr>
          <w:ilvl w:val="0"/>
          <w:numId w:val="4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1 CE</w:t>
      </w:r>
    </w:p>
    <w:p w14:paraId="585827AF" w14:textId="77777777" w:rsidR="00A85C5F" w:rsidRPr="00A85C5F" w:rsidRDefault="00A85C5F" w:rsidP="00A85C5F">
      <w:pPr>
        <w:numPr>
          <w:ilvl w:val="0"/>
          <w:numId w:val="4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2 CE</w:t>
      </w:r>
    </w:p>
    <w:p w14:paraId="48F7399E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2FF7DF95">
          <v:rect id="_x0000_i1157" style="width:0;height:1.5pt" o:hralign="center" o:hrstd="t" o:hr="t" fillcolor="#a0a0a0" stroked="f"/>
        </w:pict>
      </w:r>
    </w:p>
    <w:p w14:paraId="4F6A4275" w14:textId="77777777" w:rsidR="00A85C5F" w:rsidRDefault="00A85C5F" w:rsidP="00A85C5F">
      <w:pPr>
        <w:pStyle w:val="Heading2"/>
      </w:pPr>
      <w:r w:rsidRPr="00A85C5F">
        <w:lastRenderedPageBreak/>
        <w:t>Calendar Used</w:t>
      </w:r>
    </w:p>
    <w:p w14:paraId="624B8A32" w14:textId="070188FE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845719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 CE year-numbering system is primarily used with the:</w:t>
      </w:r>
    </w:p>
    <w:p w14:paraId="020E36B3" w14:textId="77777777" w:rsidR="00A85C5F" w:rsidRPr="00A85C5F" w:rsidRDefault="00A85C5F" w:rsidP="00A85C5F">
      <w:pPr>
        <w:numPr>
          <w:ilvl w:val="0"/>
          <w:numId w:val="5"/>
        </w:num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Gregorian Calendar</w:t>
      </w:r>
    </w:p>
    <w:p w14:paraId="7655119E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Historically, it can also be applied when discussing dates in the </w:t>
      </w:r>
      <w:r w:rsidRPr="00A85C5F">
        <w:rPr>
          <w:rFonts w:ascii="Roboto Mono" w:hAnsi="Roboto Mono"/>
          <w:b/>
          <w:bCs/>
        </w:rPr>
        <w:t>Julian Calendar</w:t>
      </w:r>
      <w:r w:rsidRPr="00A85C5F">
        <w:rPr>
          <w:rFonts w:ascii="Roboto Mono" w:hAnsi="Roboto Mono"/>
        </w:rPr>
        <w:t>, provided the calendar is clearly identified.</w:t>
      </w:r>
    </w:p>
    <w:p w14:paraId="3891DB21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534912C5">
          <v:rect id="_x0000_i1158" style="width:0;height:1.5pt" o:hralign="center" o:hrstd="t" o:hr="t" fillcolor="#a0a0a0" stroked="f"/>
        </w:pict>
      </w:r>
    </w:p>
    <w:p w14:paraId="4E904DCA" w14:textId="77777777" w:rsidR="00A85C5F" w:rsidRDefault="00A85C5F" w:rsidP="00A85C5F">
      <w:pPr>
        <w:pStyle w:val="Heading2"/>
      </w:pPr>
      <w:r w:rsidRPr="00A85C5F">
        <w:t>Applications</w:t>
      </w:r>
    </w:p>
    <w:p w14:paraId="7A3A10DF" w14:textId="20A6360C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051F31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 CE system is widely used in:</w:t>
      </w:r>
    </w:p>
    <w:p w14:paraId="0C8A685B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Schools and universities</w:t>
      </w:r>
    </w:p>
    <w:p w14:paraId="34D21E76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Scientific journals</w:t>
      </w:r>
    </w:p>
    <w:p w14:paraId="7BE75F91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Archaeology</w:t>
      </w:r>
    </w:p>
    <w:p w14:paraId="764A418C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Museums</w:t>
      </w:r>
    </w:p>
    <w:p w14:paraId="19C18C13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Historical publications</w:t>
      </w:r>
    </w:p>
    <w:p w14:paraId="31278441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International organizations</w:t>
      </w:r>
    </w:p>
    <w:p w14:paraId="540972CD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Government documents</w:t>
      </w:r>
    </w:p>
    <w:p w14:paraId="0985FD5D" w14:textId="77777777" w:rsidR="00A85C5F" w:rsidRPr="00A85C5F" w:rsidRDefault="00A85C5F" w:rsidP="00A85C5F">
      <w:pPr>
        <w:numPr>
          <w:ilvl w:val="0"/>
          <w:numId w:val="6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Academic writing</w:t>
      </w:r>
    </w:p>
    <w:p w14:paraId="745598EC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3561FFE3">
          <v:rect id="_x0000_i1159" style="width:0;height:1.5pt" o:hralign="center" o:hrstd="t" o:hr="t" fillcolor="#a0a0a0" stroked="f"/>
        </w:pict>
      </w:r>
    </w:p>
    <w:p w14:paraId="12D88229" w14:textId="77777777" w:rsidR="00A85C5F" w:rsidRDefault="00A85C5F" w:rsidP="00A85C5F">
      <w:pPr>
        <w:pStyle w:val="Heading2"/>
      </w:pPr>
      <w:r w:rsidRPr="00A85C5F">
        <w:t>Advantages</w:t>
      </w:r>
    </w:p>
    <w:p w14:paraId="21F9E173" w14:textId="0A4ACB6D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060C14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 CE system:</w:t>
      </w:r>
    </w:p>
    <w:p w14:paraId="5E0A230C" w14:textId="77777777" w:rsidR="00A85C5F" w:rsidRPr="00A85C5F" w:rsidRDefault="00A85C5F" w:rsidP="00A85C5F">
      <w:pPr>
        <w:numPr>
          <w:ilvl w:val="0"/>
          <w:numId w:val="7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Uses internationally neutral terminology.</w:t>
      </w:r>
    </w:p>
    <w:p w14:paraId="45EF5DA6" w14:textId="77777777" w:rsidR="00A85C5F" w:rsidRPr="00A85C5F" w:rsidRDefault="00A85C5F" w:rsidP="00A85C5F">
      <w:pPr>
        <w:numPr>
          <w:ilvl w:val="0"/>
          <w:numId w:val="7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t>Retains compatibility with the AD numbering system.</w:t>
      </w:r>
    </w:p>
    <w:p w14:paraId="0AE87E6D" w14:textId="77777777" w:rsidR="00A85C5F" w:rsidRPr="00A85C5F" w:rsidRDefault="00A85C5F" w:rsidP="00A85C5F">
      <w:pPr>
        <w:numPr>
          <w:ilvl w:val="0"/>
          <w:numId w:val="7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Avoids religious wording.</w:t>
      </w:r>
    </w:p>
    <w:p w14:paraId="1446DC44" w14:textId="77777777" w:rsidR="00A85C5F" w:rsidRPr="00A85C5F" w:rsidRDefault="00A85C5F" w:rsidP="00A85C5F">
      <w:pPr>
        <w:numPr>
          <w:ilvl w:val="0"/>
          <w:numId w:val="7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Is widely accepted in multicultural and international contexts.</w:t>
      </w:r>
    </w:p>
    <w:p w14:paraId="7D7CC6C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0BA265A9">
          <v:rect id="_x0000_i1160" style="width:0;height:1.5pt" o:hralign="center" o:hrstd="t" o:hr="t" fillcolor="#a0a0a0" stroked="f"/>
        </w:pict>
      </w:r>
    </w:p>
    <w:p w14:paraId="36E3F68D" w14:textId="77777777" w:rsidR="00A85C5F" w:rsidRDefault="00A85C5F" w:rsidP="00A85C5F">
      <w:pPr>
        <w:pStyle w:val="Heading2"/>
      </w:pPr>
      <w:r w:rsidRPr="00A85C5F">
        <w:t>Limitations</w:t>
      </w:r>
    </w:p>
    <w:p w14:paraId="47C2E2F8" w14:textId="1A8A2787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7642BB" w14:textId="77777777" w:rsidR="00A85C5F" w:rsidRPr="00A85C5F" w:rsidRDefault="00A85C5F" w:rsidP="00A85C5F">
      <w:pPr>
        <w:numPr>
          <w:ilvl w:val="0"/>
          <w:numId w:val="8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Some historical and religious documents continue to use </w:t>
      </w:r>
      <w:r w:rsidRPr="00A85C5F">
        <w:rPr>
          <w:rFonts w:ascii="Roboto Mono" w:hAnsi="Roboto Mono"/>
          <w:b/>
          <w:bCs/>
        </w:rPr>
        <w:t>AD/BC</w:t>
      </w:r>
      <w:r w:rsidRPr="00A85C5F">
        <w:rPr>
          <w:rFonts w:ascii="Roboto Mono" w:hAnsi="Roboto Mono"/>
        </w:rPr>
        <w:t>.</w:t>
      </w:r>
    </w:p>
    <w:p w14:paraId="6DEAF305" w14:textId="77777777" w:rsidR="00A85C5F" w:rsidRPr="00A85C5F" w:rsidRDefault="00A85C5F" w:rsidP="00A85C5F">
      <w:pPr>
        <w:numPr>
          <w:ilvl w:val="0"/>
          <w:numId w:val="8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Readers unfamiliar with CE/BCE may initially confuse the abbreviations.</w:t>
      </w:r>
    </w:p>
    <w:p w14:paraId="697A0704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7022AEBA">
          <v:rect id="_x0000_i1161" style="width:0;height:1.5pt" o:hralign="center" o:hrstd="t" o:hr="t" fillcolor="#a0a0a0" stroked="f"/>
        </w:pict>
      </w:r>
    </w:p>
    <w:p w14:paraId="096C1C91" w14:textId="77777777" w:rsidR="00A85C5F" w:rsidRDefault="00A85C5F" w:rsidP="00A85C5F">
      <w:pPr>
        <w:pStyle w:val="Heading2"/>
      </w:pPr>
      <w:r w:rsidRPr="00A85C5F">
        <w:t>Common Mistakes</w:t>
      </w:r>
    </w:p>
    <w:p w14:paraId="755184C4" w14:textId="535F3AE7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90A0AC" w14:textId="77777777" w:rsidR="00A85C5F" w:rsidRPr="00A85C5F" w:rsidRDefault="00A85C5F" w:rsidP="00A85C5F">
      <w:pPr>
        <w:numPr>
          <w:ilvl w:val="0"/>
          <w:numId w:val="9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Thinking </w:t>
      </w: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 xml:space="preserve"> represents a different calendar from AD.</w:t>
      </w:r>
    </w:p>
    <w:p w14:paraId="2E70B097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It does </w:t>
      </w:r>
      <w:r w:rsidRPr="00A85C5F">
        <w:rPr>
          <w:rFonts w:ascii="Roboto Mono" w:hAnsi="Roboto Mono"/>
          <w:b/>
          <w:bCs/>
        </w:rPr>
        <w:t>not</w:t>
      </w:r>
      <w:r w:rsidRPr="00A85C5F">
        <w:rPr>
          <w:rFonts w:ascii="Roboto Mono" w:hAnsi="Roboto Mono"/>
        </w:rPr>
        <w:t>.</w:t>
      </w:r>
    </w:p>
    <w:p w14:paraId="34335CFC" w14:textId="77777777" w:rsidR="00A85C5F" w:rsidRPr="00A85C5F" w:rsidRDefault="00A85C5F" w:rsidP="00A85C5F">
      <w:pPr>
        <w:numPr>
          <w:ilvl w:val="0"/>
          <w:numId w:val="9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Assuming the year numbers change.</w:t>
      </w:r>
    </w:p>
    <w:p w14:paraId="3182F801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They remain exactly the same.</w:t>
      </w:r>
    </w:p>
    <w:p w14:paraId="08710AA5" w14:textId="77777777" w:rsidR="00A85C5F" w:rsidRPr="00A85C5F" w:rsidRDefault="00A85C5F" w:rsidP="00A85C5F">
      <w:pPr>
        <w:numPr>
          <w:ilvl w:val="0"/>
          <w:numId w:val="9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Believing there is a </w:t>
      </w:r>
      <w:r w:rsidRPr="00A85C5F">
        <w:rPr>
          <w:rFonts w:ascii="Roboto Mono" w:hAnsi="Roboto Mono"/>
          <w:b/>
          <w:bCs/>
        </w:rPr>
        <w:t>Year 0</w:t>
      </w:r>
      <w:r w:rsidRPr="00A85C5F">
        <w:rPr>
          <w:rFonts w:ascii="Roboto Mono" w:hAnsi="Roboto Mono"/>
        </w:rPr>
        <w:t>.</w:t>
      </w:r>
    </w:p>
    <w:p w14:paraId="73B20BF8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>There is not.</w:t>
      </w:r>
    </w:p>
    <w:p w14:paraId="1082137F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7D960775">
          <v:rect id="_x0000_i1162" style="width:0;height:1.5pt" o:hralign="center" o:hrstd="t" o:hr="t" fillcolor="#a0a0a0" stroked="f"/>
        </w:pict>
      </w:r>
    </w:p>
    <w:p w14:paraId="69329FEA" w14:textId="77777777" w:rsidR="00A85C5F" w:rsidRDefault="00A85C5F" w:rsidP="00A85C5F">
      <w:pPr>
        <w:pStyle w:val="Heading2"/>
      </w:pPr>
      <w:r w:rsidRPr="00A85C5F">
        <w:t>Interesting Facts</w:t>
      </w:r>
    </w:p>
    <w:p w14:paraId="51DCA4DA" w14:textId="0B2055A8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2DB75D" w14:textId="77777777" w:rsidR="00A85C5F" w:rsidRPr="00A85C5F" w:rsidRDefault="00A85C5F" w:rsidP="00A85C5F">
      <w:pPr>
        <w:numPr>
          <w:ilvl w:val="0"/>
          <w:numId w:val="10"/>
        </w:num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 xml:space="preserve"> and </w:t>
      </w:r>
      <w:r w:rsidRPr="00A85C5F">
        <w:rPr>
          <w:rFonts w:ascii="Roboto Mono" w:hAnsi="Roboto Mono"/>
          <w:b/>
          <w:bCs/>
        </w:rPr>
        <w:t>AD</w:t>
      </w:r>
      <w:r w:rsidRPr="00A85C5F">
        <w:rPr>
          <w:rFonts w:ascii="Roboto Mono" w:hAnsi="Roboto Mono"/>
        </w:rPr>
        <w:t xml:space="preserve"> refer to the </w:t>
      </w:r>
      <w:r w:rsidRPr="00A85C5F">
        <w:rPr>
          <w:rFonts w:ascii="Roboto Mono" w:hAnsi="Roboto Mono"/>
          <w:b/>
          <w:bCs/>
        </w:rPr>
        <w:t>same years</w:t>
      </w:r>
      <w:r w:rsidRPr="00A85C5F">
        <w:rPr>
          <w:rFonts w:ascii="Roboto Mono" w:hAnsi="Roboto Mono"/>
        </w:rPr>
        <w:t>.</w:t>
      </w:r>
    </w:p>
    <w:p w14:paraId="32E03F15" w14:textId="77777777" w:rsidR="00A85C5F" w:rsidRPr="00A85C5F" w:rsidRDefault="00A85C5F" w:rsidP="00A85C5F">
      <w:pPr>
        <w:numPr>
          <w:ilvl w:val="0"/>
          <w:numId w:val="10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t xml:space="preserve">The Gregorian Calendar is the world's most widely used civil calendar, regardless of whether dates are written as </w:t>
      </w:r>
      <w:r w:rsidRPr="00A85C5F">
        <w:rPr>
          <w:rFonts w:ascii="Roboto Mono" w:hAnsi="Roboto Mono"/>
          <w:b/>
          <w:bCs/>
        </w:rPr>
        <w:t>AD</w:t>
      </w:r>
      <w:r w:rsidRPr="00A85C5F">
        <w:rPr>
          <w:rFonts w:ascii="Roboto Mono" w:hAnsi="Roboto Mono"/>
        </w:rPr>
        <w:t xml:space="preserve"> or </w:t>
      </w: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>.</w:t>
      </w:r>
    </w:p>
    <w:p w14:paraId="5FE0C95E" w14:textId="77777777" w:rsidR="00A85C5F" w:rsidRPr="00A85C5F" w:rsidRDefault="00A85C5F" w:rsidP="00A85C5F">
      <w:pPr>
        <w:numPr>
          <w:ilvl w:val="0"/>
          <w:numId w:val="10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Many universities, museums, encyclopedias, and scientific organizations prefer </w:t>
      </w:r>
      <w:r w:rsidRPr="00A85C5F">
        <w:rPr>
          <w:rFonts w:ascii="Roboto Mono" w:hAnsi="Roboto Mono"/>
          <w:b/>
          <w:bCs/>
        </w:rPr>
        <w:t>CE/BCE</w:t>
      </w:r>
      <w:r w:rsidRPr="00A85C5F">
        <w:rPr>
          <w:rFonts w:ascii="Roboto Mono" w:hAnsi="Roboto Mono"/>
        </w:rPr>
        <w:t xml:space="preserve"> because of its neutral terminology.</w:t>
      </w:r>
    </w:p>
    <w:p w14:paraId="4D99F297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7FA9174D">
          <v:rect id="_x0000_i1163" style="width:0;height:1.5pt" o:hralign="center" o:hrstd="t" o:hr="t" fillcolor="#a0a0a0" stroked="f"/>
        </w:pict>
      </w:r>
    </w:p>
    <w:p w14:paraId="25FC63B9" w14:textId="77777777" w:rsidR="00A85C5F" w:rsidRDefault="00A85C5F" w:rsidP="00A85C5F">
      <w:pPr>
        <w:pStyle w:val="Heading2"/>
      </w:pPr>
      <w:r w:rsidRPr="00A85C5F">
        <w:t>Comparison with AD</w:t>
      </w:r>
    </w:p>
    <w:p w14:paraId="6A13CA66" w14:textId="14488B44" w:rsidR="00A85C5F" w:rsidRDefault="00A85C5F" w:rsidP="00A85C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B3DEB5" w14:textId="64729C54" w:rsidR="009C65F4" w:rsidRPr="00A85C5F" w:rsidRDefault="009C65F4" w:rsidP="00A85C5F">
      <w:r>
        <w:rPr>
          <w:noProof/>
        </w:rPr>
        <w:drawing>
          <wp:inline distT="0" distB="0" distL="0" distR="0" wp14:anchorId="71D9B278" wp14:editId="45EF41CD">
            <wp:extent cx="5943600" cy="1583055"/>
            <wp:effectExtent l="0" t="0" r="0" b="0"/>
            <wp:docPr id="850406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645"/>
        <w:gridCol w:w="1660"/>
      </w:tblGrid>
      <w:tr w:rsidR="00A85C5F" w:rsidRPr="00A85C5F" w14:paraId="78FB3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A7404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91A60F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6E9C3070" w14:textId="77777777" w:rsidR="00A85C5F" w:rsidRPr="00A85C5F" w:rsidRDefault="00A85C5F" w:rsidP="00A85C5F">
            <w:pPr>
              <w:rPr>
                <w:rFonts w:ascii="Roboto Mono" w:hAnsi="Roboto Mono"/>
                <w:b/>
                <w:bCs/>
              </w:rPr>
            </w:pPr>
            <w:r w:rsidRPr="00A85C5F">
              <w:rPr>
                <w:rFonts w:ascii="Roboto Mono" w:hAnsi="Roboto Mono"/>
                <w:b/>
                <w:bCs/>
              </w:rPr>
              <w:t>CE</w:t>
            </w:r>
          </w:p>
        </w:tc>
      </w:tr>
      <w:tr w:rsidR="00A85C5F" w:rsidRPr="00A85C5F" w14:paraId="04154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8B8C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Year Numbers</w:t>
            </w:r>
          </w:p>
        </w:tc>
        <w:tc>
          <w:tcPr>
            <w:tcW w:w="0" w:type="auto"/>
            <w:vAlign w:val="center"/>
            <w:hideMark/>
          </w:tcPr>
          <w:p w14:paraId="5D7067C7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C4A290A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Same</w:t>
            </w:r>
          </w:p>
        </w:tc>
      </w:tr>
      <w:tr w:rsidR="00A85C5F" w:rsidRPr="00A85C5F" w14:paraId="0984C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AC70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2F71FBA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Gregorian</w:t>
            </w:r>
          </w:p>
        </w:tc>
        <w:tc>
          <w:tcPr>
            <w:tcW w:w="0" w:type="auto"/>
            <w:vAlign w:val="center"/>
            <w:hideMark/>
          </w:tcPr>
          <w:p w14:paraId="7D88F0A4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Gregorian</w:t>
            </w:r>
          </w:p>
        </w:tc>
      </w:tr>
      <w:tr w:rsidR="00A85C5F" w:rsidRPr="00A85C5F" w14:paraId="037E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4F8E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Religious Term</w:t>
            </w:r>
          </w:p>
        </w:tc>
        <w:tc>
          <w:tcPr>
            <w:tcW w:w="0" w:type="auto"/>
            <w:vAlign w:val="center"/>
            <w:hideMark/>
          </w:tcPr>
          <w:p w14:paraId="3FCCE1B0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FAF461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No</w:t>
            </w:r>
          </w:p>
        </w:tc>
      </w:tr>
      <w:tr w:rsidR="00A85C5F" w:rsidRPr="00A85C5F" w14:paraId="2566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FD9F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Modern Academic Use</w:t>
            </w:r>
          </w:p>
        </w:tc>
        <w:tc>
          <w:tcPr>
            <w:tcW w:w="0" w:type="auto"/>
            <w:vAlign w:val="center"/>
            <w:hideMark/>
          </w:tcPr>
          <w:p w14:paraId="315A7F00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77C6EC5A" w14:textId="77777777" w:rsidR="00A85C5F" w:rsidRPr="00A85C5F" w:rsidRDefault="00A85C5F" w:rsidP="00A85C5F">
            <w:pPr>
              <w:rPr>
                <w:rFonts w:ascii="Roboto Mono" w:hAnsi="Roboto Mono"/>
              </w:rPr>
            </w:pPr>
            <w:r w:rsidRPr="00A85C5F">
              <w:rPr>
                <w:rFonts w:ascii="Roboto Mono" w:hAnsi="Roboto Mono"/>
              </w:rPr>
              <w:t>More common</w:t>
            </w:r>
          </w:p>
        </w:tc>
      </w:tr>
    </w:tbl>
    <w:p w14:paraId="5CA1CCE3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14EFD24C">
          <v:rect id="_x0000_i1164" style="width:0;height:1.5pt" o:hralign="center" o:hrstd="t" o:hr="t" fillcolor="#a0a0a0" stroked="f"/>
        </w:pict>
      </w:r>
    </w:p>
    <w:p w14:paraId="463DF6EF" w14:textId="77777777" w:rsidR="00A85C5F" w:rsidRDefault="00A85C5F" w:rsidP="00A85C5F">
      <w:pPr>
        <w:pStyle w:val="Heading2"/>
      </w:pPr>
      <w:r w:rsidRPr="00A85C5F">
        <w:t>Key Points</w:t>
      </w:r>
    </w:p>
    <w:p w14:paraId="0E69A131" w14:textId="0559995D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36F9D4" w14:textId="77777777" w:rsidR="00A85C5F" w:rsidRPr="00A85C5F" w:rsidRDefault="00A85C5F" w:rsidP="00A85C5F">
      <w:pPr>
        <w:numPr>
          <w:ilvl w:val="0"/>
          <w:numId w:val="11"/>
        </w:numPr>
        <w:rPr>
          <w:rFonts w:ascii="Roboto Mono" w:hAnsi="Roboto Mono"/>
        </w:rPr>
      </w:pPr>
      <w:r w:rsidRPr="00A85C5F">
        <w:rPr>
          <w:rFonts w:ascii="Roboto Mono" w:hAnsi="Roboto Mono"/>
          <w:b/>
          <w:bCs/>
        </w:rPr>
        <w:t>CE</w:t>
      </w:r>
      <w:r w:rsidRPr="00A85C5F">
        <w:rPr>
          <w:rFonts w:ascii="Roboto Mono" w:hAnsi="Roboto Mono"/>
        </w:rPr>
        <w:t xml:space="preserve"> stands for </w:t>
      </w:r>
      <w:r w:rsidRPr="00A85C5F">
        <w:rPr>
          <w:rFonts w:ascii="Roboto Mono" w:hAnsi="Roboto Mono"/>
          <w:b/>
          <w:bCs/>
        </w:rPr>
        <w:t>Common Era</w:t>
      </w:r>
      <w:r w:rsidRPr="00A85C5F">
        <w:rPr>
          <w:rFonts w:ascii="Roboto Mono" w:hAnsi="Roboto Mono"/>
        </w:rPr>
        <w:t>.</w:t>
      </w:r>
    </w:p>
    <w:p w14:paraId="221B0D0A" w14:textId="77777777" w:rsidR="00A85C5F" w:rsidRPr="00A85C5F" w:rsidRDefault="00A85C5F" w:rsidP="00A85C5F">
      <w:pPr>
        <w:numPr>
          <w:ilvl w:val="0"/>
          <w:numId w:val="1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It uses the </w:t>
      </w:r>
      <w:r w:rsidRPr="00A85C5F">
        <w:rPr>
          <w:rFonts w:ascii="Roboto Mono" w:hAnsi="Roboto Mono"/>
          <w:b/>
          <w:bCs/>
        </w:rPr>
        <w:t>same year numbering</w:t>
      </w:r>
      <w:r w:rsidRPr="00A85C5F">
        <w:rPr>
          <w:rFonts w:ascii="Roboto Mono" w:hAnsi="Roboto Mono"/>
        </w:rPr>
        <w:t xml:space="preserve"> as </w:t>
      </w:r>
      <w:r w:rsidRPr="00A85C5F">
        <w:rPr>
          <w:rFonts w:ascii="Roboto Mono" w:hAnsi="Roboto Mono"/>
          <w:b/>
          <w:bCs/>
        </w:rPr>
        <w:t>AD</w:t>
      </w:r>
      <w:r w:rsidRPr="00A85C5F">
        <w:rPr>
          <w:rFonts w:ascii="Roboto Mono" w:hAnsi="Roboto Mono"/>
        </w:rPr>
        <w:t>.</w:t>
      </w:r>
    </w:p>
    <w:p w14:paraId="02CFF601" w14:textId="77777777" w:rsidR="00A85C5F" w:rsidRPr="00A85C5F" w:rsidRDefault="00A85C5F" w:rsidP="00A85C5F">
      <w:pPr>
        <w:numPr>
          <w:ilvl w:val="0"/>
          <w:numId w:val="1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It is paired with </w:t>
      </w:r>
      <w:r w:rsidRPr="00A85C5F">
        <w:rPr>
          <w:rFonts w:ascii="Roboto Mono" w:hAnsi="Roboto Mono"/>
          <w:b/>
          <w:bCs/>
        </w:rPr>
        <w:t>BCE (Before Common Era)</w:t>
      </w:r>
      <w:r w:rsidRPr="00A85C5F">
        <w:rPr>
          <w:rFonts w:ascii="Roboto Mono" w:hAnsi="Roboto Mono"/>
        </w:rPr>
        <w:t>.</w:t>
      </w:r>
    </w:p>
    <w:p w14:paraId="7F1D2EC5" w14:textId="77777777" w:rsidR="00A85C5F" w:rsidRPr="00A85C5F" w:rsidRDefault="00A85C5F" w:rsidP="00A85C5F">
      <w:pPr>
        <w:numPr>
          <w:ilvl w:val="0"/>
          <w:numId w:val="1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lastRenderedPageBreak/>
        <w:t xml:space="preserve">There is </w:t>
      </w:r>
      <w:r w:rsidRPr="00A85C5F">
        <w:rPr>
          <w:rFonts w:ascii="Roboto Mono" w:hAnsi="Roboto Mono"/>
          <w:b/>
          <w:bCs/>
        </w:rPr>
        <w:t>no Year 0</w:t>
      </w:r>
      <w:r w:rsidRPr="00A85C5F">
        <w:rPr>
          <w:rFonts w:ascii="Roboto Mono" w:hAnsi="Roboto Mono"/>
        </w:rPr>
        <w:t>.</w:t>
      </w:r>
    </w:p>
    <w:p w14:paraId="1D98346E" w14:textId="77777777" w:rsidR="00A85C5F" w:rsidRPr="00A85C5F" w:rsidRDefault="00A85C5F" w:rsidP="00A85C5F">
      <w:pPr>
        <w:numPr>
          <w:ilvl w:val="0"/>
          <w:numId w:val="11"/>
        </w:numPr>
        <w:rPr>
          <w:rFonts w:ascii="Roboto Mono" w:hAnsi="Roboto Mono"/>
        </w:rPr>
      </w:pPr>
      <w:r w:rsidRPr="00A85C5F">
        <w:rPr>
          <w:rFonts w:ascii="Roboto Mono" w:hAnsi="Roboto Mono"/>
        </w:rPr>
        <w:t>CE is widely used in academic, scientific, and international contexts.</w:t>
      </w:r>
    </w:p>
    <w:p w14:paraId="732029EA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pict w14:anchorId="4F6361AF">
          <v:rect id="_x0000_i1165" style="width:0;height:1.5pt" o:hralign="center" o:hrstd="t" o:hr="t" fillcolor="#a0a0a0" stroked="f"/>
        </w:pict>
      </w:r>
    </w:p>
    <w:p w14:paraId="33F4DA90" w14:textId="77777777" w:rsidR="00A85C5F" w:rsidRDefault="00A85C5F" w:rsidP="00A85C5F">
      <w:pPr>
        <w:pStyle w:val="Heading2"/>
      </w:pPr>
      <w:r w:rsidRPr="00A85C5F">
        <w:t>Conclusion</w:t>
      </w:r>
    </w:p>
    <w:p w14:paraId="36A471D2" w14:textId="5DAF58D5" w:rsidR="00A85C5F" w:rsidRPr="00A85C5F" w:rsidRDefault="00A85C5F" w:rsidP="00A85C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719729" w14:textId="77777777" w:rsidR="00A85C5F" w:rsidRPr="00A85C5F" w:rsidRDefault="00A85C5F" w:rsidP="00A85C5F">
      <w:pPr>
        <w:rPr>
          <w:rFonts w:ascii="Roboto Mono" w:hAnsi="Roboto Mono"/>
        </w:rPr>
      </w:pPr>
      <w:r w:rsidRPr="00A85C5F">
        <w:rPr>
          <w:rFonts w:ascii="Roboto Mono" w:hAnsi="Roboto Mono"/>
        </w:rPr>
        <w:t xml:space="preserve">The </w:t>
      </w:r>
      <w:r w:rsidRPr="00A85C5F">
        <w:rPr>
          <w:rFonts w:ascii="Roboto Mono" w:hAnsi="Roboto Mono"/>
          <w:b/>
          <w:bCs/>
        </w:rPr>
        <w:t>CE Calendar (Common Era)</w:t>
      </w:r>
      <w:r w:rsidRPr="00A85C5F">
        <w:rPr>
          <w:rFonts w:ascii="Roboto Mono" w:hAnsi="Roboto Mono"/>
        </w:rPr>
        <w:t xml:space="preserve"> is the modern, secular year-numbering system used with the </w:t>
      </w:r>
      <w:r w:rsidRPr="00A85C5F">
        <w:rPr>
          <w:rFonts w:ascii="Roboto Mono" w:hAnsi="Roboto Mono"/>
          <w:b/>
          <w:bCs/>
        </w:rPr>
        <w:t>Gregorian Calendar</w:t>
      </w:r>
      <w:r w:rsidRPr="00A85C5F">
        <w:rPr>
          <w:rFonts w:ascii="Roboto Mono" w:hAnsi="Roboto Mono"/>
        </w:rPr>
        <w:t xml:space="preserve">. It is numerically identical to the traditional </w:t>
      </w:r>
      <w:r w:rsidRPr="00A85C5F">
        <w:rPr>
          <w:rFonts w:ascii="Roboto Mono" w:hAnsi="Roboto Mono"/>
          <w:b/>
          <w:bCs/>
        </w:rPr>
        <w:t>AD (Anno Domini)</w:t>
      </w:r>
      <w:r w:rsidRPr="00A85C5F">
        <w:rPr>
          <w:rFonts w:ascii="Roboto Mono" w:hAnsi="Roboto Mono"/>
        </w:rPr>
        <w:t xml:space="preserve"> system, differing only in terminology. By replacing religious labels with neutral ones, </w:t>
      </w:r>
      <w:r w:rsidRPr="00A85C5F">
        <w:rPr>
          <w:rFonts w:ascii="Roboto Mono" w:hAnsi="Roboto Mono"/>
          <w:b/>
          <w:bCs/>
        </w:rPr>
        <w:t>CE/BCE</w:t>
      </w:r>
      <w:r w:rsidRPr="00A85C5F">
        <w:rPr>
          <w:rFonts w:ascii="Roboto Mono" w:hAnsi="Roboto Mono"/>
        </w:rPr>
        <w:t xml:space="preserve"> provides a universally accepted method of expressing dates while preserving the same chronological sequence used throughout the modern world.</w:t>
      </w:r>
    </w:p>
    <w:p w14:paraId="70275C8A" w14:textId="77777777" w:rsidR="00A85C5F" w:rsidRPr="00A85C5F" w:rsidRDefault="00A85C5F" w:rsidP="00A85C5F">
      <w:pPr>
        <w:rPr>
          <w:rFonts w:ascii="Roboto Mono" w:hAnsi="Roboto Mono"/>
        </w:rPr>
      </w:pPr>
    </w:p>
    <w:sectPr w:rsidR="00A85C5F" w:rsidRPr="00A85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9C6"/>
    <w:multiLevelType w:val="multilevel"/>
    <w:tmpl w:val="526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3E4"/>
    <w:multiLevelType w:val="multilevel"/>
    <w:tmpl w:val="4818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F11D7"/>
    <w:multiLevelType w:val="multilevel"/>
    <w:tmpl w:val="378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93233"/>
    <w:multiLevelType w:val="multilevel"/>
    <w:tmpl w:val="371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A06E0"/>
    <w:multiLevelType w:val="multilevel"/>
    <w:tmpl w:val="E14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10942"/>
    <w:multiLevelType w:val="multilevel"/>
    <w:tmpl w:val="BDA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A35C7"/>
    <w:multiLevelType w:val="multilevel"/>
    <w:tmpl w:val="A05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7073C"/>
    <w:multiLevelType w:val="multilevel"/>
    <w:tmpl w:val="988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D589A"/>
    <w:multiLevelType w:val="multilevel"/>
    <w:tmpl w:val="8E4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A5D8E"/>
    <w:multiLevelType w:val="multilevel"/>
    <w:tmpl w:val="974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D5D1B"/>
    <w:multiLevelType w:val="multilevel"/>
    <w:tmpl w:val="5E9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64243">
    <w:abstractNumId w:val="1"/>
  </w:num>
  <w:num w:numId="2" w16cid:durableId="1629974635">
    <w:abstractNumId w:val="4"/>
  </w:num>
  <w:num w:numId="3" w16cid:durableId="2078018407">
    <w:abstractNumId w:val="10"/>
  </w:num>
  <w:num w:numId="4" w16cid:durableId="1659457691">
    <w:abstractNumId w:val="9"/>
  </w:num>
  <w:num w:numId="5" w16cid:durableId="2092894821">
    <w:abstractNumId w:val="2"/>
  </w:num>
  <w:num w:numId="6" w16cid:durableId="570506646">
    <w:abstractNumId w:val="0"/>
  </w:num>
  <w:num w:numId="7" w16cid:durableId="960960464">
    <w:abstractNumId w:val="8"/>
  </w:num>
  <w:num w:numId="8" w16cid:durableId="339627561">
    <w:abstractNumId w:val="6"/>
  </w:num>
  <w:num w:numId="9" w16cid:durableId="1997567029">
    <w:abstractNumId w:val="5"/>
  </w:num>
  <w:num w:numId="10" w16cid:durableId="1741248239">
    <w:abstractNumId w:val="7"/>
  </w:num>
  <w:num w:numId="11" w16cid:durableId="1769764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9E"/>
    <w:rsid w:val="002D1F4F"/>
    <w:rsid w:val="0036359E"/>
    <w:rsid w:val="00610887"/>
    <w:rsid w:val="00711B4D"/>
    <w:rsid w:val="0074414D"/>
    <w:rsid w:val="008952B3"/>
    <w:rsid w:val="009C65F4"/>
    <w:rsid w:val="00A70480"/>
    <w:rsid w:val="00A8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5E56"/>
  <w15:chartTrackingRefBased/>
  <w15:docId w15:val="{45629323-526C-4F1F-890F-16DE67A8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2026-07-30T08:17:00Z</dcterms:created>
  <dcterms:modified xsi:type="dcterms:W3CDTF">2026-07-30T08:20:00Z</dcterms:modified>
</cp:coreProperties>
</file>