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8EA8" w14:textId="77777777" w:rsidR="005A16BC" w:rsidRPr="005A16BC" w:rsidRDefault="005A16BC" w:rsidP="005A16BC">
      <w:pPr>
        <w:pStyle w:val="Heading1"/>
      </w:pPr>
      <w:r w:rsidRPr="005A16BC">
        <w:t>BCE Calendar</w:t>
      </w:r>
    </w:p>
    <w:p w14:paraId="2D0A73F0" w14:textId="6D9F8A5C" w:rsidR="005A16BC" w:rsidRPr="005A16BC" w:rsidRDefault="005A16BC" w:rsidP="005A16B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0E860C" w14:textId="11F46B1E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drawing>
          <wp:inline distT="0" distB="0" distL="0" distR="0" wp14:anchorId="5F72822D" wp14:editId="5AE157DC">
            <wp:extent cx="5943600" cy="4457700"/>
            <wp:effectExtent l="0" t="0" r="0" b="0"/>
            <wp:docPr id="123199870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3541" w14:textId="2F324832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lastRenderedPageBreak/>
        <w:drawing>
          <wp:inline distT="0" distB="0" distL="0" distR="0" wp14:anchorId="46F8DAE1" wp14:editId="75433AC3">
            <wp:extent cx="5943600" cy="3343275"/>
            <wp:effectExtent l="0" t="0" r="0" b="9525"/>
            <wp:docPr id="6749521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CF9C" w14:textId="000616DD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drawing>
          <wp:inline distT="0" distB="0" distL="0" distR="0" wp14:anchorId="53F1BE1B" wp14:editId="4EBDB472">
            <wp:extent cx="5943600" cy="3317240"/>
            <wp:effectExtent l="0" t="0" r="0" b="0"/>
            <wp:docPr id="198650201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7B12" w14:textId="3B7E6295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lastRenderedPageBreak/>
        <w:drawing>
          <wp:inline distT="0" distB="0" distL="0" distR="0" wp14:anchorId="7C16FFE0" wp14:editId="43089664">
            <wp:extent cx="5943600" cy="4457700"/>
            <wp:effectExtent l="0" t="0" r="0" b="0"/>
            <wp:docPr id="4270802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F54DB" w14:textId="745F3063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drawing>
          <wp:inline distT="0" distB="0" distL="0" distR="0" wp14:anchorId="19632E10" wp14:editId="42D805B1">
            <wp:extent cx="5943600" cy="2916555"/>
            <wp:effectExtent l="0" t="0" r="0" b="0"/>
            <wp:docPr id="211468013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1DF0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The </w:t>
      </w:r>
      <w:r w:rsidRPr="005A16BC">
        <w:rPr>
          <w:rFonts w:ascii="Roboto Mono" w:hAnsi="Roboto Mono"/>
          <w:b/>
          <w:bCs/>
        </w:rPr>
        <w:t>BCE Calendar</w:t>
      </w:r>
      <w:r w:rsidRPr="005A16BC">
        <w:rPr>
          <w:rFonts w:ascii="Roboto Mono" w:hAnsi="Roboto Mono"/>
        </w:rPr>
        <w:t xml:space="preserve"> (</w:t>
      </w:r>
      <w:r w:rsidRPr="005A16BC">
        <w:rPr>
          <w:rFonts w:ascii="Roboto Mono" w:hAnsi="Roboto Mono"/>
          <w:b/>
          <w:bCs/>
        </w:rPr>
        <w:t>Before Common Era</w:t>
      </w:r>
      <w:r w:rsidRPr="005A16BC">
        <w:rPr>
          <w:rFonts w:ascii="Roboto Mono" w:hAnsi="Roboto Mono"/>
        </w:rPr>
        <w:t xml:space="preserve">) is the modern, secular year-numbering system used to designate </w:t>
      </w:r>
      <w:r w:rsidRPr="005A16BC">
        <w:rPr>
          <w:rFonts w:ascii="Roboto Mono" w:hAnsi="Roboto Mono"/>
          <w:b/>
          <w:bCs/>
        </w:rPr>
        <w:t xml:space="preserve">years before the Common </w:t>
      </w:r>
      <w:r w:rsidRPr="005A16BC">
        <w:rPr>
          <w:rFonts w:ascii="Roboto Mono" w:hAnsi="Roboto Mono"/>
          <w:b/>
          <w:bCs/>
        </w:rPr>
        <w:lastRenderedPageBreak/>
        <w:t>Era</w:t>
      </w:r>
      <w:r w:rsidRPr="005A16BC">
        <w:rPr>
          <w:rFonts w:ascii="Roboto Mono" w:hAnsi="Roboto Mono"/>
        </w:rPr>
        <w:t xml:space="preserve">. It is numerically </w:t>
      </w:r>
      <w:r w:rsidRPr="005A16BC">
        <w:rPr>
          <w:rFonts w:ascii="Roboto Mono" w:hAnsi="Roboto Mono"/>
          <w:b/>
          <w:bCs/>
        </w:rPr>
        <w:t>identical</w:t>
      </w:r>
      <w:r w:rsidRPr="005A16BC">
        <w:rPr>
          <w:rFonts w:ascii="Roboto Mono" w:hAnsi="Roboto Mono"/>
        </w:rPr>
        <w:t xml:space="preserve"> to the traditional </w:t>
      </w:r>
      <w:r w:rsidRPr="005A16BC">
        <w:rPr>
          <w:rFonts w:ascii="Roboto Mono" w:hAnsi="Roboto Mono"/>
          <w:b/>
          <w:bCs/>
        </w:rPr>
        <w:t>BC (Before Christ)</w:t>
      </w:r>
      <w:r w:rsidRPr="005A16BC">
        <w:rPr>
          <w:rFonts w:ascii="Roboto Mono" w:hAnsi="Roboto Mono"/>
        </w:rPr>
        <w:t xml:space="preserve"> system but replaces the religious terminology with neutral language.</w:t>
      </w:r>
    </w:p>
    <w:p w14:paraId="31F46BDC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Today, </w:t>
      </w:r>
      <w:r w:rsidRPr="005A16BC">
        <w:rPr>
          <w:rFonts w:ascii="Roboto Mono" w:hAnsi="Roboto Mono"/>
          <w:b/>
          <w:bCs/>
        </w:rPr>
        <w:t>BCE</w:t>
      </w:r>
      <w:r w:rsidRPr="005A16BC">
        <w:rPr>
          <w:rFonts w:ascii="Roboto Mono" w:hAnsi="Roboto Mono"/>
        </w:rPr>
        <w:t xml:space="preserve"> is widely used in:</w:t>
      </w:r>
    </w:p>
    <w:p w14:paraId="08DAB184" w14:textId="77777777" w:rsidR="005A16BC" w:rsidRPr="005A16BC" w:rsidRDefault="005A16BC" w:rsidP="005A16BC">
      <w:pPr>
        <w:numPr>
          <w:ilvl w:val="0"/>
          <w:numId w:val="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History</w:t>
      </w:r>
    </w:p>
    <w:p w14:paraId="48D8B938" w14:textId="77777777" w:rsidR="005A16BC" w:rsidRPr="005A16BC" w:rsidRDefault="005A16BC" w:rsidP="005A16BC">
      <w:pPr>
        <w:numPr>
          <w:ilvl w:val="0"/>
          <w:numId w:val="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Archaeology</w:t>
      </w:r>
    </w:p>
    <w:p w14:paraId="3D466FE3" w14:textId="77777777" w:rsidR="005A16BC" w:rsidRPr="005A16BC" w:rsidRDefault="005A16BC" w:rsidP="005A16BC">
      <w:pPr>
        <w:numPr>
          <w:ilvl w:val="0"/>
          <w:numId w:val="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Anthropology</w:t>
      </w:r>
    </w:p>
    <w:p w14:paraId="523F2970" w14:textId="77777777" w:rsidR="005A16BC" w:rsidRPr="005A16BC" w:rsidRDefault="005A16BC" w:rsidP="005A16BC">
      <w:pPr>
        <w:numPr>
          <w:ilvl w:val="0"/>
          <w:numId w:val="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Science</w:t>
      </w:r>
    </w:p>
    <w:p w14:paraId="5C257C96" w14:textId="77777777" w:rsidR="005A16BC" w:rsidRPr="005A16BC" w:rsidRDefault="005A16BC" w:rsidP="005A16BC">
      <w:pPr>
        <w:numPr>
          <w:ilvl w:val="0"/>
          <w:numId w:val="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Museums</w:t>
      </w:r>
    </w:p>
    <w:p w14:paraId="25296A99" w14:textId="77777777" w:rsidR="005A16BC" w:rsidRPr="005A16BC" w:rsidRDefault="005A16BC" w:rsidP="005A16BC">
      <w:pPr>
        <w:numPr>
          <w:ilvl w:val="0"/>
          <w:numId w:val="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Academic publications</w:t>
      </w:r>
    </w:p>
    <w:p w14:paraId="40EB3CD5" w14:textId="77777777" w:rsidR="005A16BC" w:rsidRPr="005A16BC" w:rsidRDefault="005A16BC" w:rsidP="005A16BC">
      <w:pPr>
        <w:numPr>
          <w:ilvl w:val="0"/>
          <w:numId w:val="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International organizations</w:t>
      </w:r>
    </w:p>
    <w:p w14:paraId="1B899BA3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0CEACEB1">
          <v:rect id="_x0000_i1151" style="width:0;height:1.5pt" o:hralign="center" o:hrstd="t" o:hr="t" fillcolor="#a0a0a0" stroked="f"/>
        </w:pict>
      </w:r>
    </w:p>
    <w:p w14:paraId="0924710B" w14:textId="77777777" w:rsidR="005A16BC" w:rsidRDefault="005A16BC" w:rsidP="005A16BC">
      <w:pPr>
        <w:pStyle w:val="Heading2"/>
      </w:pPr>
      <w:r w:rsidRPr="005A16BC">
        <w:t>Definition</w:t>
      </w:r>
    </w:p>
    <w:p w14:paraId="547C9063" w14:textId="49BBFA69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1168A5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  <w:b/>
          <w:bCs/>
        </w:rPr>
        <w:t>BCE (Before Common Era) is the secular designation for years that occurred before the beginning of the Common Era (CE), using the same year numbering as the traditional BC system.</w:t>
      </w:r>
    </w:p>
    <w:p w14:paraId="74E85DE0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27081C97">
          <v:rect id="_x0000_i1152" style="width:0;height:1.5pt" o:hralign="center" o:hrstd="t" o:hr="t" fillcolor="#a0a0a0" stroked="f"/>
        </w:pict>
      </w:r>
    </w:p>
    <w:p w14:paraId="116655B6" w14:textId="77777777" w:rsidR="005A16BC" w:rsidRDefault="005A16BC" w:rsidP="005A16BC">
      <w:pPr>
        <w:pStyle w:val="Heading2"/>
      </w:pPr>
      <w:r w:rsidRPr="005A16BC">
        <w:t>Meaning of BCE</w:t>
      </w:r>
    </w:p>
    <w:p w14:paraId="7D3DF679" w14:textId="4D256CAD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F2D9FF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  <w:b/>
          <w:bCs/>
        </w:rPr>
        <w:t>BCE</w:t>
      </w:r>
      <w:r w:rsidRPr="005A16BC">
        <w:rPr>
          <w:rFonts w:ascii="Roboto Mono" w:hAnsi="Roboto Mono"/>
        </w:rPr>
        <w:t xml:space="preserve"> stands for:</w:t>
      </w:r>
    </w:p>
    <w:p w14:paraId="08A1CBEE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  <w:b/>
          <w:bCs/>
        </w:rPr>
        <w:t>Before Common Era</w:t>
      </w:r>
    </w:p>
    <w:p w14:paraId="42191718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It is paired with:</w:t>
      </w:r>
    </w:p>
    <w:p w14:paraId="5797BEF2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  <w:b/>
          <w:bCs/>
        </w:rPr>
        <w:t>CE</w:t>
      </w:r>
      <w:r w:rsidRPr="005A16BC">
        <w:rPr>
          <w:rFonts w:ascii="Roboto Mono" w:hAnsi="Roboto Mono"/>
        </w:rPr>
        <w:t xml:space="preserve"> — </w:t>
      </w:r>
      <w:r w:rsidRPr="005A16BC">
        <w:rPr>
          <w:rFonts w:ascii="Roboto Mono" w:hAnsi="Roboto Mono"/>
          <w:b/>
          <w:bCs/>
        </w:rPr>
        <w:t>Common Era</w:t>
      </w:r>
    </w:p>
    <w:p w14:paraId="738531D6" w14:textId="77777777" w:rsid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Together they replace the traditional terms:</w:t>
      </w:r>
    </w:p>
    <w:p w14:paraId="19F32D9C" w14:textId="401B59F1" w:rsidR="00AA00EA" w:rsidRPr="005A16BC" w:rsidRDefault="00AA00EA" w:rsidP="005A16B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51F1C2" wp14:editId="597CE3D6">
            <wp:extent cx="5943600" cy="877570"/>
            <wp:effectExtent l="0" t="0" r="0" b="0"/>
            <wp:docPr id="983972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5A16BC" w:rsidRPr="005A16BC" w14:paraId="0BD95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5DC79" w14:textId="77777777" w:rsidR="005A16BC" w:rsidRPr="005A16BC" w:rsidRDefault="005A16BC" w:rsidP="005A16BC">
            <w:pPr>
              <w:rPr>
                <w:rFonts w:ascii="Roboto Mono" w:hAnsi="Roboto Mono"/>
                <w:b/>
                <w:bCs/>
              </w:rPr>
            </w:pPr>
            <w:r w:rsidRPr="005A16BC">
              <w:rPr>
                <w:rFonts w:ascii="Roboto Mono" w:hAnsi="Roboto Mono"/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4277E001" w14:textId="77777777" w:rsidR="005A16BC" w:rsidRPr="005A16BC" w:rsidRDefault="005A16BC" w:rsidP="005A16BC">
            <w:pPr>
              <w:rPr>
                <w:rFonts w:ascii="Roboto Mono" w:hAnsi="Roboto Mono"/>
                <w:b/>
                <w:bCs/>
              </w:rPr>
            </w:pPr>
            <w:r w:rsidRPr="005A16BC">
              <w:rPr>
                <w:rFonts w:ascii="Roboto Mono" w:hAnsi="Roboto Mono"/>
                <w:b/>
                <w:bCs/>
              </w:rPr>
              <w:t>Modern Equivalent</w:t>
            </w:r>
          </w:p>
        </w:tc>
      </w:tr>
      <w:tr w:rsidR="005A16BC" w:rsidRPr="005A16BC" w14:paraId="70A42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236B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15BF8D80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BCE</w:t>
            </w:r>
          </w:p>
        </w:tc>
      </w:tr>
      <w:tr w:rsidR="005A16BC" w:rsidRPr="005A16BC" w14:paraId="61F5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2E98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126C5B42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CE</w:t>
            </w:r>
          </w:p>
        </w:tc>
      </w:tr>
    </w:tbl>
    <w:p w14:paraId="27C32488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The year numbers remain </w:t>
      </w:r>
      <w:r w:rsidRPr="005A16BC">
        <w:rPr>
          <w:rFonts w:ascii="Roboto Mono" w:hAnsi="Roboto Mono"/>
          <w:b/>
          <w:bCs/>
        </w:rPr>
        <w:t>exactly the same</w:t>
      </w:r>
      <w:r w:rsidRPr="005A16BC">
        <w:rPr>
          <w:rFonts w:ascii="Roboto Mono" w:hAnsi="Roboto Mono"/>
        </w:rPr>
        <w:t>.</w:t>
      </w:r>
    </w:p>
    <w:p w14:paraId="045D3241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7D3DA0D9">
          <v:rect id="_x0000_i1153" style="width:0;height:1.5pt" o:hralign="center" o:hrstd="t" o:hr="t" fillcolor="#a0a0a0" stroked="f"/>
        </w:pict>
      </w:r>
    </w:p>
    <w:p w14:paraId="065D879D" w14:textId="77777777" w:rsidR="005A16BC" w:rsidRDefault="005A16BC" w:rsidP="005A16BC">
      <w:pPr>
        <w:pStyle w:val="Heading2"/>
      </w:pPr>
      <w:r w:rsidRPr="005A16BC">
        <w:t>Historical Background</w:t>
      </w:r>
    </w:p>
    <w:p w14:paraId="450FA922" w14:textId="04D869DA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2834A7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The BCE/CE terminology became increasingly common from the </w:t>
      </w:r>
      <w:r w:rsidRPr="005A16BC">
        <w:rPr>
          <w:rFonts w:ascii="Roboto Mono" w:hAnsi="Roboto Mono"/>
          <w:b/>
          <w:bCs/>
        </w:rPr>
        <w:t>18th century onward</w:t>
      </w:r>
      <w:r w:rsidRPr="005A16BC">
        <w:rPr>
          <w:rFonts w:ascii="Roboto Mono" w:hAnsi="Roboto Mono"/>
        </w:rPr>
        <w:t>, especially in scholarly writing.</w:t>
      </w:r>
    </w:p>
    <w:p w14:paraId="1A78C15D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Its purpose is to:</w:t>
      </w:r>
    </w:p>
    <w:p w14:paraId="259EC655" w14:textId="77777777" w:rsidR="005A16BC" w:rsidRPr="005A16BC" w:rsidRDefault="005A16BC" w:rsidP="005A16BC">
      <w:pPr>
        <w:numPr>
          <w:ilvl w:val="0"/>
          <w:numId w:val="2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Provide religiously neutral terminology.</w:t>
      </w:r>
    </w:p>
    <w:p w14:paraId="572B7189" w14:textId="77777777" w:rsidR="005A16BC" w:rsidRPr="005A16BC" w:rsidRDefault="005A16BC" w:rsidP="005A16BC">
      <w:pPr>
        <w:numPr>
          <w:ilvl w:val="0"/>
          <w:numId w:val="2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Maintain the same chronological system used in the Gregorian Calendar.</w:t>
      </w:r>
    </w:p>
    <w:p w14:paraId="38AF79A0" w14:textId="77777777" w:rsidR="005A16BC" w:rsidRPr="005A16BC" w:rsidRDefault="005A16BC" w:rsidP="005A16BC">
      <w:pPr>
        <w:numPr>
          <w:ilvl w:val="0"/>
          <w:numId w:val="2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Support communication in multicultural and international contexts.</w:t>
      </w:r>
    </w:p>
    <w:p w14:paraId="3ED9B555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4050966C">
          <v:rect id="_x0000_i1154" style="width:0;height:1.5pt" o:hralign="center" o:hrstd="t" o:hr="t" fillcolor="#a0a0a0" stroked="f"/>
        </w:pict>
      </w:r>
    </w:p>
    <w:p w14:paraId="410E5F49" w14:textId="77777777" w:rsidR="005A16BC" w:rsidRDefault="005A16BC" w:rsidP="005A16BC">
      <w:pPr>
        <w:pStyle w:val="Heading2"/>
      </w:pPr>
      <w:r w:rsidRPr="005A16BC">
        <w:t>How the BCE Calendar Works</w:t>
      </w:r>
    </w:p>
    <w:p w14:paraId="24DC4535" w14:textId="3157D1C1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6A5274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BCE years count </w:t>
      </w:r>
      <w:r w:rsidRPr="005A16BC">
        <w:rPr>
          <w:rFonts w:ascii="Roboto Mono" w:hAnsi="Roboto Mono"/>
          <w:b/>
          <w:bCs/>
        </w:rPr>
        <w:t>backward</w:t>
      </w:r>
      <w:r w:rsidRPr="005A16BC">
        <w:rPr>
          <w:rFonts w:ascii="Roboto Mono" w:hAnsi="Roboto Mono"/>
        </w:rPr>
        <w:t xml:space="preserve"> toward the beginning of the Common Era.</w:t>
      </w:r>
    </w:p>
    <w:p w14:paraId="0CEA0B4E" w14:textId="77777777" w:rsid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Example sequence:</w:t>
      </w:r>
    </w:p>
    <w:p w14:paraId="366355A6" w14:textId="3982BAB1" w:rsidR="00B368F5" w:rsidRPr="005A16BC" w:rsidRDefault="00B368F5" w:rsidP="005A16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65E407" wp14:editId="5EC19F2B">
            <wp:extent cx="5943600" cy="323850"/>
            <wp:effectExtent l="0" t="0" r="0" b="0"/>
            <wp:docPr id="3679691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56AD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lastRenderedPageBreak/>
        <w:t xml:space="preserve">500 BCE </w:t>
      </w:r>
      <w:r w:rsidRPr="005A16BC">
        <w:rPr>
          <w:rFonts w:ascii="Arial" w:hAnsi="Arial" w:cs="Arial"/>
        </w:rPr>
        <w:t>→</w:t>
      </w:r>
      <w:r w:rsidRPr="005A16BC">
        <w:rPr>
          <w:rFonts w:ascii="Roboto Mono" w:hAnsi="Roboto Mono"/>
        </w:rPr>
        <w:t xml:space="preserve"> 300 BCE </w:t>
      </w:r>
      <w:r w:rsidRPr="005A16BC">
        <w:rPr>
          <w:rFonts w:ascii="Arial" w:hAnsi="Arial" w:cs="Arial"/>
        </w:rPr>
        <w:t>→</w:t>
      </w:r>
      <w:r w:rsidRPr="005A16BC">
        <w:rPr>
          <w:rFonts w:ascii="Roboto Mono" w:hAnsi="Roboto Mono"/>
        </w:rPr>
        <w:t xml:space="preserve"> 100 BCE </w:t>
      </w:r>
      <w:r w:rsidRPr="005A16BC">
        <w:rPr>
          <w:rFonts w:ascii="Arial" w:hAnsi="Arial" w:cs="Arial"/>
        </w:rPr>
        <w:t>→</w:t>
      </w:r>
      <w:r w:rsidRPr="005A16BC">
        <w:rPr>
          <w:rFonts w:ascii="Roboto Mono" w:hAnsi="Roboto Mono"/>
        </w:rPr>
        <w:t xml:space="preserve"> 10 BCE </w:t>
      </w:r>
      <w:r w:rsidRPr="005A16BC">
        <w:rPr>
          <w:rFonts w:ascii="Arial" w:hAnsi="Arial" w:cs="Arial"/>
        </w:rPr>
        <w:t>→</w:t>
      </w:r>
      <w:r w:rsidRPr="005A16BC">
        <w:rPr>
          <w:rFonts w:ascii="Roboto Mono" w:hAnsi="Roboto Mono"/>
        </w:rPr>
        <w:t xml:space="preserve"> 2 BCE </w:t>
      </w:r>
      <w:r w:rsidRPr="005A16BC">
        <w:rPr>
          <w:rFonts w:ascii="Arial" w:hAnsi="Arial" w:cs="Arial"/>
        </w:rPr>
        <w:t>→</w:t>
      </w:r>
      <w:r w:rsidRPr="005A16BC">
        <w:rPr>
          <w:rFonts w:ascii="Roboto Mono" w:hAnsi="Roboto Mono"/>
        </w:rPr>
        <w:t xml:space="preserve"> 1 BCE </w:t>
      </w:r>
      <w:r w:rsidRPr="005A16BC">
        <w:rPr>
          <w:rFonts w:ascii="Arial" w:hAnsi="Arial" w:cs="Arial"/>
        </w:rPr>
        <w:t>→</w:t>
      </w:r>
      <w:r w:rsidRPr="005A16BC">
        <w:rPr>
          <w:rFonts w:ascii="Roboto Mono" w:hAnsi="Roboto Mono"/>
        </w:rPr>
        <w:t xml:space="preserve"> 1 CE </w:t>
      </w:r>
      <w:r w:rsidRPr="005A16BC">
        <w:rPr>
          <w:rFonts w:ascii="Arial" w:hAnsi="Arial" w:cs="Arial"/>
        </w:rPr>
        <w:t>→</w:t>
      </w:r>
      <w:r w:rsidRPr="005A16BC">
        <w:rPr>
          <w:rFonts w:ascii="Roboto Mono" w:hAnsi="Roboto Mono"/>
        </w:rPr>
        <w:t xml:space="preserve"> 2 CE</w:t>
      </w:r>
    </w:p>
    <w:p w14:paraId="32C9EC30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Notice:</w:t>
      </w:r>
    </w:p>
    <w:p w14:paraId="0776AFE7" w14:textId="77777777" w:rsidR="005A16BC" w:rsidRPr="005A16BC" w:rsidRDefault="005A16BC" w:rsidP="005A16BC">
      <w:pPr>
        <w:numPr>
          <w:ilvl w:val="0"/>
          <w:numId w:val="3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There is </w:t>
      </w:r>
      <w:r w:rsidRPr="005A16BC">
        <w:rPr>
          <w:rFonts w:ascii="Roboto Mono" w:hAnsi="Roboto Mono"/>
          <w:b/>
          <w:bCs/>
        </w:rPr>
        <w:t>no Year 0</w:t>
      </w:r>
      <w:r w:rsidRPr="005A16BC">
        <w:rPr>
          <w:rFonts w:ascii="Roboto Mono" w:hAnsi="Roboto Mono"/>
        </w:rPr>
        <w:t>.</w:t>
      </w:r>
    </w:p>
    <w:p w14:paraId="6F46E8D0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6EA79528">
          <v:rect id="_x0000_i1155" style="width:0;height:1.5pt" o:hralign="center" o:hrstd="t" o:hr="t" fillcolor="#a0a0a0" stroked="f"/>
        </w:pict>
      </w:r>
    </w:p>
    <w:p w14:paraId="0E5E60BD" w14:textId="77777777" w:rsidR="005A16BC" w:rsidRDefault="005A16BC" w:rsidP="005A16BC">
      <w:pPr>
        <w:pStyle w:val="Heading2"/>
      </w:pPr>
      <w:r w:rsidRPr="005A16BC">
        <w:t>No Year Zero</w:t>
      </w:r>
    </w:p>
    <w:p w14:paraId="24292208" w14:textId="590B4314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B1D8CC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The BCE/CE system moves directly from:</w:t>
      </w:r>
    </w:p>
    <w:p w14:paraId="22D6F569" w14:textId="77777777" w:rsidR="005A16BC" w:rsidRPr="005A16BC" w:rsidRDefault="005A16BC" w:rsidP="005A16BC">
      <w:pPr>
        <w:numPr>
          <w:ilvl w:val="0"/>
          <w:numId w:val="4"/>
        </w:numPr>
        <w:rPr>
          <w:rFonts w:ascii="Roboto Mono" w:hAnsi="Roboto Mono"/>
        </w:rPr>
      </w:pPr>
      <w:r w:rsidRPr="005A16BC">
        <w:rPr>
          <w:rFonts w:ascii="Roboto Mono" w:hAnsi="Roboto Mono"/>
          <w:b/>
          <w:bCs/>
        </w:rPr>
        <w:t>1 BCE</w:t>
      </w:r>
    </w:p>
    <w:p w14:paraId="2B9174D1" w14:textId="77777777" w:rsidR="005A16BC" w:rsidRPr="005A16BC" w:rsidRDefault="005A16BC" w:rsidP="005A16BC">
      <w:pPr>
        <w:numPr>
          <w:ilvl w:val="0"/>
          <w:numId w:val="4"/>
        </w:numPr>
        <w:rPr>
          <w:rFonts w:ascii="Roboto Mono" w:hAnsi="Roboto Mono"/>
        </w:rPr>
      </w:pPr>
      <w:r w:rsidRPr="005A16BC">
        <w:rPr>
          <w:rFonts w:ascii="Roboto Mono" w:hAnsi="Roboto Mono"/>
          <w:b/>
          <w:bCs/>
        </w:rPr>
        <w:t>1 CE</w:t>
      </w:r>
    </w:p>
    <w:p w14:paraId="063B4E32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There is </w:t>
      </w:r>
      <w:r w:rsidRPr="005A16BC">
        <w:rPr>
          <w:rFonts w:ascii="Roboto Mono" w:hAnsi="Roboto Mono"/>
          <w:b/>
          <w:bCs/>
        </w:rPr>
        <w:t>no Year 0</w:t>
      </w:r>
      <w:r w:rsidRPr="005A16BC">
        <w:rPr>
          <w:rFonts w:ascii="Roboto Mono" w:hAnsi="Roboto Mono"/>
        </w:rPr>
        <w:t>, just as in the traditional BC/AD system.</w:t>
      </w:r>
    </w:p>
    <w:p w14:paraId="2C338698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2E121D43">
          <v:rect id="_x0000_i1156" style="width:0;height:1.5pt" o:hralign="center" o:hrstd="t" o:hr="t" fillcolor="#a0a0a0" stroked="f"/>
        </w:pict>
      </w:r>
    </w:p>
    <w:p w14:paraId="4FBF320F" w14:textId="77777777" w:rsidR="005A16BC" w:rsidRDefault="005A16BC" w:rsidP="005A16BC">
      <w:pPr>
        <w:pStyle w:val="Heading2"/>
      </w:pPr>
      <w:r w:rsidRPr="005A16BC">
        <w:t>Relationship to BC</w:t>
      </w:r>
    </w:p>
    <w:p w14:paraId="565F807D" w14:textId="28D1103B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F0562B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BCE uses the </w:t>
      </w:r>
      <w:r w:rsidRPr="005A16BC">
        <w:rPr>
          <w:rFonts w:ascii="Roboto Mono" w:hAnsi="Roboto Mono"/>
          <w:b/>
          <w:bCs/>
        </w:rPr>
        <w:t>same year numbers</w:t>
      </w:r>
      <w:r w:rsidRPr="005A16BC">
        <w:rPr>
          <w:rFonts w:ascii="Roboto Mono" w:hAnsi="Roboto Mono"/>
        </w:rPr>
        <w:t xml:space="preserve"> as BC.</w:t>
      </w:r>
    </w:p>
    <w:p w14:paraId="43269EF7" w14:textId="77777777" w:rsid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Examples:</w:t>
      </w:r>
    </w:p>
    <w:p w14:paraId="23EE61B1" w14:textId="4A4DE502" w:rsidR="00D17D67" w:rsidRPr="005A16BC" w:rsidRDefault="00D17D67" w:rsidP="005A16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A38B2F" wp14:editId="43F877D4">
            <wp:extent cx="5943600" cy="1202690"/>
            <wp:effectExtent l="0" t="0" r="0" b="0"/>
            <wp:docPr id="2078034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084"/>
      </w:tblGrid>
      <w:tr w:rsidR="005A16BC" w:rsidRPr="005A16BC" w14:paraId="24AED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D4093" w14:textId="77777777" w:rsidR="005A16BC" w:rsidRPr="005A16BC" w:rsidRDefault="005A16BC" w:rsidP="005A16BC">
            <w:pPr>
              <w:rPr>
                <w:rFonts w:ascii="Roboto Mono" w:hAnsi="Roboto Mono"/>
                <w:b/>
                <w:bCs/>
              </w:rPr>
            </w:pPr>
            <w:r w:rsidRPr="005A16BC">
              <w:rPr>
                <w:rFonts w:ascii="Roboto Mono" w:hAnsi="Roboto Mono"/>
                <w:b/>
                <w:bCs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00930EE3" w14:textId="77777777" w:rsidR="005A16BC" w:rsidRPr="005A16BC" w:rsidRDefault="005A16BC" w:rsidP="005A16BC">
            <w:pPr>
              <w:rPr>
                <w:rFonts w:ascii="Roboto Mono" w:hAnsi="Roboto Mono"/>
                <w:b/>
                <w:bCs/>
              </w:rPr>
            </w:pPr>
            <w:r w:rsidRPr="005A16BC">
              <w:rPr>
                <w:rFonts w:ascii="Roboto Mono" w:hAnsi="Roboto Mono"/>
                <w:b/>
                <w:bCs/>
              </w:rPr>
              <w:t>BCE</w:t>
            </w:r>
          </w:p>
        </w:tc>
      </w:tr>
      <w:tr w:rsidR="005A16BC" w:rsidRPr="005A16BC" w14:paraId="0B5D8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1557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500 BC</w:t>
            </w:r>
          </w:p>
        </w:tc>
        <w:tc>
          <w:tcPr>
            <w:tcW w:w="0" w:type="auto"/>
            <w:vAlign w:val="center"/>
            <w:hideMark/>
          </w:tcPr>
          <w:p w14:paraId="71169BA2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500 BCE</w:t>
            </w:r>
          </w:p>
        </w:tc>
      </w:tr>
      <w:tr w:rsidR="005A16BC" w:rsidRPr="005A16BC" w14:paraId="1BE7A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29A1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44 BC</w:t>
            </w:r>
          </w:p>
        </w:tc>
        <w:tc>
          <w:tcPr>
            <w:tcW w:w="0" w:type="auto"/>
            <w:vAlign w:val="center"/>
            <w:hideMark/>
          </w:tcPr>
          <w:p w14:paraId="18F8CD46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44 BCE</w:t>
            </w:r>
          </w:p>
        </w:tc>
      </w:tr>
      <w:tr w:rsidR="005A16BC" w:rsidRPr="005A16BC" w14:paraId="5C72A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3A2E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lastRenderedPageBreak/>
              <w:t>1 BC</w:t>
            </w:r>
          </w:p>
        </w:tc>
        <w:tc>
          <w:tcPr>
            <w:tcW w:w="0" w:type="auto"/>
            <w:vAlign w:val="center"/>
            <w:hideMark/>
          </w:tcPr>
          <w:p w14:paraId="28E7B760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1 BCE</w:t>
            </w:r>
          </w:p>
        </w:tc>
      </w:tr>
    </w:tbl>
    <w:p w14:paraId="36976952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Only the terminology changes.</w:t>
      </w:r>
    </w:p>
    <w:p w14:paraId="69B03239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07F96564">
          <v:rect id="_x0000_i1157" style="width:0;height:1.5pt" o:hralign="center" o:hrstd="t" o:hr="t" fillcolor="#a0a0a0" stroked="f"/>
        </w:pict>
      </w:r>
    </w:p>
    <w:p w14:paraId="2783A0D5" w14:textId="77777777" w:rsidR="005A16BC" w:rsidRDefault="005A16BC" w:rsidP="005A16BC">
      <w:pPr>
        <w:pStyle w:val="Heading2"/>
      </w:pPr>
      <w:r w:rsidRPr="005A16BC">
        <w:t>Calendar Used</w:t>
      </w:r>
    </w:p>
    <w:p w14:paraId="29158785" w14:textId="39FCB8EE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BDC2F9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BCE year numbering is primarily used with the:</w:t>
      </w:r>
    </w:p>
    <w:p w14:paraId="2DEDC21E" w14:textId="77777777" w:rsidR="005A16BC" w:rsidRPr="005A16BC" w:rsidRDefault="005A16BC" w:rsidP="005A16BC">
      <w:pPr>
        <w:numPr>
          <w:ilvl w:val="0"/>
          <w:numId w:val="5"/>
        </w:numPr>
        <w:rPr>
          <w:rFonts w:ascii="Roboto Mono" w:hAnsi="Roboto Mono"/>
        </w:rPr>
      </w:pPr>
      <w:r w:rsidRPr="005A16BC">
        <w:rPr>
          <w:rFonts w:ascii="Roboto Mono" w:hAnsi="Roboto Mono"/>
          <w:b/>
          <w:bCs/>
        </w:rPr>
        <w:t>Gregorian Calendar</w:t>
      </w:r>
    </w:p>
    <w:p w14:paraId="153CD5E3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It may also be applied when discussing dates in the </w:t>
      </w:r>
      <w:r w:rsidRPr="005A16BC">
        <w:rPr>
          <w:rFonts w:ascii="Roboto Mono" w:hAnsi="Roboto Mono"/>
          <w:b/>
          <w:bCs/>
        </w:rPr>
        <w:t>Julian Calendar</w:t>
      </w:r>
      <w:r w:rsidRPr="005A16BC">
        <w:rPr>
          <w:rFonts w:ascii="Roboto Mono" w:hAnsi="Roboto Mono"/>
        </w:rPr>
        <w:t>, provided the calendar is clearly identified.</w:t>
      </w:r>
    </w:p>
    <w:p w14:paraId="59E628E6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05B35CD6">
          <v:rect id="_x0000_i1158" style="width:0;height:1.5pt" o:hralign="center" o:hrstd="t" o:hr="t" fillcolor="#a0a0a0" stroked="f"/>
        </w:pict>
      </w:r>
    </w:p>
    <w:p w14:paraId="6DBBEBAC" w14:textId="77777777" w:rsidR="005A16BC" w:rsidRDefault="005A16BC" w:rsidP="005A16BC">
      <w:pPr>
        <w:pStyle w:val="Heading2"/>
      </w:pPr>
      <w:r w:rsidRPr="005A16BC">
        <w:t>Applications</w:t>
      </w:r>
    </w:p>
    <w:p w14:paraId="51EE9E73" w14:textId="4A418F66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4D29CE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The BCE system is commonly used in:</w:t>
      </w:r>
    </w:p>
    <w:p w14:paraId="7449BBA5" w14:textId="77777777" w:rsidR="005A16BC" w:rsidRPr="005A16BC" w:rsidRDefault="005A16BC" w:rsidP="005A16BC">
      <w:pPr>
        <w:numPr>
          <w:ilvl w:val="0"/>
          <w:numId w:val="6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History textbooks</w:t>
      </w:r>
    </w:p>
    <w:p w14:paraId="4BB093CA" w14:textId="77777777" w:rsidR="005A16BC" w:rsidRPr="005A16BC" w:rsidRDefault="005A16BC" w:rsidP="005A16BC">
      <w:pPr>
        <w:numPr>
          <w:ilvl w:val="0"/>
          <w:numId w:val="6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Archaeology</w:t>
      </w:r>
    </w:p>
    <w:p w14:paraId="5022871F" w14:textId="77777777" w:rsidR="005A16BC" w:rsidRPr="005A16BC" w:rsidRDefault="005A16BC" w:rsidP="005A16BC">
      <w:pPr>
        <w:numPr>
          <w:ilvl w:val="0"/>
          <w:numId w:val="6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Anthropology</w:t>
      </w:r>
    </w:p>
    <w:p w14:paraId="57A688D3" w14:textId="77777777" w:rsidR="005A16BC" w:rsidRPr="005A16BC" w:rsidRDefault="005A16BC" w:rsidP="005A16BC">
      <w:pPr>
        <w:numPr>
          <w:ilvl w:val="0"/>
          <w:numId w:val="6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Museums</w:t>
      </w:r>
    </w:p>
    <w:p w14:paraId="2ADBFB51" w14:textId="77777777" w:rsidR="005A16BC" w:rsidRPr="005A16BC" w:rsidRDefault="005A16BC" w:rsidP="005A16BC">
      <w:pPr>
        <w:numPr>
          <w:ilvl w:val="0"/>
          <w:numId w:val="6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Academic journals</w:t>
      </w:r>
    </w:p>
    <w:p w14:paraId="54452525" w14:textId="77777777" w:rsidR="005A16BC" w:rsidRPr="005A16BC" w:rsidRDefault="005A16BC" w:rsidP="005A16BC">
      <w:pPr>
        <w:numPr>
          <w:ilvl w:val="0"/>
          <w:numId w:val="6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Scientific publications</w:t>
      </w:r>
    </w:p>
    <w:p w14:paraId="7BAEEAA8" w14:textId="77777777" w:rsidR="005A16BC" w:rsidRPr="005A16BC" w:rsidRDefault="005A16BC" w:rsidP="005A16BC">
      <w:pPr>
        <w:numPr>
          <w:ilvl w:val="0"/>
          <w:numId w:val="6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International organizations</w:t>
      </w:r>
    </w:p>
    <w:p w14:paraId="006D36A8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4CFD375D">
          <v:rect id="_x0000_i1159" style="width:0;height:1.5pt" o:hralign="center" o:hrstd="t" o:hr="t" fillcolor="#a0a0a0" stroked="f"/>
        </w:pict>
      </w:r>
    </w:p>
    <w:p w14:paraId="78D675D0" w14:textId="77777777" w:rsidR="005A16BC" w:rsidRDefault="005A16BC" w:rsidP="005A16BC">
      <w:pPr>
        <w:pStyle w:val="Heading2"/>
      </w:pPr>
      <w:r w:rsidRPr="005A16BC">
        <w:t>Examples</w:t>
      </w:r>
    </w:p>
    <w:p w14:paraId="2A3845AE" w14:textId="4BD5E03A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72A1E6" w14:textId="77777777" w:rsid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lastRenderedPageBreak/>
        <w:t>Examples of well-known BCE dates:</w:t>
      </w:r>
    </w:p>
    <w:p w14:paraId="71A29E9E" w14:textId="3A54F467" w:rsidR="0080409F" w:rsidRPr="005A16BC" w:rsidRDefault="0080409F" w:rsidP="005A16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759542" wp14:editId="7AACBA04">
            <wp:extent cx="5943600" cy="1212850"/>
            <wp:effectExtent l="0" t="0" r="0" b="6350"/>
            <wp:docPr id="1069569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2"/>
        <w:gridCol w:w="1618"/>
      </w:tblGrid>
      <w:tr w:rsidR="005A16BC" w:rsidRPr="005A16BC" w14:paraId="2B120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9EB2C" w14:textId="77777777" w:rsidR="005A16BC" w:rsidRPr="005A16BC" w:rsidRDefault="005A16BC" w:rsidP="005A16BC">
            <w:pPr>
              <w:rPr>
                <w:rFonts w:ascii="Roboto Mono" w:hAnsi="Roboto Mono"/>
                <w:b/>
                <w:bCs/>
              </w:rPr>
            </w:pPr>
            <w:r w:rsidRPr="005A16BC">
              <w:rPr>
                <w:rFonts w:ascii="Roboto Mono" w:hAnsi="Roboto Mono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57F98B4" w14:textId="77777777" w:rsidR="005A16BC" w:rsidRPr="005A16BC" w:rsidRDefault="005A16BC" w:rsidP="005A16BC">
            <w:pPr>
              <w:rPr>
                <w:rFonts w:ascii="Roboto Mono" w:hAnsi="Roboto Mono"/>
                <w:b/>
                <w:bCs/>
              </w:rPr>
            </w:pPr>
            <w:r w:rsidRPr="005A16BC">
              <w:rPr>
                <w:rFonts w:ascii="Roboto Mono" w:hAnsi="Roboto Mono"/>
                <w:b/>
                <w:bCs/>
              </w:rPr>
              <w:t>Date</w:t>
            </w:r>
          </w:p>
        </w:tc>
      </w:tr>
      <w:tr w:rsidR="005A16BC" w:rsidRPr="005A16BC" w14:paraId="11FC9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796F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Construction of the Great Pyramid of Giza (approximate)</w:t>
            </w:r>
          </w:p>
        </w:tc>
        <w:tc>
          <w:tcPr>
            <w:tcW w:w="0" w:type="auto"/>
            <w:vAlign w:val="center"/>
            <w:hideMark/>
          </w:tcPr>
          <w:p w14:paraId="48737FD9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c. 2560 BCE</w:t>
            </w:r>
          </w:p>
        </w:tc>
      </w:tr>
      <w:tr w:rsidR="005A16BC" w:rsidRPr="005A16BC" w14:paraId="79CCC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5B4B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Traditional founding of Rome</w:t>
            </w:r>
          </w:p>
        </w:tc>
        <w:tc>
          <w:tcPr>
            <w:tcW w:w="0" w:type="auto"/>
            <w:vAlign w:val="center"/>
            <w:hideMark/>
          </w:tcPr>
          <w:p w14:paraId="2329130E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753 BCE</w:t>
            </w:r>
          </w:p>
        </w:tc>
      </w:tr>
      <w:tr w:rsidR="005A16BC" w:rsidRPr="005A16BC" w14:paraId="2D6C7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A1EB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Assassination of Julius Caesar</w:t>
            </w:r>
          </w:p>
        </w:tc>
        <w:tc>
          <w:tcPr>
            <w:tcW w:w="0" w:type="auto"/>
            <w:vAlign w:val="center"/>
            <w:hideMark/>
          </w:tcPr>
          <w:p w14:paraId="5226969A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44 BCE</w:t>
            </w:r>
          </w:p>
        </w:tc>
      </w:tr>
    </w:tbl>
    <w:p w14:paraId="34306707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2941B86A">
          <v:rect id="_x0000_i1160" style="width:0;height:1.5pt" o:hralign="center" o:hrstd="t" o:hr="t" fillcolor="#a0a0a0" stroked="f"/>
        </w:pict>
      </w:r>
    </w:p>
    <w:p w14:paraId="3FED495D" w14:textId="77777777" w:rsidR="005A16BC" w:rsidRDefault="005A16BC" w:rsidP="005A16BC">
      <w:pPr>
        <w:pStyle w:val="Heading2"/>
      </w:pPr>
      <w:r w:rsidRPr="005A16BC">
        <w:t>Advantages</w:t>
      </w:r>
    </w:p>
    <w:p w14:paraId="16CA186F" w14:textId="621822EE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245C1D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The BCE system:</w:t>
      </w:r>
    </w:p>
    <w:p w14:paraId="46EE8A85" w14:textId="77777777" w:rsidR="005A16BC" w:rsidRPr="005A16BC" w:rsidRDefault="005A16BC" w:rsidP="005A16BC">
      <w:pPr>
        <w:numPr>
          <w:ilvl w:val="0"/>
          <w:numId w:val="7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Uses neutral terminology.</w:t>
      </w:r>
    </w:p>
    <w:p w14:paraId="4844DCD1" w14:textId="77777777" w:rsidR="005A16BC" w:rsidRPr="005A16BC" w:rsidRDefault="005A16BC" w:rsidP="005A16BC">
      <w:pPr>
        <w:numPr>
          <w:ilvl w:val="0"/>
          <w:numId w:val="7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Maintains compatibility with BC/AD year numbering.</w:t>
      </w:r>
    </w:p>
    <w:p w14:paraId="14D8293A" w14:textId="77777777" w:rsidR="005A16BC" w:rsidRPr="005A16BC" w:rsidRDefault="005A16BC" w:rsidP="005A16BC">
      <w:pPr>
        <w:numPr>
          <w:ilvl w:val="0"/>
          <w:numId w:val="7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Is widely accepted in academic and international settings.</w:t>
      </w:r>
    </w:p>
    <w:p w14:paraId="43B24DBE" w14:textId="77777777" w:rsidR="005A16BC" w:rsidRPr="005A16BC" w:rsidRDefault="005A16BC" w:rsidP="005A16BC">
      <w:pPr>
        <w:numPr>
          <w:ilvl w:val="0"/>
          <w:numId w:val="7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Allows consistent historical dating across cultures.</w:t>
      </w:r>
    </w:p>
    <w:p w14:paraId="2A5D4A4A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594C74E0">
          <v:rect id="_x0000_i1161" style="width:0;height:1.5pt" o:hralign="center" o:hrstd="t" o:hr="t" fillcolor="#a0a0a0" stroked="f"/>
        </w:pict>
      </w:r>
    </w:p>
    <w:p w14:paraId="57F7D1AC" w14:textId="77777777" w:rsidR="005A16BC" w:rsidRDefault="005A16BC" w:rsidP="005A16BC">
      <w:pPr>
        <w:pStyle w:val="Heading2"/>
      </w:pPr>
      <w:r w:rsidRPr="005A16BC">
        <w:t>Limitations</w:t>
      </w:r>
    </w:p>
    <w:p w14:paraId="0D24C9C9" w14:textId="575DD5B2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3396B0" w14:textId="77777777" w:rsidR="005A16BC" w:rsidRPr="005A16BC" w:rsidRDefault="005A16BC" w:rsidP="005A16BC">
      <w:pPr>
        <w:numPr>
          <w:ilvl w:val="0"/>
          <w:numId w:val="8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Some historical and religious publications continue to use </w:t>
      </w:r>
      <w:r w:rsidRPr="005A16BC">
        <w:rPr>
          <w:rFonts w:ascii="Roboto Mono" w:hAnsi="Roboto Mono"/>
          <w:b/>
          <w:bCs/>
        </w:rPr>
        <w:t>BC/AD</w:t>
      </w:r>
      <w:r w:rsidRPr="005A16BC">
        <w:rPr>
          <w:rFonts w:ascii="Roboto Mono" w:hAnsi="Roboto Mono"/>
        </w:rPr>
        <w:t>.</w:t>
      </w:r>
    </w:p>
    <w:p w14:paraId="2B28CAA9" w14:textId="77777777" w:rsidR="005A16BC" w:rsidRPr="005A16BC" w:rsidRDefault="005A16BC" w:rsidP="005A16BC">
      <w:pPr>
        <w:numPr>
          <w:ilvl w:val="0"/>
          <w:numId w:val="8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lastRenderedPageBreak/>
        <w:t>Readers unfamiliar with BCE/CE may initially confuse the abbreviations.</w:t>
      </w:r>
    </w:p>
    <w:p w14:paraId="56F37E60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652CA252">
          <v:rect id="_x0000_i1162" style="width:0;height:1.5pt" o:hralign="center" o:hrstd="t" o:hr="t" fillcolor="#a0a0a0" stroked="f"/>
        </w:pict>
      </w:r>
    </w:p>
    <w:p w14:paraId="5643FF91" w14:textId="77777777" w:rsidR="005A16BC" w:rsidRDefault="005A16BC" w:rsidP="005A16BC">
      <w:pPr>
        <w:pStyle w:val="Heading2"/>
      </w:pPr>
      <w:r w:rsidRPr="005A16BC">
        <w:t>Common Mistakes</w:t>
      </w:r>
    </w:p>
    <w:p w14:paraId="38BADED5" w14:textId="740350EA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B03D96" w14:textId="77777777" w:rsidR="005A16BC" w:rsidRPr="005A16BC" w:rsidRDefault="005A16BC" w:rsidP="005A16BC">
      <w:pPr>
        <w:numPr>
          <w:ilvl w:val="0"/>
          <w:numId w:val="9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Thinking </w:t>
      </w:r>
      <w:r w:rsidRPr="005A16BC">
        <w:rPr>
          <w:rFonts w:ascii="Roboto Mono" w:hAnsi="Roboto Mono"/>
          <w:b/>
          <w:bCs/>
        </w:rPr>
        <w:t>BCE</w:t>
      </w:r>
      <w:r w:rsidRPr="005A16BC">
        <w:rPr>
          <w:rFonts w:ascii="Roboto Mono" w:hAnsi="Roboto Mono"/>
        </w:rPr>
        <w:t xml:space="preserve"> uses different year numbers than </w:t>
      </w:r>
      <w:r w:rsidRPr="005A16BC">
        <w:rPr>
          <w:rFonts w:ascii="Roboto Mono" w:hAnsi="Roboto Mono"/>
          <w:b/>
          <w:bCs/>
        </w:rPr>
        <w:t>BC</w:t>
      </w:r>
      <w:r w:rsidRPr="005A16BC">
        <w:rPr>
          <w:rFonts w:ascii="Roboto Mono" w:hAnsi="Roboto Mono"/>
        </w:rPr>
        <w:t>.</w:t>
      </w:r>
    </w:p>
    <w:p w14:paraId="49376A26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It does </w:t>
      </w:r>
      <w:r w:rsidRPr="005A16BC">
        <w:rPr>
          <w:rFonts w:ascii="Roboto Mono" w:hAnsi="Roboto Mono"/>
          <w:b/>
          <w:bCs/>
        </w:rPr>
        <w:t>not</w:t>
      </w:r>
      <w:r w:rsidRPr="005A16BC">
        <w:rPr>
          <w:rFonts w:ascii="Roboto Mono" w:hAnsi="Roboto Mono"/>
        </w:rPr>
        <w:t>.</w:t>
      </w:r>
    </w:p>
    <w:p w14:paraId="6DF018A8" w14:textId="77777777" w:rsidR="005A16BC" w:rsidRPr="005A16BC" w:rsidRDefault="005A16BC" w:rsidP="005A16BC">
      <w:pPr>
        <w:numPr>
          <w:ilvl w:val="0"/>
          <w:numId w:val="9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Assuming there is a </w:t>
      </w:r>
      <w:r w:rsidRPr="005A16BC">
        <w:rPr>
          <w:rFonts w:ascii="Roboto Mono" w:hAnsi="Roboto Mono"/>
          <w:b/>
          <w:bCs/>
        </w:rPr>
        <w:t>Year 0</w:t>
      </w:r>
      <w:r w:rsidRPr="005A16BC">
        <w:rPr>
          <w:rFonts w:ascii="Roboto Mono" w:hAnsi="Roboto Mono"/>
        </w:rPr>
        <w:t>.</w:t>
      </w:r>
    </w:p>
    <w:p w14:paraId="2EEED19B" w14:textId="77777777" w:rsidR="005A16BC" w:rsidRPr="005A16BC" w:rsidRDefault="005A16BC" w:rsidP="005A16BC">
      <w:pPr>
        <w:numPr>
          <w:ilvl w:val="0"/>
          <w:numId w:val="9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Believing </w:t>
      </w:r>
      <w:r w:rsidRPr="005A16BC">
        <w:rPr>
          <w:rFonts w:ascii="Roboto Mono" w:hAnsi="Roboto Mono"/>
          <w:b/>
          <w:bCs/>
        </w:rPr>
        <w:t>BCE</w:t>
      </w:r>
      <w:r w:rsidRPr="005A16BC">
        <w:rPr>
          <w:rFonts w:ascii="Roboto Mono" w:hAnsi="Roboto Mono"/>
        </w:rPr>
        <w:t xml:space="preserve"> represents a different calendar.</w:t>
      </w:r>
    </w:p>
    <w:p w14:paraId="1AEBE26E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>It uses the same Gregorian (or, historically, Julian) calendar year numbering.</w:t>
      </w:r>
    </w:p>
    <w:p w14:paraId="665A5580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7C5C01AC">
          <v:rect id="_x0000_i1163" style="width:0;height:1.5pt" o:hralign="center" o:hrstd="t" o:hr="t" fillcolor="#a0a0a0" stroked="f"/>
        </w:pict>
      </w:r>
    </w:p>
    <w:p w14:paraId="328EEA8A" w14:textId="77777777" w:rsidR="005A16BC" w:rsidRDefault="005A16BC" w:rsidP="005A16BC">
      <w:pPr>
        <w:pStyle w:val="Heading2"/>
      </w:pPr>
      <w:r w:rsidRPr="005A16BC">
        <w:t>Interesting Facts</w:t>
      </w:r>
    </w:p>
    <w:p w14:paraId="733392B5" w14:textId="0E1ACD48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C87E36" w14:textId="77777777" w:rsidR="005A16BC" w:rsidRPr="005A16BC" w:rsidRDefault="005A16BC" w:rsidP="005A16BC">
      <w:pPr>
        <w:numPr>
          <w:ilvl w:val="0"/>
          <w:numId w:val="10"/>
        </w:numPr>
        <w:rPr>
          <w:rFonts w:ascii="Roboto Mono" w:hAnsi="Roboto Mono"/>
        </w:rPr>
      </w:pPr>
      <w:r w:rsidRPr="005A16BC">
        <w:rPr>
          <w:rFonts w:ascii="Roboto Mono" w:hAnsi="Roboto Mono"/>
          <w:b/>
          <w:bCs/>
        </w:rPr>
        <w:t>BCE</w:t>
      </w:r>
      <w:r w:rsidRPr="005A16BC">
        <w:rPr>
          <w:rFonts w:ascii="Roboto Mono" w:hAnsi="Roboto Mono"/>
        </w:rPr>
        <w:t xml:space="preserve"> and </w:t>
      </w:r>
      <w:r w:rsidRPr="005A16BC">
        <w:rPr>
          <w:rFonts w:ascii="Roboto Mono" w:hAnsi="Roboto Mono"/>
          <w:b/>
          <w:bCs/>
        </w:rPr>
        <w:t>BC</w:t>
      </w:r>
      <w:r w:rsidRPr="005A16BC">
        <w:rPr>
          <w:rFonts w:ascii="Roboto Mono" w:hAnsi="Roboto Mono"/>
        </w:rPr>
        <w:t xml:space="preserve"> refer to the </w:t>
      </w:r>
      <w:r w:rsidRPr="005A16BC">
        <w:rPr>
          <w:rFonts w:ascii="Roboto Mono" w:hAnsi="Roboto Mono"/>
          <w:b/>
          <w:bCs/>
        </w:rPr>
        <w:t>same years</w:t>
      </w:r>
      <w:r w:rsidRPr="005A16BC">
        <w:rPr>
          <w:rFonts w:ascii="Roboto Mono" w:hAnsi="Roboto Mono"/>
        </w:rPr>
        <w:t>.</w:t>
      </w:r>
    </w:p>
    <w:p w14:paraId="399E9B6F" w14:textId="77777777" w:rsidR="005A16BC" w:rsidRPr="005A16BC" w:rsidRDefault="005A16BC" w:rsidP="005A16BC">
      <w:pPr>
        <w:numPr>
          <w:ilvl w:val="0"/>
          <w:numId w:val="10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Many universities, museums, encyclopedias, and scientific journals now use </w:t>
      </w:r>
      <w:r w:rsidRPr="005A16BC">
        <w:rPr>
          <w:rFonts w:ascii="Roboto Mono" w:hAnsi="Roboto Mono"/>
          <w:b/>
          <w:bCs/>
        </w:rPr>
        <w:t>BCE/CE</w:t>
      </w:r>
      <w:r w:rsidRPr="005A16BC">
        <w:rPr>
          <w:rFonts w:ascii="Roboto Mono" w:hAnsi="Roboto Mono"/>
        </w:rPr>
        <w:t xml:space="preserve"> as their standard notation.</w:t>
      </w:r>
    </w:p>
    <w:p w14:paraId="14BDC58C" w14:textId="77777777" w:rsidR="005A16BC" w:rsidRPr="005A16BC" w:rsidRDefault="005A16BC" w:rsidP="005A16BC">
      <w:pPr>
        <w:numPr>
          <w:ilvl w:val="0"/>
          <w:numId w:val="10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Switching from </w:t>
      </w:r>
      <w:r w:rsidRPr="005A16BC">
        <w:rPr>
          <w:rFonts w:ascii="Roboto Mono" w:hAnsi="Roboto Mono"/>
          <w:b/>
          <w:bCs/>
        </w:rPr>
        <w:t>BC</w:t>
      </w:r>
      <w:r w:rsidRPr="005A16BC">
        <w:rPr>
          <w:rFonts w:ascii="Roboto Mono" w:hAnsi="Roboto Mono"/>
        </w:rPr>
        <w:t xml:space="preserve"> to </w:t>
      </w:r>
      <w:r w:rsidRPr="005A16BC">
        <w:rPr>
          <w:rFonts w:ascii="Roboto Mono" w:hAnsi="Roboto Mono"/>
          <w:b/>
          <w:bCs/>
        </w:rPr>
        <w:t>BCE</w:t>
      </w:r>
      <w:r w:rsidRPr="005A16BC">
        <w:rPr>
          <w:rFonts w:ascii="Roboto Mono" w:hAnsi="Roboto Mono"/>
        </w:rPr>
        <w:t xml:space="preserve"> changes only the </w:t>
      </w:r>
      <w:r w:rsidRPr="005A16BC">
        <w:rPr>
          <w:rFonts w:ascii="Roboto Mono" w:hAnsi="Roboto Mono"/>
          <w:b/>
          <w:bCs/>
        </w:rPr>
        <w:t>label</w:t>
      </w:r>
      <w:r w:rsidRPr="005A16BC">
        <w:rPr>
          <w:rFonts w:ascii="Roboto Mono" w:hAnsi="Roboto Mono"/>
        </w:rPr>
        <w:t>, not the chronology.</w:t>
      </w:r>
    </w:p>
    <w:p w14:paraId="4F5045A1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70B9142D">
          <v:rect id="_x0000_i1164" style="width:0;height:1.5pt" o:hralign="center" o:hrstd="t" o:hr="t" fillcolor="#a0a0a0" stroked="f"/>
        </w:pict>
      </w:r>
    </w:p>
    <w:p w14:paraId="558C0D0D" w14:textId="77777777" w:rsidR="005A16BC" w:rsidRDefault="005A16BC" w:rsidP="005A16BC">
      <w:pPr>
        <w:pStyle w:val="Heading2"/>
      </w:pPr>
      <w:r w:rsidRPr="005A16BC">
        <w:t>Comparison with Other Year Numbering Systems</w:t>
      </w:r>
    </w:p>
    <w:p w14:paraId="37D431AE" w14:textId="6282BF25" w:rsidR="005A16BC" w:rsidRDefault="005A16BC" w:rsidP="005A16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325AF8" w14:textId="2F81EEED" w:rsidR="00542DB5" w:rsidRPr="005A16BC" w:rsidRDefault="00542DB5" w:rsidP="005A16BC">
      <w:r>
        <w:rPr>
          <w:noProof/>
        </w:rPr>
        <w:lastRenderedPageBreak/>
        <w:drawing>
          <wp:inline distT="0" distB="0" distL="0" distR="0" wp14:anchorId="74D182DA" wp14:editId="55005A7F">
            <wp:extent cx="5943600" cy="1600835"/>
            <wp:effectExtent l="0" t="0" r="0" b="0"/>
            <wp:docPr id="1393167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5692"/>
      </w:tblGrid>
      <w:tr w:rsidR="005A16BC" w:rsidRPr="005A16BC" w14:paraId="7CDA4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D8436" w14:textId="77777777" w:rsidR="005A16BC" w:rsidRPr="005A16BC" w:rsidRDefault="005A16BC" w:rsidP="005A16BC">
            <w:pPr>
              <w:rPr>
                <w:rFonts w:ascii="Roboto Mono" w:hAnsi="Roboto Mono"/>
                <w:b/>
                <w:bCs/>
              </w:rPr>
            </w:pPr>
            <w:r w:rsidRPr="005A16BC">
              <w:rPr>
                <w:rFonts w:ascii="Roboto Mono" w:hAnsi="Roboto Mono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525F94F" w14:textId="77777777" w:rsidR="005A16BC" w:rsidRPr="005A16BC" w:rsidRDefault="005A16BC" w:rsidP="005A16BC">
            <w:pPr>
              <w:rPr>
                <w:rFonts w:ascii="Roboto Mono" w:hAnsi="Roboto Mono"/>
                <w:b/>
                <w:bCs/>
              </w:rPr>
            </w:pPr>
            <w:r w:rsidRPr="005A16B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A16BC" w:rsidRPr="005A16BC" w14:paraId="313B6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B3C3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BCE</w:t>
            </w:r>
          </w:p>
        </w:tc>
        <w:tc>
          <w:tcPr>
            <w:tcW w:w="0" w:type="auto"/>
            <w:vAlign w:val="center"/>
            <w:hideMark/>
          </w:tcPr>
          <w:p w14:paraId="709C24C4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Before Common Era</w:t>
            </w:r>
          </w:p>
        </w:tc>
      </w:tr>
      <w:tr w:rsidR="005A16BC" w:rsidRPr="005A16BC" w14:paraId="6C639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6475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37D7C9C0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Before Christ</w:t>
            </w:r>
          </w:p>
        </w:tc>
      </w:tr>
      <w:tr w:rsidR="005A16BC" w:rsidRPr="005A16BC" w14:paraId="6D87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D1A6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3495AFD6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Common Era</w:t>
            </w:r>
          </w:p>
        </w:tc>
      </w:tr>
      <w:tr w:rsidR="005A16BC" w:rsidRPr="005A16BC" w14:paraId="34C61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153F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45C1BEEB" w14:textId="77777777" w:rsidR="005A16BC" w:rsidRPr="005A16BC" w:rsidRDefault="005A16BC" w:rsidP="005A16BC">
            <w:pPr>
              <w:rPr>
                <w:rFonts w:ascii="Roboto Mono" w:hAnsi="Roboto Mono"/>
              </w:rPr>
            </w:pPr>
            <w:r w:rsidRPr="005A16BC">
              <w:rPr>
                <w:rFonts w:ascii="Roboto Mono" w:hAnsi="Roboto Mono"/>
              </w:rPr>
              <w:t>Anno Domini ("In the Year of the Lord")</w:t>
            </w:r>
          </w:p>
        </w:tc>
      </w:tr>
    </w:tbl>
    <w:p w14:paraId="2F69A4C3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0747E362">
          <v:rect id="_x0000_i1165" style="width:0;height:1.5pt" o:hralign="center" o:hrstd="t" o:hr="t" fillcolor="#a0a0a0" stroked="f"/>
        </w:pict>
      </w:r>
    </w:p>
    <w:p w14:paraId="02E29932" w14:textId="77777777" w:rsidR="005A16BC" w:rsidRDefault="005A16BC" w:rsidP="005A16BC">
      <w:pPr>
        <w:pStyle w:val="Heading2"/>
      </w:pPr>
      <w:r w:rsidRPr="005A16BC">
        <w:t>Key Points</w:t>
      </w:r>
    </w:p>
    <w:p w14:paraId="4A4173CD" w14:textId="4C044DEC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1BCA29" w14:textId="77777777" w:rsidR="005A16BC" w:rsidRPr="005A16BC" w:rsidRDefault="005A16BC" w:rsidP="005A16BC">
      <w:pPr>
        <w:numPr>
          <w:ilvl w:val="0"/>
          <w:numId w:val="11"/>
        </w:numPr>
        <w:rPr>
          <w:rFonts w:ascii="Roboto Mono" w:hAnsi="Roboto Mono"/>
        </w:rPr>
      </w:pPr>
      <w:r w:rsidRPr="005A16BC">
        <w:rPr>
          <w:rFonts w:ascii="Roboto Mono" w:hAnsi="Roboto Mono"/>
          <w:b/>
          <w:bCs/>
        </w:rPr>
        <w:t>BCE</w:t>
      </w:r>
      <w:r w:rsidRPr="005A16BC">
        <w:rPr>
          <w:rFonts w:ascii="Roboto Mono" w:hAnsi="Roboto Mono"/>
        </w:rPr>
        <w:t xml:space="preserve"> stands for </w:t>
      </w:r>
      <w:r w:rsidRPr="005A16BC">
        <w:rPr>
          <w:rFonts w:ascii="Roboto Mono" w:hAnsi="Roboto Mono"/>
          <w:b/>
          <w:bCs/>
        </w:rPr>
        <w:t>Before Common Era</w:t>
      </w:r>
      <w:r w:rsidRPr="005A16BC">
        <w:rPr>
          <w:rFonts w:ascii="Roboto Mono" w:hAnsi="Roboto Mono"/>
        </w:rPr>
        <w:t>.</w:t>
      </w:r>
    </w:p>
    <w:p w14:paraId="27276D2D" w14:textId="77777777" w:rsidR="005A16BC" w:rsidRPr="005A16BC" w:rsidRDefault="005A16BC" w:rsidP="005A16BC">
      <w:pPr>
        <w:numPr>
          <w:ilvl w:val="0"/>
          <w:numId w:val="1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It uses the </w:t>
      </w:r>
      <w:r w:rsidRPr="005A16BC">
        <w:rPr>
          <w:rFonts w:ascii="Roboto Mono" w:hAnsi="Roboto Mono"/>
          <w:b/>
          <w:bCs/>
        </w:rPr>
        <w:t>same year numbers</w:t>
      </w:r>
      <w:r w:rsidRPr="005A16BC">
        <w:rPr>
          <w:rFonts w:ascii="Roboto Mono" w:hAnsi="Roboto Mono"/>
        </w:rPr>
        <w:t xml:space="preserve"> as </w:t>
      </w:r>
      <w:r w:rsidRPr="005A16BC">
        <w:rPr>
          <w:rFonts w:ascii="Roboto Mono" w:hAnsi="Roboto Mono"/>
          <w:b/>
          <w:bCs/>
        </w:rPr>
        <w:t>BC</w:t>
      </w:r>
      <w:r w:rsidRPr="005A16BC">
        <w:rPr>
          <w:rFonts w:ascii="Roboto Mono" w:hAnsi="Roboto Mono"/>
        </w:rPr>
        <w:t>.</w:t>
      </w:r>
    </w:p>
    <w:p w14:paraId="2E941F81" w14:textId="77777777" w:rsidR="005A16BC" w:rsidRPr="005A16BC" w:rsidRDefault="005A16BC" w:rsidP="005A16BC">
      <w:pPr>
        <w:numPr>
          <w:ilvl w:val="0"/>
          <w:numId w:val="1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BCE years count backward toward </w:t>
      </w:r>
      <w:r w:rsidRPr="005A16BC">
        <w:rPr>
          <w:rFonts w:ascii="Roboto Mono" w:hAnsi="Roboto Mono"/>
          <w:b/>
          <w:bCs/>
        </w:rPr>
        <w:t>1 CE</w:t>
      </w:r>
      <w:r w:rsidRPr="005A16BC">
        <w:rPr>
          <w:rFonts w:ascii="Roboto Mono" w:hAnsi="Roboto Mono"/>
        </w:rPr>
        <w:t>.</w:t>
      </w:r>
    </w:p>
    <w:p w14:paraId="03896EA2" w14:textId="77777777" w:rsidR="005A16BC" w:rsidRPr="005A16BC" w:rsidRDefault="005A16BC" w:rsidP="005A16BC">
      <w:pPr>
        <w:numPr>
          <w:ilvl w:val="0"/>
          <w:numId w:val="1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There is </w:t>
      </w:r>
      <w:r w:rsidRPr="005A16BC">
        <w:rPr>
          <w:rFonts w:ascii="Roboto Mono" w:hAnsi="Roboto Mono"/>
          <w:b/>
          <w:bCs/>
        </w:rPr>
        <w:t>no Year 0</w:t>
      </w:r>
      <w:r w:rsidRPr="005A16BC">
        <w:rPr>
          <w:rFonts w:ascii="Roboto Mono" w:hAnsi="Roboto Mono"/>
        </w:rPr>
        <w:t>.</w:t>
      </w:r>
    </w:p>
    <w:p w14:paraId="4A65FD5D" w14:textId="77777777" w:rsidR="005A16BC" w:rsidRPr="005A16BC" w:rsidRDefault="005A16BC" w:rsidP="005A16BC">
      <w:pPr>
        <w:numPr>
          <w:ilvl w:val="0"/>
          <w:numId w:val="11"/>
        </w:numPr>
        <w:rPr>
          <w:rFonts w:ascii="Roboto Mono" w:hAnsi="Roboto Mono"/>
        </w:rPr>
      </w:pPr>
      <w:r w:rsidRPr="005A16BC">
        <w:rPr>
          <w:rFonts w:ascii="Roboto Mono" w:hAnsi="Roboto Mono"/>
        </w:rPr>
        <w:t>BCE is widely used in academic, historical, scientific, and international contexts.</w:t>
      </w:r>
    </w:p>
    <w:p w14:paraId="45B5C1AF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pict w14:anchorId="6BEAE2C4">
          <v:rect id="_x0000_i1166" style="width:0;height:1.5pt" o:hralign="center" o:hrstd="t" o:hr="t" fillcolor="#a0a0a0" stroked="f"/>
        </w:pict>
      </w:r>
    </w:p>
    <w:p w14:paraId="68D43BCD" w14:textId="77777777" w:rsidR="005A16BC" w:rsidRDefault="005A16BC" w:rsidP="005A16BC">
      <w:pPr>
        <w:pStyle w:val="Heading2"/>
      </w:pPr>
      <w:r w:rsidRPr="005A16BC">
        <w:t>Conclusion</w:t>
      </w:r>
    </w:p>
    <w:p w14:paraId="408612D3" w14:textId="728D01F7" w:rsidR="005A16BC" w:rsidRPr="005A16BC" w:rsidRDefault="005A16BC" w:rsidP="005A16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071086" w14:textId="77777777" w:rsidR="005A16BC" w:rsidRPr="005A16BC" w:rsidRDefault="005A16BC" w:rsidP="005A16BC">
      <w:pPr>
        <w:rPr>
          <w:rFonts w:ascii="Roboto Mono" w:hAnsi="Roboto Mono"/>
        </w:rPr>
      </w:pPr>
      <w:r w:rsidRPr="005A16BC">
        <w:rPr>
          <w:rFonts w:ascii="Roboto Mono" w:hAnsi="Roboto Mono"/>
        </w:rPr>
        <w:t xml:space="preserve">The </w:t>
      </w:r>
      <w:r w:rsidRPr="005A16BC">
        <w:rPr>
          <w:rFonts w:ascii="Roboto Mono" w:hAnsi="Roboto Mono"/>
          <w:b/>
          <w:bCs/>
        </w:rPr>
        <w:t>BCE Calendar (Before Common Era)</w:t>
      </w:r>
      <w:r w:rsidRPr="005A16BC">
        <w:rPr>
          <w:rFonts w:ascii="Roboto Mono" w:hAnsi="Roboto Mono"/>
        </w:rPr>
        <w:t xml:space="preserve"> is the modern, secular system for numbering years before the beginning of the Common </w:t>
      </w:r>
      <w:r w:rsidRPr="005A16BC">
        <w:rPr>
          <w:rFonts w:ascii="Roboto Mono" w:hAnsi="Roboto Mono"/>
        </w:rPr>
        <w:lastRenderedPageBreak/>
        <w:t xml:space="preserve">Era. It is numerically identical to the traditional </w:t>
      </w:r>
      <w:r w:rsidRPr="005A16BC">
        <w:rPr>
          <w:rFonts w:ascii="Roboto Mono" w:hAnsi="Roboto Mono"/>
          <w:b/>
          <w:bCs/>
        </w:rPr>
        <w:t>BC (Before Christ)</w:t>
      </w:r>
      <w:r w:rsidRPr="005A16BC">
        <w:rPr>
          <w:rFonts w:ascii="Roboto Mono" w:hAnsi="Roboto Mono"/>
        </w:rPr>
        <w:t xml:space="preserve"> system and differs only in terminology. By using neutral language while preserving the same chronology, the </w:t>
      </w:r>
      <w:r w:rsidRPr="005A16BC">
        <w:rPr>
          <w:rFonts w:ascii="Roboto Mono" w:hAnsi="Roboto Mono"/>
          <w:b/>
          <w:bCs/>
        </w:rPr>
        <w:t>BCE/CE</w:t>
      </w:r>
      <w:r w:rsidRPr="005A16BC">
        <w:rPr>
          <w:rFonts w:ascii="Roboto Mono" w:hAnsi="Roboto Mono"/>
        </w:rPr>
        <w:t xml:space="preserve"> system provides an inclusive and internationally accepted method for expressing historical dates across cultures, disciplines, and educational settings.</w:t>
      </w:r>
    </w:p>
    <w:p w14:paraId="35AC618D" w14:textId="77777777" w:rsidR="00A70480" w:rsidRPr="005A16BC" w:rsidRDefault="00A70480">
      <w:pPr>
        <w:rPr>
          <w:rFonts w:ascii="Roboto Mono" w:hAnsi="Roboto Mono"/>
        </w:rPr>
      </w:pPr>
    </w:p>
    <w:sectPr w:rsidR="00A70480" w:rsidRPr="005A1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637"/>
    <w:multiLevelType w:val="multilevel"/>
    <w:tmpl w:val="237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E7EEB"/>
    <w:multiLevelType w:val="multilevel"/>
    <w:tmpl w:val="906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526FD"/>
    <w:multiLevelType w:val="multilevel"/>
    <w:tmpl w:val="BE64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D232E"/>
    <w:multiLevelType w:val="multilevel"/>
    <w:tmpl w:val="A7B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818B8"/>
    <w:multiLevelType w:val="multilevel"/>
    <w:tmpl w:val="EAF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F7832"/>
    <w:multiLevelType w:val="multilevel"/>
    <w:tmpl w:val="C336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F5A3A"/>
    <w:multiLevelType w:val="multilevel"/>
    <w:tmpl w:val="6C3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80B9F"/>
    <w:multiLevelType w:val="multilevel"/>
    <w:tmpl w:val="2CB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60E95"/>
    <w:multiLevelType w:val="multilevel"/>
    <w:tmpl w:val="216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74DFC"/>
    <w:multiLevelType w:val="multilevel"/>
    <w:tmpl w:val="2126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D0A80"/>
    <w:multiLevelType w:val="multilevel"/>
    <w:tmpl w:val="DF4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95739">
    <w:abstractNumId w:val="7"/>
  </w:num>
  <w:num w:numId="2" w16cid:durableId="1376588872">
    <w:abstractNumId w:val="0"/>
  </w:num>
  <w:num w:numId="3" w16cid:durableId="767891907">
    <w:abstractNumId w:val="2"/>
  </w:num>
  <w:num w:numId="4" w16cid:durableId="679770329">
    <w:abstractNumId w:val="10"/>
  </w:num>
  <w:num w:numId="5" w16cid:durableId="1817606614">
    <w:abstractNumId w:val="9"/>
  </w:num>
  <w:num w:numId="6" w16cid:durableId="1114323301">
    <w:abstractNumId w:val="5"/>
  </w:num>
  <w:num w:numId="7" w16cid:durableId="139731898">
    <w:abstractNumId w:val="1"/>
  </w:num>
  <w:num w:numId="8" w16cid:durableId="812597574">
    <w:abstractNumId w:val="4"/>
  </w:num>
  <w:num w:numId="9" w16cid:durableId="1790778854">
    <w:abstractNumId w:val="6"/>
  </w:num>
  <w:num w:numId="10" w16cid:durableId="420299280">
    <w:abstractNumId w:val="3"/>
  </w:num>
  <w:num w:numId="11" w16cid:durableId="800003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6D"/>
    <w:rsid w:val="0026446D"/>
    <w:rsid w:val="002D1F4F"/>
    <w:rsid w:val="00542DB5"/>
    <w:rsid w:val="005A16BC"/>
    <w:rsid w:val="00711B4D"/>
    <w:rsid w:val="0074414D"/>
    <w:rsid w:val="0080409F"/>
    <w:rsid w:val="008952B3"/>
    <w:rsid w:val="00A70480"/>
    <w:rsid w:val="00AA00EA"/>
    <w:rsid w:val="00B368F5"/>
    <w:rsid w:val="00D1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4A40"/>
  <w15:chartTrackingRefBased/>
  <w15:docId w15:val="{4958C82E-9B98-46E5-BACE-B99458CC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2026-07-30T08:26:00Z</dcterms:created>
  <dcterms:modified xsi:type="dcterms:W3CDTF">2026-07-30T08:29:00Z</dcterms:modified>
</cp:coreProperties>
</file>