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799F" w14:textId="77777777" w:rsidR="006A6060" w:rsidRDefault="006A6060" w:rsidP="006A6060">
      <w:pPr>
        <w:pStyle w:val="Heading1"/>
      </w:pPr>
      <w:bookmarkStart w:id="0" w:name="_55abjt7ow4uu" w:colFirst="0" w:colLast="0"/>
      <w:bookmarkEnd w:id="0"/>
      <w:r>
        <w:t>Types of PoE Switches</w:t>
      </w:r>
    </w:p>
    <w:p w14:paraId="2A01A35A" w14:textId="77777777" w:rsidR="006A6060" w:rsidRDefault="006A6060" w:rsidP="006A60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E47E54" w14:textId="77777777" w:rsidR="006A6060" w:rsidRDefault="006A6060" w:rsidP="006A6060">
      <w:r>
        <w:rPr>
          <w:noProof/>
        </w:rPr>
        <w:drawing>
          <wp:inline distT="114300" distB="114300" distL="114300" distR="114300" wp14:anchorId="387DD97C" wp14:editId="4F0D3A85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6A6060" w14:paraId="669E6E1D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0CB2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DAA3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A6060" w14:paraId="32DCCB45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32A3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8AD5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Plug-and-play, no configuration needed.</w:t>
            </w:r>
          </w:p>
        </w:tc>
      </w:tr>
      <w:tr w:rsidR="006A6060" w14:paraId="4E18A410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F141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26A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Includes VLAN, traffic control, remote monitoring, and port power settings.</w:t>
            </w:r>
          </w:p>
        </w:tc>
      </w:tr>
      <w:tr w:rsidR="006A6060" w14:paraId="0A1F231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CEC9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A7C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Delivers fixed voltage regardless of device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 with caution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  <w:tr w:rsidR="006A6060" w14:paraId="3F6B8DB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78AE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9C0D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Negotiates power safely using PoE standards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recommended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</w:tbl>
    <w:p w14:paraId="1C279998" w14:textId="77777777" w:rsidR="006A6060" w:rsidRDefault="006A6060" w:rsidP="006A6060"/>
    <w:p w14:paraId="363C0AFA" w14:textId="77777777" w:rsidR="006A6060" w:rsidRDefault="006A6060" w:rsidP="006A6060"/>
    <w:p w14:paraId="0F5FC807" w14:textId="77777777" w:rsidR="00A70480" w:rsidRPr="006A6060" w:rsidRDefault="00A70480" w:rsidP="006A6060"/>
    <w:sectPr w:rsidR="00A70480" w:rsidRPr="006A6060" w:rsidSect="006A6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0"/>
    <w:rsid w:val="002D1F4F"/>
    <w:rsid w:val="006A606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9FA9"/>
  <w15:chartTrackingRefBased/>
  <w15:docId w15:val="{2B732873-5339-49A1-BA40-87366029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0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6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