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7B6A" w14:textId="77777777" w:rsidR="007C6CE5" w:rsidRPr="00C87B58" w:rsidRDefault="007C6CE5" w:rsidP="00B60073">
      <w:pPr>
        <w:pStyle w:val="Heading1"/>
        <w:rPr>
          <w:rFonts w:eastAsia="Arial"/>
          <w:lang w:val="en"/>
        </w:rPr>
      </w:pPr>
      <w:bookmarkStart w:id="0" w:name="_l5kj7xi486y" w:colFirst="0" w:colLast="0"/>
      <w:bookmarkEnd w:id="0"/>
      <w:r w:rsidRPr="00C87B58">
        <w:rPr>
          <w:rFonts w:eastAsia="Arial"/>
          <w:lang w:val="en"/>
        </w:rPr>
        <w:t>Central Bank</w:t>
      </w:r>
    </w:p>
    <w:p w14:paraId="3797850D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8062F" w14:textId="77777777" w:rsidR="007C6CE5" w:rsidRPr="00C87B58" w:rsidRDefault="007C6CE5" w:rsidP="00C87B5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87B5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bank</w:t>
      </w: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plays a critical role in the national and global </w:t>
      </w:r>
      <w:r w:rsidRPr="00C87B5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system infrastructure</w:t>
      </w: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acting as a </w:t>
      </w:r>
      <w:r w:rsidRPr="00C87B5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regulator, operator, and overseer</w:t>
      </w: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how money moves between banks, financial institutions, and payment providers. Its main function is to ensure </w:t>
      </w:r>
      <w:r w:rsidRPr="00C87B5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stability, security, and efficiency</w:t>
      </w: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the financial system.</w:t>
      </w:r>
    </w:p>
    <w:p w14:paraId="5C721755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827230">
          <v:rect id="_x0000_i1025" style="width:0;height:1.5pt" o:hralign="center" o:hrstd="t" o:hr="t" fillcolor="#a0a0a0" stroked="f"/>
        </w:pict>
      </w:r>
    </w:p>
    <w:p w14:paraId="1FF6050D" w14:textId="77777777" w:rsidR="007C6CE5" w:rsidRPr="00C87B58" w:rsidRDefault="007C6CE5" w:rsidP="00B60073">
      <w:pPr>
        <w:pStyle w:val="Heading2"/>
        <w:rPr>
          <w:rFonts w:eastAsia="Arial"/>
          <w:lang w:val="en"/>
        </w:rPr>
      </w:pPr>
      <w:bookmarkStart w:id="1" w:name="_1ufqg7hzt5m7" w:colFirst="0" w:colLast="0"/>
      <w:bookmarkEnd w:id="1"/>
      <w:r w:rsidRPr="00C87B58">
        <w:rPr>
          <w:rFonts w:ascii="Segoe UI Emoji" w:eastAsia="Arial" w:hAnsi="Segoe UI Emoji" w:cs="Segoe UI Emoji"/>
          <w:lang w:val="en"/>
        </w:rPr>
        <w:t>🧠</w:t>
      </w:r>
      <w:r w:rsidRPr="00C87B58">
        <w:rPr>
          <w:rFonts w:eastAsia="Arial"/>
          <w:lang w:val="en"/>
        </w:rPr>
        <w:t xml:space="preserve"> Simple Definition</w:t>
      </w:r>
    </w:p>
    <w:p w14:paraId="3C2C9026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A2E623" w14:textId="77777777" w:rsidR="007C6CE5" w:rsidRPr="00C87B58" w:rsidRDefault="007C6CE5" w:rsidP="00C87B58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C87B5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bank</w:t>
      </w: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C87B5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authority responsible for supervising, regulating, and supporting the infrastructure</w:t>
      </w:r>
      <w:r w:rsidRPr="00C87B5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secure, reliable, and legal payment transactions within a country.</w:t>
      </w:r>
    </w:p>
    <w:p w14:paraId="48638882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B635248">
          <v:rect id="_x0000_i1026" style="width:0;height:1.5pt" o:hralign="center" o:hrstd="t" o:hr="t" fillcolor="#a0a0a0" stroked="f"/>
        </w:pict>
      </w:r>
    </w:p>
    <w:p w14:paraId="2D78BB1E" w14:textId="77777777" w:rsidR="007C6CE5" w:rsidRPr="00C87B58" w:rsidRDefault="007C6CE5" w:rsidP="00B60073">
      <w:pPr>
        <w:pStyle w:val="Heading2"/>
        <w:rPr>
          <w:rFonts w:eastAsia="Arial"/>
          <w:lang w:val="en"/>
        </w:rPr>
      </w:pPr>
      <w:bookmarkStart w:id="2" w:name="_8ihggd1gac9s" w:colFirst="0" w:colLast="0"/>
      <w:bookmarkEnd w:id="2"/>
      <w:r w:rsidRPr="00C87B58">
        <w:rPr>
          <w:rFonts w:ascii="Segoe UI Emoji" w:eastAsia="Arial" w:hAnsi="Segoe UI Emoji" w:cs="Segoe UI Emoji"/>
          <w:lang w:val="en"/>
        </w:rPr>
        <w:t>🎯</w:t>
      </w:r>
      <w:r w:rsidRPr="00C87B58">
        <w:rPr>
          <w:rFonts w:eastAsia="Arial"/>
          <w:lang w:val="en"/>
        </w:rPr>
        <w:t xml:space="preserve"> Key Roles of the Central Bank in Payment Systems</w:t>
      </w:r>
    </w:p>
    <w:p w14:paraId="0BAF4A37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BECB10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87B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F1CCD8" wp14:editId="0E4C4A45">
            <wp:extent cx="5943600" cy="2730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5525"/>
      </w:tblGrid>
      <w:tr w:rsidR="007C6CE5" w:rsidRPr="00C87B58" w14:paraId="1926AE2E" w14:textId="77777777" w:rsidTr="00946108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10FA9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2A0FB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C6CE5" w:rsidRPr="00C87B58" w14:paraId="36F9AD86" w14:textId="77777777" w:rsidTr="00946108">
        <w:trPr>
          <w:trHeight w:val="83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CAE3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🏦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 &amp; Settlement Infrastructure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85ECC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or oversees interbank clearing systems (e.g. RTGS, ACH)</w:t>
            </w:r>
          </w:p>
        </w:tc>
      </w:tr>
      <w:tr w:rsidR="007C6CE5" w:rsidRPr="00C87B58" w14:paraId="3E55A1DB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B96F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Regulatory Oversight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0A34D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Enforces rules, licensing, and standards for banks and payment providers</w:t>
            </w:r>
          </w:p>
        </w:tc>
      </w:tr>
      <w:tr w:rsidR="007C6CE5" w:rsidRPr="00C87B58" w14:paraId="7E4134CB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F2313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Liquidity Provider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18BEA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emergency liquidity to banks to ensure uninterrupted settlements</w:t>
            </w:r>
          </w:p>
        </w:tc>
      </w:tr>
      <w:tr w:rsidR="007C6CE5" w:rsidRPr="00C87B58" w14:paraId="32F8C506" w14:textId="77777777" w:rsidTr="00946108">
        <w:trPr>
          <w:trHeight w:val="83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5712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Stability &amp; Risk Management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02CF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that systems are resilient to fraud, failure, or collapse</w:t>
            </w:r>
          </w:p>
        </w:tc>
      </w:tr>
      <w:tr w:rsidR="007C6CE5" w:rsidRPr="00C87B58" w14:paraId="145EC39B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3A8B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Monetary Policy Support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1A54A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payment data to help shape inflation control and interest rates</w:t>
            </w:r>
          </w:p>
        </w:tc>
      </w:tr>
      <w:tr w:rsidR="007C6CE5" w:rsidRPr="00C87B58" w14:paraId="66053AB3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2BBDF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Interoperability Leadership</w:t>
            </w:r>
          </w:p>
        </w:tc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1415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Promotes integration between banks, wallets, fintech, and card networks</w:t>
            </w:r>
          </w:p>
        </w:tc>
      </w:tr>
    </w:tbl>
    <w:p w14:paraId="71A9D365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5892DC">
          <v:rect id="_x0000_i1027" style="width:0;height:1.5pt" o:hralign="center" o:hrstd="t" o:hr="t" fillcolor="#a0a0a0" stroked="f"/>
        </w:pict>
      </w:r>
    </w:p>
    <w:p w14:paraId="1B1FB8E3" w14:textId="77777777" w:rsidR="007C6CE5" w:rsidRPr="00C87B58" w:rsidRDefault="007C6CE5" w:rsidP="00B60073">
      <w:pPr>
        <w:pStyle w:val="Heading2"/>
        <w:rPr>
          <w:rFonts w:eastAsia="Arial"/>
          <w:lang w:val="en"/>
        </w:rPr>
      </w:pPr>
      <w:bookmarkStart w:id="3" w:name="_k2dbq3v1wvx" w:colFirst="0" w:colLast="0"/>
      <w:bookmarkEnd w:id="3"/>
      <w:r w:rsidRPr="00C87B58">
        <w:rPr>
          <w:rFonts w:ascii="Segoe UI Emoji" w:eastAsia="Arial" w:hAnsi="Segoe UI Emoji" w:cs="Segoe UI Emoji"/>
          <w:lang w:val="en"/>
        </w:rPr>
        <w:t>🔄</w:t>
      </w:r>
      <w:r w:rsidRPr="00C87B58">
        <w:rPr>
          <w:rFonts w:eastAsia="Arial"/>
          <w:lang w:val="en"/>
        </w:rPr>
        <w:t xml:space="preserve"> Functions in the Payment Ecosystem</w:t>
      </w:r>
    </w:p>
    <w:p w14:paraId="2B04A539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433D7E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87B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C9FDB4" wp14:editId="2316A48E">
            <wp:extent cx="5943600" cy="26797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9AF70B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5510"/>
      </w:tblGrid>
      <w:tr w:rsidR="007C6CE5" w:rsidRPr="00C87B58" w14:paraId="50D0D670" w14:textId="77777777" w:rsidTr="00946108">
        <w:trPr>
          <w:trHeight w:val="515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4CF7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9961D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7C6CE5" w:rsidRPr="00C87B58" w14:paraId="4CE13E85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F62EC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Operate Real-Time Gross Settlement (RTGS)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E894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Settling large-value interbank transactions (e.g., Fedwire, CBE RTGS)</w:t>
            </w:r>
          </w:p>
        </w:tc>
      </w:tr>
      <w:tr w:rsidR="007C6CE5" w:rsidRPr="00C87B58" w14:paraId="4D8E7379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5C77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Supervise Mobile Money Systems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02D81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Licensing providers like Vodafone Cash under strict guidelines</w:t>
            </w:r>
          </w:p>
        </w:tc>
      </w:tr>
      <w:tr w:rsidR="007C6CE5" w:rsidRPr="00C87B58" w14:paraId="02D9EB73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0B8FA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Maintain Payment Switches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4EB8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Operate or regulate shared platforms like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Meeza (Egypt)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PesaLink (Kenya)</w:t>
            </w:r>
          </w:p>
        </w:tc>
      </w:tr>
      <w:tr w:rsidR="007C6CE5" w:rsidRPr="00C87B58" w14:paraId="30EE4654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3EE4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Enforce PCI &amp; AML Regulations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B9FCC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Mandating fraud detection, KYC, and data protection standards</w:t>
            </w:r>
          </w:p>
        </w:tc>
      </w:tr>
      <w:tr w:rsidR="007C6CE5" w:rsidRPr="00C87B58" w14:paraId="7ACCBD9B" w14:textId="77777777" w:rsidTr="00946108">
        <w:trPr>
          <w:trHeight w:val="800"/>
        </w:trPr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CC99A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Authorize Cross-Border Payments</w:t>
            </w: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EDE8E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Define how international payments are cleared</w:t>
            </w:r>
          </w:p>
        </w:tc>
      </w:tr>
    </w:tbl>
    <w:p w14:paraId="1B92E337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D06E1C1">
          <v:rect id="_x0000_i1028" style="width:0;height:1.5pt" o:hralign="center" o:hrstd="t" o:hr="t" fillcolor="#a0a0a0" stroked="f"/>
        </w:pict>
      </w:r>
    </w:p>
    <w:p w14:paraId="6D236ADA" w14:textId="77777777" w:rsidR="007C6CE5" w:rsidRPr="00C87B58" w:rsidRDefault="007C6CE5" w:rsidP="00B60073">
      <w:pPr>
        <w:pStyle w:val="Heading2"/>
        <w:rPr>
          <w:rFonts w:eastAsia="Arial"/>
          <w:lang w:val="en"/>
        </w:rPr>
      </w:pPr>
      <w:bookmarkStart w:id="4" w:name="_3lmrw3g5uk52" w:colFirst="0" w:colLast="0"/>
      <w:bookmarkEnd w:id="4"/>
      <w:r w:rsidRPr="00C87B58">
        <w:rPr>
          <w:rFonts w:ascii="Segoe UI Emoji" w:eastAsia="Arial" w:hAnsi="Segoe UI Emoji" w:cs="Segoe UI Emoji"/>
          <w:lang w:val="en"/>
        </w:rPr>
        <w:t>🌍</w:t>
      </w:r>
      <w:r w:rsidRPr="00C87B58">
        <w:rPr>
          <w:rFonts w:eastAsia="Arial"/>
          <w:lang w:val="en"/>
        </w:rPr>
        <w:t xml:space="preserve"> Examples of Central Banks in Action</w:t>
      </w:r>
    </w:p>
    <w:p w14:paraId="02C71E0B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D82E64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87B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6B39DF9" wp14:editId="23C030C0">
            <wp:extent cx="5943600" cy="21717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8741F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98"/>
        <w:gridCol w:w="2820"/>
        <w:gridCol w:w="5442"/>
      </w:tblGrid>
      <w:tr w:rsidR="007C6CE5" w:rsidRPr="00C87B58" w14:paraId="19DD0B7A" w14:textId="77777777" w:rsidTr="00946108">
        <w:trPr>
          <w:trHeight w:val="515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B7FCF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Country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30B08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AFBDC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National Payment Role</w:t>
            </w:r>
          </w:p>
        </w:tc>
      </w:tr>
      <w:tr w:rsidR="007C6CE5" w:rsidRPr="00C87B58" w14:paraId="1EC8B0AA" w14:textId="77777777" w:rsidTr="00946108">
        <w:trPr>
          <w:trHeight w:val="800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E1804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Egypt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4358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 of Egypt (CBE)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06468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Oversees Meeza, InstaPay, mobile money, RTGS</w:t>
            </w:r>
          </w:p>
        </w:tc>
      </w:tr>
      <w:tr w:rsidR="007C6CE5" w:rsidRPr="00C87B58" w14:paraId="275C2427" w14:textId="77777777" w:rsidTr="00946108">
        <w:trPr>
          <w:trHeight w:val="800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E3D28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CE160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Federal Reserve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F0268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Runs Fedwire and regulates ACH and banking networks</w:t>
            </w:r>
          </w:p>
        </w:tc>
      </w:tr>
      <w:tr w:rsidR="007C6CE5" w:rsidRPr="00C87B58" w14:paraId="5ED3D8A5" w14:textId="77777777" w:rsidTr="00946108">
        <w:trPr>
          <w:trHeight w:val="800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3B3E1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UK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6BB1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of England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864E7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CHAPS (RTGS) and supervises settlement systems</w:t>
            </w:r>
          </w:p>
        </w:tc>
      </w:tr>
      <w:tr w:rsidR="007C6CE5" w:rsidRPr="00C87B58" w14:paraId="42D5C81E" w14:textId="77777777" w:rsidTr="00946108">
        <w:trPr>
          <w:trHeight w:val="800"/>
        </w:trPr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0CFC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India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DC743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Reserve Bank of India (RBI)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21328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Oversees UPI, NEFT, IMPS, RuPay, and wallet regulations</w:t>
            </w:r>
          </w:p>
        </w:tc>
      </w:tr>
    </w:tbl>
    <w:p w14:paraId="1E6B0A1B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0F8F2B">
          <v:rect id="_x0000_i1029" style="width:0;height:1.5pt" o:hralign="center" o:hrstd="t" o:hr="t" fillcolor="#a0a0a0" stroked="f"/>
        </w:pict>
      </w:r>
    </w:p>
    <w:p w14:paraId="0B6F742B" w14:textId="77777777" w:rsidR="007C6CE5" w:rsidRPr="00C87B58" w:rsidRDefault="007C6CE5" w:rsidP="00B60073">
      <w:pPr>
        <w:pStyle w:val="Heading2"/>
        <w:rPr>
          <w:rFonts w:ascii="Arial" w:eastAsia="Arial" w:hAnsi="Arial" w:cs="Arial"/>
          <w:lang w:val="en"/>
        </w:rPr>
      </w:pPr>
      <w:bookmarkStart w:id="5" w:name="_whpj23jj0jd6" w:colFirst="0" w:colLast="0"/>
      <w:bookmarkEnd w:id="5"/>
      <w:r w:rsidRPr="00C87B58">
        <w:rPr>
          <w:rFonts w:ascii="Segoe UI Emoji" w:eastAsia="Arial Unicode MS" w:hAnsi="Segoe UI Emoji" w:cs="Segoe UI Emoji"/>
          <w:lang w:val="en"/>
        </w:rPr>
        <w:t>✅</w:t>
      </w:r>
      <w:r w:rsidRPr="00C87B58">
        <w:rPr>
          <w:rFonts w:eastAsia="Arial Unicode MS"/>
          <w:lang w:val="en"/>
        </w:rPr>
        <w:t xml:space="preserve"> Why the Central Bank Is Important</w:t>
      </w:r>
    </w:p>
    <w:p w14:paraId="4DC85E9A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E210A4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87B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1B00AE" wp14:editId="69F5DF43">
            <wp:extent cx="5943600" cy="1638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A51D1F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275"/>
      </w:tblGrid>
      <w:tr w:rsidR="007C6CE5" w:rsidRPr="00C87B58" w14:paraId="281BDF3F" w14:textId="77777777" w:rsidTr="00946108">
        <w:trPr>
          <w:trHeight w:val="51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B1B48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Area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27E16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7C6CE5" w:rsidRPr="00C87B58" w14:paraId="21719CB3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031C7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7A7B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the payment system is protected against systemic risks</w:t>
            </w:r>
          </w:p>
        </w:tc>
      </w:tr>
      <w:tr w:rsidR="007C6CE5" w:rsidRPr="00C87B58" w14:paraId="42350619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349A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Transparency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FCCEA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audits, reporting, and fair pricing by providers</w:t>
            </w:r>
          </w:p>
        </w:tc>
      </w:tr>
      <w:tr w:rsidR="007C6CE5" w:rsidRPr="00C87B58" w14:paraId="3E6FC3D0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C5CD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⚖️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Fair Access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BFF5A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Promotes access to underserved areas and financial inclusion</w:t>
            </w:r>
          </w:p>
        </w:tc>
      </w:tr>
      <w:tr w:rsidR="007C6CE5" w:rsidRPr="00C87B58" w14:paraId="67F0FA30" w14:textId="77777777" w:rsidTr="00946108">
        <w:trPr>
          <w:trHeight w:val="54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CB2B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Monetary Sovereignty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A21D7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control over national currency flow</w:t>
            </w:r>
          </w:p>
        </w:tc>
      </w:tr>
    </w:tbl>
    <w:p w14:paraId="22BAEF69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F4273C">
          <v:rect id="_x0000_i1030" style="width:0;height:1.5pt" o:hralign="center" o:hrstd="t" o:hr="t" fillcolor="#a0a0a0" stroked="f"/>
        </w:pict>
      </w:r>
    </w:p>
    <w:p w14:paraId="787F5F2A" w14:textId="77777777" w:rsidR="007C6CE5" w:rsidRPr="00C87B58" w:rsidRDefault="007C6CE5" w:rsidP="00B60073">
      <w:pPr>
        <w:pStyle w:val="Heading2"/>
        <w:rPr>
          <w:rFonts w:eastAsia="Arial"/>
          <w:lang w:val="en"/>
        </w:rPr>
      </w:pPr>
      <w:bookmarkStart w:id="6" w:name="_trtz0svx725i" w:colFirst="0" w:colLast="0"/>
      <w:bookmarkEnd w:id="6"/>
      <w:r w:rsidRPr="00C87B58">
        <w:rPr>
          <w:rFonts w:ascii="Segoe UI Emoji" w:eastAsia="Arial" w:hAnsi="Segoe UI Emoji" w:cs="Segoe UI Emoji"/>
          <w:lang w:val="en"/>
        </w:rPr>
        <w:t>🧠</w:t>
      </w:r>
      <w:r w:rsidRPr="00C87B58">
        <w:rPr>
          <w:rFonts w:eastAsia="Arial"/>
          <w:lang w:val="en"/>
        </w:rPr>
        <w:t xml:space="preserve"> Summary</w:t>
      </w:r>
    </w:p>
    <w:p w14:paraId="4972CE29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BD721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87B5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82F531" wp14:editId="73052932">
            <wp:extent cx="5943600" cy="1676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8FDD4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5615"/>
      </w:tblGrid>
      <w:tr w:rsidR="007C6CE5" w:rsidRPr="00C87B58" w14:paraId="5B7F8BFD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E9CFD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49C3" w14:textId="77777777" w:rsidR="007C6CE5" w:rsidRPr="00C87B58" w:rsidRDefault="007C6CE5" w:rsidP="00C87B5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Central Bank</w:t>
            </w:r>
          </w:p>
        </w:tc>
      </w:tr>
      <w:tr w:rsidR="007C6CE5" w:rsidRPr="00C87B58" w14:paraId="7814425D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A540F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Role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7938C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Regulator and operator of national payment systems</w:t>
            </w:r>
          </w:p>
        </w:tc>
      </w:tr>
      <w:tr w:rsidR="007C6CE5" w:rsidRPr="00C87B58" w14:paraId="3B4A0004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2E831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Supervises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263C2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Banks, payment service providers, fintechs</w:t>
            </w:r>
          </w:p>
        </w:tc>
      </w:tr>
      <w:tr w:rsidR="007C6CE5" w:rsidRPr="00C87B58" w14:paraId="2BB1C5A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F5AB8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0057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Settlement platforms (RTGS, ACH), liquidity, standards</w:t>
            </w:r>
          </w:p>
        </w:tc>
      </w:tr>
      <w:tr w:rsidR="007C6CE5" w:rsidRPr="00C87B58" w14:paraId="58A90C20" w14:textId="77777777" w:rsidTr="00946108">
        <w:trPr>
          <w:trHeight w:val="515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7518E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Promotes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AAE5" w14:textId="77777777" w:rsidR="007C6CE5" w:rsidRPr="00C87B58" w:rsidRDefault="007C6CE5" w:rsidP="00C87B5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87B5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Financial stability, innovation, and interoperability</w:t>
            </w:r>
          </w:p>
        </w:tc>
      </w:tr>
    </w:tbl>
    <w:p w14:paraId="6843080E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91EEA2">
          <v:rect id="_x0000_i1031" style="width:0;height:1.5pt" o:hralign="center" o:hrstd="t" o:hr="t" fillcolor="#a0a0a0" stroked="f"/>
        </w:pict>
      </w:r>
    </w:p>
    <w:p w14:paraId="6E98F885" w14:textId="77777777" w:rsidR="007C6CE5" w:rsidRPr="00C87B58" w:rsidRDefault="007C6CE5" w:rsidP="00C87B5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82F4AF" w14:textId="77777777" w:rsidR="007C6CE5" w:rsidRPr="00C87B58" w:rsidRDefault="007C6CE5" w:rsidP="00C87B58"/>
    <w:p w14:paraId="64FC873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E5"/>
    <w:rsid w:val="001B018C"/>
    <w:rsid w:val="002D1F4F"/>
    <w:rsid w:val="00711B4D"/>
    <w:rsid w:val="007C6CE5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9D8AB"/>
  <w15:chartTrackingRefBased/>
  <w15:docId w15:val="{00CB5DAA-3E3C-4AD8-9583-9C32A8C39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