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25A9" w14:textId="77777777" w:rsidR="00F6669A" w:rsidRPr="0040492D" w:rsidRDefault="00F6669A" w:rsidP="00B86B13">
      <w:pPr>
        <w:pStyle w:val="Heading1"/>
        <w:rPr>
          <w:rFonts w:eastAsia="Arial"/>
          <w:lang w:val="en"/>
        </w:rPr>
      </w:pPr>
      <w:bookmarkStart w:id="0" w:name="_hcuimgrcn95b" w:colFirst="0" w:colLast="0"/>
      <w:bookmarkEnd w:id="0"/>
      <w:r w:rsidRPr="0040492D">
        <w:rPr>
          <w:rFonts w:eastAsia="Arial"/>
          <w:lang w:val="en"/>
        </w:rPr>
        <w:t>Clearing House</w:t>
      </w:r>
    </w:p>
    <w:p w14:paraId="5D899F6E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B63367" w14:textId="77777777" w:rsidR="00F6669A" w:rsidRPr="0040492D" w:rsidRDefault="00F6669A" w:rsidP="0040492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049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clearing house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key intermediary in payment systems that </w:t>
      </w:r>
      <w:r w:rsidRPr="004049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processes, validates, and matches payment instructions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financial institutions before final settlement. It ensures that all parties agree on the transaction details and prepares transactions to be </w:t>
      </w:r>
      <w:r w:rsidRPr="004049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settled accurately and securely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in batches.</w:t>
      </w:r>
    </w:p>
    <w:p w14:paraId="7FDEB43B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1E6548">
          <v:rect id="_x0000_i1025" style="width:0;height:1.5pt" o:hralign="center" o:hrstd="t" o:hr="t" fillcolor="#a0a0a0" stroked="f"/>
        </w:pict>
      </w:r>
    </w:p>
    <w:p w14:paraId="1DB53605" w14:textId="77777777" w:rsidR="00F6669A" w:rsidRPr="0040492D" w:rsidRDefault="00F6669A" w:rsidP="00B86B13">
      <w:pPr>
        <w:pStyle w:val="Heading2"/>
        <w:rPr>
          <w:rFonts w:eastAsia="Arial"/>
          <w:lang w:val="en"/>
        </w:rPr>
      </w:pPr>
      <w:bookmarkStart w:id="1" w:name="_ikd1bycm32mz" w:colFirst="0" w:colLast="0"/>
      <w:bookmarkEnd w:id="1"/>
      <w:r w:rsidRPr="0040492D">
        <w:rPr>
          <w:rFonts w:ascii="Segoe UI Emoji" w:eastAsia="Arial" w:hAnsi="Segoe UI Emoji" w:cs="Segoe UI Emoji"/>
          <w:lang w:val="en"/>
        </w:rPr>
        <w:t>🧠</w:t>
      </w:r>
      <w:r w:rsidRPr="0040492D">
        <w:rPr>
          <w:rFonts w:eastAsia="Arial"/>
          <w:lang w:val="en"/>
        </w:rPr>
        <w:t xml:space="preserve"> Simple Definition</w:t>
      </w:r>
    </w:p>
    <w:p w14:paraId="4BE61796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23B10E" w14:textId="77777777" w:rsidR="00F6669A" w:rsidRPr="0040492D" w:rsidRDefault="00F6669A" w:rsidP="0040492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049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clearing house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institution that </w:t>
      </w:r>
      <w:r w:rsidRPr="004049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facilitates the exchange of payment instructions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banks or payment providers, checks for consistency, and prepares them for final settlement at the central bank or another settlement entity.</w:t>
      </w:r>
    </w:p>
    <w:p w14:paraId="554C3E93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2030E1">
          <v:rect id="_x0000_i1026" style="width:0;height:1.5pt" o:hralign="center" o:hrstd="t" o:hr="t" fillcolor="#a0a0a0" stroked="f"/>
        </w:pict>
      </w:r>
    </w:p>
    <w:p w14:paraId="69097B18" w14:textId="77777777" w:rsidR="00F6669A" w:rsidRPr="0040492D" w:rsidRDefault="00F6669A" w:rsidP="00B86B13">
      <w:pPr>
        <w:pStyle w:val="Heading2"/>
        <w:rPr>
          <w:rFonts w:eastAsia="Arial"/>
          <w:lang w:val="en"/>
        </w:rPr>
      </w:pPr>
      <w:bookmarkStart w:id="2" w:name="_n861xgkjruz5" w:colFirst="0" w:colLast="0"/>
      <w:bookmarkEnd w:id="2"/>
      <w:r w:rsidRPr="0040492D">
        <w:rPr>
          <w:rFonts w:ascii="Segoe UI Emoji" w:eastAsia="Arial" w:hAnsi="Segoe UI Emoji" w:cs="Segoe UI Emoji"/>
          <w:lang w:val="en"/>
        </w:rPr>
        <w:t>🔄</w:t>
      </w:r>
      <w:r w:rsidRPr="0040492D">
        <w:rPr>
          <w:rFonts w:eastAsia="Arial"/>
          <w:lang w:val="en"/>
        </w:rPr>
        <w:t xml:space="preserve"> Clearing vs Settlement</w:t>
      </w:r>
    </w:p>
    <w:p w14:paraId="2BC444ED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94FF95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A412E5" wp14:editId="1C75B7E1">
            <wp:extent cx="5943600" cy="914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DB58C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7880"/>
      </w:tblGrid>
      <w:tr w:rsidR="00F6669A" w:rsidRPr="0040492D" w14:paraId="0551663C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A7B19" w14:textId="77777777" w:rsidR="00F6669A" w:rsidRPr="0040492D" w:rsidRDefault="00F6669A" w:rsidP="0040492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Stage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1539C" w14:textId="77777777" w:rsidR="00F6669A" w:rsidRPr="0040492D" w:rsidRDefault="00F6669A" w:rsidP="0040492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6669A" w:rsidRPr="0040492D" w14:paraId="57B337EF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BC81E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Clearing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8E2D8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Matching and validating transaction data between parties</w:t>
            </w:r>
          </w:p>
        </w:tc>
      </w:tr>
      <w:tr w:rsidR="00F6669A" w:rsidRPr="0040492D" w14:paraId="272A47C5" w14:textId="77777777" w:rsidTr="00946108">
        <w:trPr>
          <w:trHeight w:val="8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9FE6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3E663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Actual transfer of funds between institutions’ accounts (usually via central bank)</w:t>
            </w:r>
          </w:p>
        </w:tc>
      </w:tr>
    </w:tbl>
    <w:p w14:paraId="1C10284F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000AA6">
          <v:rect id="_x0000_i1027" style="width:0;height:1.5pt" o:hralign="center" o:hrstd="t" o:hr="t" fillcolor="#a0a0a0" stroked="f"/>
        </w:pict>
      </w:r>
    </w:p>
    <w:p w14:paraId="32E72D13" w14:textId="77777777" w:rsidR="00F6669A" w:rsidRPr="0040492D" w:rsidRDefault="00F6669A" w:rsidP="00B86B13">
      <w:pPr>
        <w:pStyle w:val="Heading2"/>
        <w:rPr>
          <w:rFonts w:eastAsia="Arial"/>
          <w:lang w:val="en"/>
        </w:rPr>
      </w:pPr>
      <w:bookmarkStart w:id="3" w:name="_o7xfvls4p6h1" w:colFirst="0" w:colLast="0"/>
      <w:bookmarkEnd w:id="3"/>
      <w:r w:rsidRPr="0040492D">
        <w:rPr>
          <w:rFonts w:ascii="Segoe UI Emoji" w:eastAsia="Arial" w:hAnsi="Segoe UI Emoji" w:cs="Segoe UI Emoji"/>
          <w:lang w:val="en"/>
        </w:rPr>
        <w:t>🎯</w:t>
      </w:r>
      <w:r w:rsidRPr="0040492D">
        <w:rPr>
          <w:rFonts w:eastAsia="Arial"/>
          <w:lang w:val="en"/>
        </w:rPr>
        <w:t xml:space="preserve"> Core Functions of a Clearing House</w:t>
      </w:r>
    </w:p>
    <w:p w14:paraId="69B90B97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FE89F3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1C00A9" wp14:editId="2C525000">
            <wp:extent cx="5943600" cy="2349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FF3746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5585"/>
      </w:tblGrid>
      <w:tr w:rsidR="00F6669A" w:rsidRPr="0040492D" w14:paraId="38E93FFB" w14:textId="77777777" w:rsidTr="00946108">
        <w:trPr>
          <w:trHeight w:val="5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45FC" w14:textId="77777777" w:rsidR="00F6669A" w:rsidRPr="0040492D" w:rsidRDefault="00F6669A" w:rsidP="0040492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187F2" w14:textId="77777777" w:rsidR="00F6669A" w:rsidRPr="0040492D" w:rsidRDefault="00F6669A" w:rsidP="0040492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6669A" w:rsidRPr="0040492D" w14:paraId="2A54581F" w14:textId="77777777" w:rsidTr="00946108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5DC4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Receives payment files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22362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Collects transaction instructions from banks or fintechs</w:t>
            </w:r>
          </w:p>
        </w:tc>
      </w:tr>
      <w:tr w:rsidR="00F6669A" w:rsidRPr="0040492D" w14:paraId="7780C5E1" w14:textId="77777777" w:rsidTr="00946108">
        <w:trPr>
          <w:trHeight w:val="8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557DC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Matches &amp; sorts transactions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480C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sender/receiver details are correct and formatted</w:t>
            </w:r>
          </w:p>
        </w:tc>
      </w:tr>
      <w:tr w:rsidR="00F6669A" w:rsidRPr="0040492D" w14:paraId="55F8221C" w14:textId="77777777" w:rsidTr="00946108">
        <w:trPr>
          <w:trHeight w:val="8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4460F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🧮</w:t>
            </w: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Calculates net positions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06C50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Computes how much each bank owes or is owed (netting)</w:t>
            </w:r>
          </w:p>
        </w:tc>
      </w:tr>
      <w:tr w:rsidR="00F6669A" w:rsidRPr="0040492D" w14:paraId="58B2AB46" w14:textId="77777777" w:rsidTr="00946108">
        <w:trPr>
          <w:trHeight w:val="83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17F57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Generates settlement instructions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EE70E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results to the central bank or settlement entity</w:t>
            </w:r>
          </w:p>
        </w:tc>
      </w:tr>
      <w:tr w:rsidR="00F6669A" w:rsidRPr="0040492D" w14:paraId="1FDFF029" w14:textId="77777777" w:rsidTr="00946108">
        <w:trPr>
          <w:trHeight w:val="8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7631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📋</w:t>
            </w: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Provides audit trail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026DF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Logs all activity and reporting for transparency and compliance</w:t>
            </w:r>
          </w:p>
        </w:tc>
      </w:tr>
      <w:tr w:rsidR="00F6669A" w:rsidRPr="0040492D" w14:paraId="4EF0DC20" w14:textId="77777777" w:rsidTr="00946108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22BE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Applies risk checks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AC8AA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limits, fraud flags, and regulatory compliance</w:t>
            </w:r>
          </w:p>
        </w:tc>
      </w:tr>
    </w:tbl>
    <w:p w14:paraId="0939A493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A543CB">
          <v:rect id="_x0000_i1028" style="width:0;height:1.5pt" o:hralign="center" o:hrstd="t" o:hr="t" fillcolor="#a0a0a0" stroked="f"/>
        </w:pict>
      </w:r>
    </w:p>
    <w:p w14:paraId="036B52EE" w14:textId="77777777" w:rsidR="00F6669A" w:rsidRPr="0040492D" w:rsidRDefault="00F6669A" w:rsidP="00B86B13">
      <w:pPr>
        <w:pStyle w:val="Heading2"/>
        <w:rPr>
          <w:rFonts w:eastAsia="Arial"/>
          <w:lang w:val="en"/>
        </w:rPr>
      </w:pPr>
      <w:bookmarkStart w:id="4" w:name="_d0nu2tb32nmy" w:colFirst="0" w:colLast="0"/>
      <w:bookmarkEnd w:id="4"/>
      <w:r w:rsidRPr="0040492D">
        <w:rPr>
          <w:rFonts w:ascii="Segoe UI Emoji" w:eastAsia="Arial" w:hAnsi="Segoe UI Emoji" w:cs="Segoe UI Emoji"/>
          <w:lang w:val="en"/>
        </w:rPr>
        <w:t>🏦</w:t>
      </w:r>
      <w:r w:rsidRPr="0040492D">
        <w:rPr>
          <w:rFonts w:eastAsia="Arial"/>
          <w:lang w:val="en"/>
        </w:rPr>
        <w:t xml:space="preserve"> Types of Clearing Houses</w:t>
      </w:r>
    </w:p>
    <w:p w14:paraId="4759186D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0AEEA1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D3EC89" wp14:editId="19262A20">
            <wp:extent cx="5943600" cy="2095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7178F1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3200"/>
        <w:gridCol w:w="3200"/>
      </w:tblGrid>
      <w:tr w:rsidR="00F6669A" w:rsidRPr="0040492D" w14:paraId="7C29F899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A950" w14:textId="77777777" w:rsidR="00F6669A" w:rsidRPr="0040492D" w:rsidRDefault="00F6669A" w:rsidP="0040492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15454" w14:textId="77777777" w:rsidR="00F6669A" w:rsidRPr="0040492D" w:rsidRDefault="00F6669A" w:rsidP="0040492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Systems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CF46D" w14:textId="77777777" w:rsidR="00F6669A" w:rsidRPr="0040492D" w:rsidRDefault="00F6669A" w:rsidP="0040492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F6669A" w:rsidRPr="0040492D" w14:paraId="41C2DE1F" w14:textId="77777777" w:rsidTr="00946108">
        <w:trPr>
          <w:trHeight w:val="8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30149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ACH (Automated Clearing House)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54987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NACHA (USA), ACH Egypt, SEPA (EU)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8B32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debit, salary, bill payments</w:t>
            </w:r>
          </w:p>
        </w:tc>
      </w:tr>
      <w:tr w:rsidR="00F6669A" w:rsidRPr="0040492D" w14:paraId="23372992" w14:textId="77777777" w:rsidTr="00946108">
        <w:trPr>
          <w:trHeight w:val="8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26BF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Cheque Clearing House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B6546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ECC (India), Cheque Truncation System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8F9E2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Interbank cheque settlement</w:t>
            </w:r>
          </w:p>
        </w:tc>
      </w:tr>
      <w:tr w:rsidR="00F6669A" w:rsidRPr="0040492D" w14:paraId="17CF1ADA" w14:textId="77777777" w:rsidTr="00946108">
        <w:trPr>
          <w:trHeight w:val="8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2910C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Clearing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32605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Visa, Mastercard networks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64B2E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Authorizing and clearing card payments</w:t>
            </w:r>
          </w:p>
        </w:tc>
      </w:tr>
      <w:tr w:rsidR="00F6669A" w:rsidRPr="0040492D" w14:paraId="281DFB17" w14:textId="77777777" w:rsidTr="00946108">
        <w:trPr>
          <w:trHeight w:val="8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C953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Money Switches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974D5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GhIPSS (Ghana), PesaLink (Kenya)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3D6A3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Wallet-to-bank/mobile money settlement</w:t>
            </w:r>
          </w:p>
        </w:tc>
      </w:tr>
    </w:tbl>
    <w:p w14:paraId="21366CF6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269325">
          <v:rect id="_x0000_i1029" style="width:0;height:1.5pt" o:hralign="center" o:hrstd="t" o:hr="t" fillcolor="#a0a0a0" stroked="f"/>
        </w:pict>
      </w:r>
    </w:p>
    <w:p w14:paraId="3FFED768" w14:textId="77777777" w:rsidR="00F6669A" w:rsidRPr="0040492D" w:rsidRDefault="00F6669A" w:rsidP="00B86B13">
      <w:pPr>
        <w:pStyle w:val="Heading2"/>
        <w:rPr>
          <w:rFonts w:eastAsia="Arial"/>
          <w:lang w:val="en"/>
        </w:rPr>
      </w:pPr>
      <w:bookmarkStart w:id="5" w:name="_1we2arj28ch1" w:colFirst="0" w:colLast="0"/>
      <w:bookmarkEnd w:id="5"/>
      <w:r w:rsidRPr="0040492D">
        <w:rPr>
          <w:rFonts w:ascii="Segoe UI Emoji" w:eastAsia="Arial" w:hAnsi="Segoe UI Emoji" w:cs="Segoe UI Emoji"/>
          <w:lang w:val="en"/>
        </w:rPr>
        <w:t>🌍</w:t>
      </w:r>
      <w:r w:rsidRPr="0040492D">
        <w:rPr>
          <w:rFonts w:eastAsia="Arial"/>
          <w:lang w:val="en"/>
        </w:rPr>
        <w:t xml:space="preserve"> Examples of National Clearing Houses</w:t>
      </w:r>
    </w:p>
    <w:p w14:paraId="2E9A99E8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0F2D0C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2AC5E5" wp14:editId="4BF6CBD7">
            <wp:extent cx="5943600" cy="2171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02868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9"/>
        <w:gridCol w:w="3928"/>
        <w:gridCol w:w="4333"/>
      </w:tblGrid>
      <w:tr w:rsidR="00F6669A" w:rsidRPr="0040492D" w14:paraId="08429B61" w14:textId="77777777" w:rsidTr="00946108">
        <w:trPr>
          <w:trHeight w:val="515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B1225" w14:textId="77777777" w:rsidR="00F6669A" w:rsidRPr="0040492D" w:rsidRDefault="00F6669A" w:rsidP="0040492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F2BB" w14:textId="77777777" w:rsidR="00F6669A" w:rsidRPr="0040492D" w:rsidRDefault="00F6669A" w:rsidP="0040492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Clearing House</w:t>
            </w:r>
          </w:p>
        </w:tc>
        <w:tc>
          <w:tcPr>
            <w:tcW w:w="43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3A8E1" w14:textId="77777777" w:rsidR="00F6669A" w:rsidRPr="0040492D" w:rsidRDefault="00F6669A" w:rsidP="0040492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F6669A" w:rsidRPr="0040492D" w14:paraId="26154D41" w14:textId="77777777" w:rsidTr="00946108">
        <w:trPr>
          <w:trHeight w:val="800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F9155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USA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75374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NACHA (ACH network)</w:t>
            </w:r>
          </w:p>
        </w:tc>
        <w:tc>
          <w:tcPr>
            <w:tcW w:w="43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9606E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Clears electronic payments between US banks</w:t>
            </w:r>
          </w:p>
        </w:tc>
      </w:tr>
      <w:tr w:rsidR="00F6669A" w:rsidRPr="0040492D" w14:paraId="3312088F" w14:textId="77777777" w:rsidTr="00946108">
        <w:trPr>
          <w:trHeight w:val="515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82AB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E9B9B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 Egypt (under CBE)</w:t>
            </w:r>
          </w:p>
        </w:tc>
        <w:tc>
          <w:tcPr>
            <w:tcW w:w="43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8012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local interbank credit transfers</w:t>
            </w:r>
          </w:p>
        </w:tc>
      </w:tr>
      <w:tr w:rsidR="00F6669A" w:rsidRPr="0040492D" w14:paraId="17A08926" w14:textId="77777777" w:rsidTr="00946108">
        <w:trPr>
          <w:trHeight w:val="800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F1D81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BC99C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NPCI (National Payments Corp. of India)</w:t>
            </w:r>
          </w:p>
        </w:tc>
        <w:tc>
          <w:tcPr>
            <w:tcW w:w="43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24728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NEFT, IMPS, UPI, RuPay</w:t>
            </w:r>
          </w:p>
        </w:tc>
      </w:tr>
      <w:tr w:rsidR="00F6669A" w:rsidRPr="0040492D" w14:paraId="7FAE7541" w14:textId="77777777" w:rsidTr="00946108">
        <w:trPr>
          <w:trHeight w:val="515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3274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Ghana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2FBB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GhIPSS</w:t>
            </w:r>
          </w:p>
        </w:tc>
        <w:tc>
          <w:tcPr>
            <w:tcW w:w="43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FD7C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Clears mobile and interbank payments</w:t>
            </w:r>
          </w:p>
        </w:tc>
      </w:tr>
      <w:tr w:rsidR="00F6669A" w:rsidRPr="0040492D" w14:paraId="3BBD0073" w14:textId="77777777" w:rsidTr="00946108">
        <w:trPr>
          <w:trHeight w:val="515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53E70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EU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94A65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 Clearing (EBA Clearing, ECB)</w:t>
            </w:r>
          </w:p>
        </w:tc>
        <w:tc>
          <w:tcPr>
            <w:tcW w:w="43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7DA43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Euro payments across EU countries</w:t>
            </w:r>
          </w:p>
        </w:tc>
      </w:tr>
    </w:tbl>
    <w:p w14:paraId="5CC719E3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E7C875">
          <v:rect id="_x0000_i1030" style="width:0;height:1.5pt" o:hralign="center" o:hrstd="t" o:hr="t" fillcolor="#a0a0a0" stroked="f"/>
        </w:pict>
      </w:r>
    </w:p>
    <w:p w14:paraId="5D38F8B2" w14:textId="77777777" w:rsidR="00F6669A" w:rsidRPr="0040492D" w:rsidRDefault="00F6669A" w:rsidP="00B86B13">
      <w:pPr>
        <w:pStyle w:val="Heading2"/>
        <w:rPr>
          <w:rFonts w:ascii="Arial" w:eastAsia="Arial" w:hAnsi="Arial" w:cs="Arial"/>
          <w:lang w:val="en"/>
        </w:rPr>
      </w:pPr>
      <w:bookmarkStart w:id="6" w:name="_ry8rqpdq0hjj" w:colFirst="0" w:colLast="0"/>
      <w:bookmarkEnd w:id="6"/>
      <w:r w:rsidRPr="0040492D">
        <w:rPr>
          <w:rFonts w:ascii="Segoe UI Emoji" w:eastAsia="Arial Unicode MS" w:hAnsi="Segoe UI Emoji" w:cs="Segoe UI Emoji"/>
          <w:lang w:val="en"/>
        </w:rPr>
        <w:t>✅</w:t>
      </w:r>
      <w:r w:rsidRPr="0040492D">
        <w:rPr>
          <w:rFonts w:eastAsia="Arial Unicode MS"/>
          <w:lang w:val="en"/>
        </w:rPr>
        <w:t xml:space="preserve"> Why Clearing Houses Matter</w:t>
      </w:r>
    </w:p>
    <w:p w14:paraId="6DA9BFB2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2BF33F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F6D54A" wp14:editId="79615E15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1F7ACC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5945"/>
      </w:tblGrid>
      <w:tr w:rsidR="00F6669A" w:rsidRPr="0040492D" w14:paraId="3CBA8630" w14:textId="77777777" w:rsidTr="00946108">
        <w:trPr>
          <w:trHeight w:val="51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6C5D0" w14:textId="77777777" w:rsidR="00F6669A" w:rsidRPr="0040492D" w:rsidRDefault="00F6669A" w:rsidP="0040492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B75E" w14:textId="77777777" w:rsidR="00F6669A" w:rsidRPr="0040492D" w:rsidRDefault="00F6669A" w:rsidP="0040492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6669A" w:rsidRPr="0040492D" w14:paraId="3DB087ED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AAEC9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Efficiency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03C92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processing time through batch processing</w:t>
            </w:r>
          </w:p>
        </w:tc>
      </w:tr>
      <w:tr w:rsidR="00F6669A" w:rsidRPr="0040492D" w14:paraId="599F08D5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759A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Risk reduction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B5B01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double-spending and mismatches</w:t>
            </w:r>
          </w:p>
        </w:tc>
      </w:tr>
      <w:tr w:rsidR="00F6669A" w:rsidRPr="0040492D" w14:paraId="39AE8662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2BA8E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Netting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BB7FE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net positions are settled, reducing liquidity needs</w:t>
            </w:r>
          </w:p>
        </w:tc>
      </w:tr>
      <w:tr w:rsidR="00F6669A" w:rsidRPr="0040492D" w14:paraId="20D5F746" w14:textId="77777777" w:rsidTr="00946108">
        <w:trPr>
          <w:trHeight w:val="8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621C9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Regulatory compliance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011A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compliance with local financial laws and AML rules</w:t>
            </w:r>
          </w:p>
        </w:tc>
      </w:tr>
      <w:tr w:rsidR="00F6669A" w:rsidRPr="0040492D" w14:paraId="1F5D0CDD" w14:textId="77777777" w:rsidTr="00946108">
        <w:trPr>
          <w:trHeight w:val="83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BEE14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Transparency &amp; reporting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5133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audit trails and reconciliation</w:t>
            </w:r>
          </w:p>
        </w:tc>
      </w:tr>
    </w:tbl>
    <w:p w14:paraId="4FC32D29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021E6D">
          <v:rect id="_x0000_i1031" style="width:0;height:1.5pt" o:hralign="center" o:hrstd="t" o:hr="t" fillcolor="#a0a0a0" stroked="f"/>
        </w:pict>
      </w:r>
    </w:p>
    <w:p w14:paraId="0DA8648D" w14:textId="77777777" w:rsidR="00F6669A" w:rsidRPr="0040492D" w:rsidRDefault="00F6669A" w:rsidP="00B86B13">
      <w:pPr>
        <w:pStyle w:val="Heading2"/>
        <w:rPr>
          <w:rFonts w:eastAsia="Arial"/>
          <w:lang w:val="en"/>
        </w:rPr>
      </w:pPr>
      <w:bookmarkStart w:id="7" w:name="_mdut6eo6x2mi" w:colFirst="0" w:colLast="0"/>
      <w:bookmarkEnd w:id="7"/>
      <w:r w:rsidRPr="0040492D">
        <w:rPr>
          <w:rFonts w:ascii="Segoe UI Emoji" w:eastAsia="Arial" w:hAnsi="Segoe UI Emoji" w:cs="Segoe UI Emoji"/>
          <w:lang w:val="en"/>
        </w:rPr>
        <w:t>🔐</w:t>
      </w:r>
      <w:r w:rsidRPr="0040492D">
        <w:rPr>
          <w:rFonts w:eastAsia="Arial"/>
          <w:lang w:val="en"/>
        </w:rPr>
        <w:t xml:space="preserve"> Example Flow: ACH Payment Clearing</w:t>
      </w:r>
    </w:p>
    <w:p w14:paraId="102622DB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13F6CA" w14:textId="77777777" w:rsidR="00F6669A" w:rsidRPr="0040492D" w:rsidRDefault="00F6669A" w:rsidP="0040492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Bank A sends a file of salary payments to the clearing house.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EF64F1" w14:textId="77777777" w:rsidR="00F6669A" w:rsidRPr="0040492D" w:rsidRDefault="00F6669A" w:rsidP="0040492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clearing house: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006F47" w14:textId="77777777" w:rsidR="00F6669A" w:rsidRPr="0040492D" w:rsidRDefault="00F6669A" w:rsidP="0040492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Validates formats and balances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B9EF34" w14:textId="77777777" w:rsidR="00F6669A" w:rsidRPr="0040492D" w:rsidRDefault="00F6669A" w:rsidP="0040492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Matches recipient accounts across banks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1A73C2" w14:textId="77777777" w:rsidR="00F6669A" w:rsidRPr="0040492D" w:rsidRDefault="00F6669A" w:rsidP="0040492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Calculates how much each bank must pay/receive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D7B975" w14:textId="77777777" w:rsidR="00F6669A" w:rsidRPr="0040492D" w:rsidRDefault="00F6669A" w:rsidP="0040492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Settlement instructions are sent to the </w:t>
      </w:r>
      <w:r w:rsidRPr="004049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bank (e.g., CBE)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F2B17F" w14:textId="77777777" w:rsidR="00F6669A" w:rsidRPr="0040492D" w:rsidRDefault="00F6669A" w:rsidP="0040492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are moved between banks in </w:t>
      </w:r>
      <w:r w:rsidRPr="004049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or next-day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900F82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5600FB">
          <v:rect id="_x0000_i1032" style="width:0;height:1.5pt" o:hralign="center" o:hrstd="t" o:hr="t" fillcolor="#a0a0a0" stroked="f"/>
        </w:pict>
      </w:r>
    </w:p>
    <w:p w14:paraId="7DAFB4CE" w14:textId="77777777" w:rsidR="00F6669A" w:rsidRPr="0040492D" w:rsidRDefault="00F6669A" w:rsidP="00B86B13">
      <w:pPr>
        <w:pStyle w:val="Heading2"/>
        <w:rPr>
          <w:rFonts w:eastAsia="Arial"/>
          <w:lang w:val="en"/>
        </w:rPr>
      </w:pPr>
      <w:bookmarkStart w:id="8" w:name="_pd14p0upg27b" w:colFirst="0" w:colLast="0"/>
      <w:bookmarkEnd w:id="8"/>
      <w:r w:rsidRPr="0040492D">
        <w:rPr>
          <w:rFonts w:ascii="Segoe UI Emoji" w:eastAsia="Arial" w:hAnsi="Segoe UI Emoji" w:cs="Segoe UI Emoji"/>
          <w:lang w:val="en"/>
        </w:rPr>
        <w:t>🧠</w:t>
      </w:r>
      <w:r w:rsidRPr="0040492D">
        <w:rPr>
          <w:rFonts w:eastAsia="Arial"/>
          <w:lang w:val="en"/>
        </w:rPr>
        <w:t xml:space="preserve"> Summary</w:t>
      </w:r>
    </w:p>
    <w:p w14:paraId="58B84715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125"/>
      </w:tblGrid>
      <w:tr w:rsidR="00F6669A" w:rsidRPr="0040492D" w14:paraId="5FC3AFA2" w14:textId="77777777" w:rsidTr="00946108">
        <w:trPr>
          <w:trHeight w:val="5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E166" w14:textId="77777777" w:rsidR="00F6669A" w:rsidRPr="0040492D" w:rsidRDefault="00F6669A" w:rsidP="0040492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2C7B2" w14:textId="77777777" w:rsidR="00F6669A" w:rsidRPr="0040492D" w:rsidRDefault="00F6669A" w:rsidP="0040492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6669A" w:rsidRPr="0040492D" w14:paraId="18FA4BD6" w14:textId="77777777" w:rsidTr="00946108">
        <w:trPr>
          <w:trHeight w:val="5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CDFD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C5D0B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and prepares transactions for settlement</w:t>
            </w:r>
          </w:p>
        </w:tc>
      </w:tr>
      <w:tr w:rsidR="00F6669A" w:rsidRPr="0040492D" w14:paraId="70465FE3" w14:textId="77777777" w:rsidTr="00946108">
        <w:trPr>
          <w:trHeight w:val="5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C063D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uses it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84685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Banks, fintechs, mobile money providers, card networks</w:t>
            </w:r>
          </w:p>
        </w:tc>
      </w:tr>
      <w:tr w:rsidR="00F6669A" w:rsidRPr="0040492D" w14:paraId="11E0EB32" w14:textId="77777777" w:rsidTr="00946108">
        <w:trPr>
          <w:trHeight w:val="5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862B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Final settlement happens at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CFF74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 or designated settlement entity</w:t>
            </w:r>
          </w:p>
        </w:tc>
      </w:tr>
      <w:tr w:rsidR="00F6669A" w:rsidRPr="0040492D" w14:paraId="60CA937C" w14:textId="77777777" w:rsidTr="00946108">
        <w:trPr>
          <w:trHeight w:val="5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B9FEC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types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31ADE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ACH, card clearing, cheque clearing, mobile money switches</w:t>
            </w:r>
          </w:p>
        </w:tc>
      </w:tr>
      <w:tr w:rsidR="00F6669A" w:rsidRPr="0040492D" w14:paraId="71F73E26" w14:textId="77777777" w:rsidTr="00946108">
        <w:trPr>
          <w:trHeight w:val="5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D7E8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Importance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FD3A5" w14:textId="77777777" w:rsidR="00F6669A" w:rsidRPr="0040492D" w:rsidRDefault="00F6669A" w:rsidP="0040492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492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accurate, safe, and efficient interbank payments</w:t>
            </w:r>
          </w:p>
        </w:tc>
      </w:tr>
    </w:tbl>
    <w:p w14:paraId="35183682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707EAA">
          <v:rect id="_x0000_i1033" style="width:0;height:1.5pt" o:hralign="center" o:hrstd="t" o:hr="t" fillcolor="#a0a0a0" stroked="f"/>
        </w:pict>
      </w:r>
    </w:p>
    <w:p w14:paraId="7CEFF90E" w14:textId="77777777" w:rsidR="00F6669A" w:rsidRPr="0040492D" w:rsidRDefault="00F6669A" w:rsidP="0040492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4049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flowchart of clearing vs settlement</w:t>
      </w:r>
      <w:r w:rsidRPr="004049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showing where the clearing house fits between banks and the central bank?</w:t>
      </w:r>
    </w:p>
    <w:p w14:paraId="1D329A81" w14:textId="77777777" w:rsidR="00F6669A" w:rsidRPr="0040492D" w:rsidRDefault="00F6669A" w:rsidP="004049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5E09A0" w14:textId="77777777" w:rsidR="00F6669A" w:rsidRPr="0040492D" w:rsidRDefault="00F6669A" w:rsidP="0040492D"/>
    <w:p w14:paraId="6ADC781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223F8"/>
    <w:multiLevelType w:val="multilevel"/>
    <w:tmpl w:val="0FA455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72651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9A"/>
    <w:rsid w:val="001B018C"/>
    <w:rsid w:val="002D1F4F"/>
    <w:rsid w:val="00711B4D"/>
    <w:rsid w:val="008952B3"/>
    <w:rsid w:val="00A70480"/>
    <w:rsid w:val="00F6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8925"/>
  <w15:chartTrackingRefBased/>
  <w15:docId w15:val="{C5FE791E-3557-498B-AA42-6C8432C14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