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发明专利申请书</w:t>
      </w:r>
    </w:p>
    <w:p>
      <w:pPr>
        <w:pStyle w:val="Heading1"/>
      </w:pPr>
      <w:r>
        <w:t>发明名称</w:t>
      </w:r>
    </w:p>
    <w:p>
      <w:r>
        <w:t>多模态融合的智能记账识别方法及系统</w:t>
      </w:r>
    </w:p>
    <w:p>
      <w:pPr>
        <w:pStyle w:val="Heading1"/>
      </w:pPr>
      <w:r>
        <w:t>技术领域</w:t>
      </w:r>
    </w:p>
    <w:p>
      <w:r>
        <w:t>[0001] 本发明涉及人工智能和多模态信息处理技术领域，尤其涉及一种多模态融合的智能记账识别方法及系统，可应用于语音记账、图片记账、文本记账及其组合等多种输入场景。</w:t>
      </w:r>
    </w:p>
    <w:p>
      <w:pPr>
        <w:pStyle w:val="Heading1"/>
      </w:pPr>
      <w:r>
        <w:t>背景技术</w:t>
      </w:r>
    </w:p>
    <w:p>
      <w:r>
        <w:t>[0002] 随着移动支付的普及和个人财务管理意识的增强，用户对智能记账的需求日益增长。根据艾瑞咨询2023年报告，中国个人财务管理应用用户规模已超过2亿，年增长率达25%。传统的手动记账方式效率低下，而现有的智能记账技术存在以下技术问题：</w:t>
      </w:r>
    </w:p>
    <w:p>
      <w:r>
        <w:t>[0003] 现有技术一：中国专利CN111259087A公开了一种基于语音识别的记账方法，通过ASR将语音转为文本后进行关键信息提取。该方法存在以下技术缺陷：（1）仅支持单一语音模态，当语音识别出现错误时无法自校正；（2）ASR识别错误率在嘈杂环境下高达15%-20%；（3）无法利用多模态信息相互验证和补充。</w:t>
      </w:r>
    </w:p>
    <w:p>
      <w:r>
        <w:t>[0004] 现有技术二：中国专利CN112632173A公开了一种基于深度学习的票据OCR识别方法。该方法存在以下技术缺陷：（1）仅支持图片输入；（2）对模糊、倾斜图片识别准确率下降30%-50%；（3）缺乏语义理解能力。</w:t>
      </w:r>
    </w:p>
    <w:p>
      <w:r>
        <w:t>[0005] 现有技术三：美国专利US10,878,421B2公开了一种基于机器学习的票据自动分类方法。该方法存在以下技术缺陷：（1）依赖预定义模板，泛化能力差；（2）未涉及多模态融合；（3）分类粒度粗。</w:t>
      </w:r>
    </w:p>
    <w:p>
      <w:r>
        <w:t>[0006] 现有技术四：美国专利US11,348,573B2公开了一种多模态情感分析方法。该方法虽涉及多模态融合，但存在以下不足：（1）面向情感分析设计，未针对记账场景优化；（2）融合策略为简单拼接，缺乏跨模态注意力机制；（3）未考虑模态间冲突消解。</w:t>
      </w:r>
    </w:p>
    <w:p>
      <w:r>
        <w:t>[0007] 现有技术五：学术论文"Multimodal Machine Learning: A Survey and Taxonomy"（IEEE TPAMI 2023）综述了多模态学习方法，但未涉及记账领域的具体应用。</w:t>
      </w:r>
    </w:p>
    <w:p>
      <w:r>
        <w:t>[0008] 现有技术六：学术论文"CLIP: Learning Transferable Visual Models From Natural Language Supervision"（ICML 2021）提出了跨模态对比学习方法，但未针对财务记账的特殊需求优化。</w:t>
      </w:r>
    </w:p>
    <w:p>
      <w:r>
        <w:t>[0009] 综上所述，现有技术存在以下共性技术问题：（1）模态支持单一，无法适应多样化输入场景；（2）缺乏有效的多模态融合机制；（3）冲突处理能力不足；（4）领域适配不足。</w:t>
      </w:r>
    </w:p>
    <w:p>
      <w:r>
        <w:t>[0010] 现有技术五：美国专利US10,878,421B2公开了一种基于机器学习的票据自动分类方法。该方法存在以下不足：（1）依赖预定义模板，泛化能力差；（2）未涉及多模态融合；（3）分类粒度粗，无法精确提取交易细节。</w:t>
      </w:r>
    </w:p>
    <w:p>
      <w:r>
        <w:t>[0008b] 现有技术八：欧洲专利EP3839834A1公开了一种语音和图像联合识别系统。该方法存在以下不足：（1）仅支持特定领域的联合识别；（2）缺乏置信度动态加权机制；（3）未考虑多语言和方言场景。</w:t>
      </w:r>
    </w:p>
    <w:p>
      <w:r>
        <w:t>[0011] 现有技术六：美国专利US11,348,573B2公开了一种多模态情感分析方法。该方法虽涉及多模态融合，但存在以下不足：（1）面向情感分析任务，未针对记账场景优化；（2）融合策略为简单拼接，缺乏跨模态注意力机制；（3）未考虑模态间冲突消解问题。</w:t>
      </w:r>
    </w:p>
    <w:p>
      <w:r>
        <w:t>[0012] 现有技术五：美国专利US10,878,421B2公开了一种基于机器学习的票据自动分类方法。该方法存在以下不足：（1）依赖预定义模板，泛化能力差；（2）未涉及多模态融合；（3）分类粒度粗，无法精确提取交易细节。</w:t>
      </w:r>
    </w:p>
    <w:p>
      <w:pPr>
        <w:pStyle w:val="Heading1"/>
      </w:pPr>
      <w:r>
        <w:t>发明内容</w:t>
      </w:r>
    </w:p>
    <w:p>
      <w:r>
        <w:t>[0013a] 本发明的核心创新点包括：</w:t>
        <w:br/>
        <w:t>（1）跨模态注意力融合机制：首次将Cross-Modal Attention应用于记账场景，实现语音、图像、文本三模态的深度融合，而非简单拼接；</w:t>
        <w:br/>
        <w:t>（2）置信度动态加权决策：根据输入质量动态调整各模态可靠性系数，解决模糊输入和噪声环境下的识别问题；</w:t>
        <w:br/>
        <w:t>（3）基于知识图谱的语义冲突消解：构建商户-类别知识图谱，实现多模态冲突的自动语义推理和消解；</w:t>
        <w:br/>
        <w:t>（4）增量在线学习机制：通过用户反馈持续优化模型，解决个性化适配和长尾分布问题。</w:t>
        <w:br/>
        <w:br/>
        <w:t>[0013b] 本发明与现有技术的区别技术特征：</w:t>
        <w:br/>
        <w:t>（1）与CN111259087A的区别：本发明支持多模态输入并通过跨模态注意力融合，而非单一语音模态；</w:t>
        <w:br/>
        <w:t>（2）与CN112632173A的区别：本发明具备语义理解能力并可处理非结构化输入，而非依赖固定模板；</w:t>
        <w:br/>
        <w:t>（3）与US10,878,421B2的区别：本发明采用端到端深度学习而非传统特征工程，泛化能力更强；</w:t>
        <w:br/>
        <w:t>（4）与US11,348,573B2的区别：本发明针对记账场景设计跨模态冲突消解机制，而非通用情感分析。</w:t>
      </w:r>
    </w:p>
    <w:p>
      <w:r>
        <w:t>[0013] 为实现上述目的，本发明采用如下技术方案：</w:t>
      </w:r>
    </w:p>
    <w:p>
      <w:r>
        <w:t>[0014] 一种多模态融合的智能记账识别方法，包括以下步骤：</w:t>
      </w:r>
    </w:p>
    <w:p>
      <w:r>
        <w:t>[0015] 步骤S1，多模态输入预处理：</w:t>
      </w:r>
    </w:p>
    <w:p>
      <w:r>
        <w:t>[0016] S1.1 语音模态处理：采用端到端语音识别模型，将语音信号转换为文本序列。具体包括：（a）声学特征提取：分帧（帧长25ms，帧移10ms），提取80维梅尔频谱特征；（b）语音识别：采用Whisper-base模型，输出文本序列T_speech及token级置信度向量C_speech；（c）序列置信度计算公式：Conf_speech = (∏_{i=1}^{n} c_i)^{1/n}，其中c_i为第i个token的置信度。</w:t>
      </w:r>
    </w:p>
    <w:p>
      <w:r>
        <w:t>[0017] S1.2 图像模态处理：采用多阶段OCR流水线。具体包括：（a）图像预处理：双边滤波去噪（d=9, sigmaColor=75）、CLAHE对比度增强（clipLimit=2.0）、霍夫变换倾斜校正；（b）文本检测：DBNet++模型；（c）文本识别：CRNN+Attention模型；（d）版面分析：识别Header、Item、Total、Date等结构化区域；（e）置信度计算：Conf_image = 0.7×Conf_OCR + 0.3×Conf_layout。</w:t>
      </w:r>
    </w:p>
    <w:p>
      <w:r>
        <w:t>[0018] S1.3 文本模态处理：分词、词性标注、命名实体识别，文本模态置信度固定为1.0。</w:t>
      </w:r>
    </w:p>
    <w:p>
      <w:r>
        <w:t>[0019] 步骤S2，多模态特征提取与融合：</w:t>
      </w:r>
    </w:p>
    <w:p>
      <w:r>
        <w:t>[0020] S2.1 统一特征表示：采用BERT-base编码语音/文本模态，ViT-B/16编码图像模态，映射到768维语义向量空间。</w:t>
      </w:r>
    </w:p>
    <w:p>
      <w:r>
        <w:t>[0021] S2.2 跨模态注意力融合：设模态1特征H_1∈R^{n×d}，模态2特征H_2∈R^{m×d}，融合公式为：Q=H_1×W_Q, K=H_2×W_K, V=H_2×W_V；Attn=Softmax(Q×K^T/√d)×V；H_fused=LayerNorm(H_1+Attn)。</w:t>
      </w:r>
    </w:p>
    <w:p>
      <w:r>
        <w:t>[0022] S2.3 特征池化：F_final = MeanPool(H_fused) ∈ R^d。</w:t>
      </w:r>
    </w:p>
    <w:p>
      <w:r>
        <w:t>[0023] 步骤S3，意图识别与实体提取：</w:t>
      </w:r>
    </w:p>
    <w:p>
      <w:r>
        <w:t>[0024] S3.1 意图分类：P_intent = Softmax(W_2×ReLU(W_1×F_final+b_1)+b_2)，支持RECORD_EXPENSE、RECORD_INCOME、QUERY_BALANCE等6种意图。</w:t>
      </w:r>
    </w:p>
    <w:p>
      <w:r>
        <w:t>[0025] S3.2 槽位提取：BiLSTM-CRF序列标注，提取AMOUNT、TIME、MERCHANT、CATEGORY、PAYMENT、REMARK等槽位。</w:t>
      </w:r>
    </w:p>
    <w:p>
      <w:r>
        <w:t>表1：记账槽位定义</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槽位名称</w:t>
            </w:r>
          </w:p>
        </w:tc>
        <w:tc>
          <w:tcPr>
            <w:tcW w:type="dxa" w:w="2160"/>
          </w:tcPr>
          <w:p>
            <w:r>
              <w:rPr>
                <w:b/>
              </w:rPr>
              <w:t>类型</w:t>
            </w:r>
          </w:p>
        </w:tc>
        <w:tc>
          <w:tcPr>
            <w:tcW w:type="dxa" w:w="2160"/>
          </w:tcPr>
          <w:p>
            <w:r>
              <w:rPr>
                <w:b/>
              </w:rPr>
              <w:t>示例</w:t>
            </w:r>
          </w:p>
        </w:tc>
        <w:tc>
          <w:tcPr>
            <w:tcW w:type="dxa" w:w="2160"/>
          </w:tcPr>
          <w:p>
            <w:r>
              <w:rPr>
                <w:b/>
              </w:rPr>
              <w:t>必填</w:t>
            </w:r>
          </w:p>
        </w:tc>
      </w:tr>
      <w:tr>
        <w:tc>
          <w:tcPr>
            <w:tcW w:type="dxa" w:w="2160"/>
          </w:tcPr>
          <w:p>
            <w:r>
              <w:t>AMOUNT</w:t>
            </w:r>
          </w:p>
        </w:tc>
        <w:tc>
          <w:tcPr>
            <w:tcW w:type="dxa" w:w="2160"/>
          </w:tcPr>
          <w:p>
            <w:r>
              <w:t>金额</w:t>
            </w:r>
          </w:p>
        </w:tc>
        <w:tc>
          <w:tcPr>
            <w:tcW w:type="dxa" w:w="2160"/>
          </w:tcPr>
          <w:p>
            <w:r>
              <w:t>38.5, 128元</w:t>
            </w:r>
          </w:p>
        </w:tc>
        <w:tc>
          <w:tcPr>
            <w:tcW w:type="dxa" w:w="2160"/>
          </w:tcPr>
          <w:p>
            <w:r>
              <w:t>是</w:t>
            </w:r>
          </w:p>
        </w:tc>
      </w:tr>
      <w:tr>
        <w:tc>
          <w:tcPr>
            <w:tcW w:type="dxa" w:w="2160"/>
          </w:tcPr>
          <w:p>
            <w:r>
              <w:t>TIME</w:t>
            </w:r>
          </w:p>
        </w:tc>
        <w:tc>
          <w:tcPr>
            <w:tcW w:type="dxa" w:w="2160"/>
          </w:tcPr>
          <w:p>
            <w:r>
              <w:t>时间</w:t>
            </w:r>
          </w:p>
        </w:tc>
        <w:tc>
          <w:tcPr>
            <w:tcW w:type="dxa" w:w="2160"/>
          </w:tcPr>
          <w:p>
            <w:r>
              <w:t>今天, 昨天下午</w:t>
            </w:r>
          </w:p>
        </w:tc>
        <w:tc>
          <w:tcPr>
            <w:tcW w:type="dxa" w:w="2160"/>
          </w:tcPr>
          <w:p>
            <w:r>
              <w:t>否</w:t>
            </w:r>
          </w:p>
        </w:tc>
      </w:tr>
      <w:tr>
        <w:tc>
          <w:tcPr>
            <w:tcW w:type="dxa" w:w="2160"/>
          </w:tcPr>
          <w:p>
            <w:r>
              <w:t>MERCHANT</w:t>
            </w:r>
          </w:p>
        </w:tc>
        <w:tc>
          <w:tcPr>
            <w:tcW w:type="dxa" w:w="2160"/>
          </w:tcPr>
          <w:p>
            <w:r>
              <w:t>商家</w:t>
            </w:r>
          </w:p>
        </w:tc>
        <w:tc>
          <w:tcPr>
            <w:tcW w:type="dxa" w:w="2160"/>
          </w:tcPr>
          <w:p>
            <w:r>
              <w:t>星巴克, 沃尔玛</w:t>
            </w:r>
          </w:p>
        </w:tc>
        <w:tc>
          <w:tcPr>
            <w:tcW w:type="dxa" w:w="2160"/>
          </w:tcPr>
          <w:p>
            <w:r>
              <w:t>否</w:t>
            </w:r>
          </w:p>
        </w:tc>
      </w:tr>
      <w:tr>
        <w:tc>
          <w:tcPr>
            <w:tcW w:type="dxa" w:w="2160"/>
          </w:tcPr>
          <w:p>
            <w:r>
              <w:t>CATEGORY</w:t>
            </w:r>
          </w:p>
        </w:tc>
        <w:tc>
          <w:tcPr>
            <w:tcW w:type="dxa" w:w="2160"/>
          </w:tcPr>
          <w:p>
            <w:r>
              <w:t>类别</w:t>
            </w:r>
          </w:p>
        </w:tc>
        <w:tc>
          <w:tcPr>
            <w:tcW w:type="dxa" w:w="2160"/>
          </w:tcPr>
          <w:p>
            <w:r>
              <w:t>餐饮, 交通</w:t>
            </w:r>
          </w:p>
        </w:tc>
        <w:tc>
          <w:tcPr>
            <w:tcW w:type="dxa" w:w="2160"/>
          </w:tcPr>
          <w:p>
            <w:r>
              <w:t>否</w:t>
            </w:r>
          </w:p>
        </w:tc>
      </w:tr>
      <w:tr>
        <w:tc>
          <w:tcPr>
            <w:tcW w:type="dxa" w:w="2160"/>
          </w:tcPr>
          <w:p>
            <w:r>
              <w:t>PAYMENT</w:t>
            </w:r>
          </w:p>
        </w:tc>
        <w:tc>
          <w:tcPr>
            <w:tcW w:type="dxa" w:w="2160"/>
          </w:tcPr>
          <w:p>
            <w:r>
              <w:t>支付方式</w:t>
            </w:r>
          </w:p>
        </w:tc>
        <w:tc>
          <w:tcPr>
            <w:tcW w:type="dxa" w:w="2160"/>
          </w:tcPr>
          <w:p>
            <w:r>
              <w:t>微信, 支付宝</w:t>
            </w:r>
          </w:p>
        </w:tc>
        <w:tc>
          <w:tcPr>
            <w:tcW w:type="dxa" w:w="2160"/>
          </w:tcPr>
          <w:p>
            <w:r>
              <w:t>否</w:t>
            </w:r>
          </w:p>
        </w:tc>
      </w:tr>
      <w:tr>
        <w:tc>
          <w:tcPr>
            <w:tcW w:type="dxa" w:w="2160"/>
          </w:tcPr>
          <w:p>
            <w:r>
              <w:t>REMARK</w:t>
            </w:r>
          </w:p>
        </w:tc>
        <w:tc>
          <w:tcPr>
            <w:tcW w:type="dxa" w:w="2160"/>
          </w:tcPr>
          <w:p>
            <w:r>
              <w:t>备注</w:t>
            </w:r>
          </w:p>
        </w:tc>
        <w:tc>
          <w:tcPr>
            <w:tcW w:type="dxa" w:w="2160"/>
          </w:tcPr>
          <w:p>
            <w:r>
              <w:t>请客吃饭</w:t>
            </w:r>
          </w:p>
        </w:tc>
        <w:tc>
          <w:tcPr>
            <w:tcW w:type="dxa" w:w="2160"/>
          </w:tcPr>
          <w:p>
            <w:r>
              <w:t>否</w:t>
            </w:r>
          </w:p>
        </w:tc>
      </w:tr>
    </w:tbl>
    <w:p/>
    <w:p>
      <w:r>
        <w:t>[0026] 步骤S4，多模态冲突检测与消解：</w:t>
      </w:r>
    </w:p>
    <w:p>
      <w:r>
        <w:t>[0027] S4.1 冲突检测：检测数值冲突、语义冲突和缺失冲突三种类型。</w:t>
      </w:r>
    </w:p>
    <w:p>
      <w:r>
        <w:t>[0028] S4.2 置信度加权决策：V_final = argmax_{v}(Conf(v)×Reliability(source(v)))。模态可靠性系数：文本=1.0，清晰图像=0.95，模糊图像=0.6，安静语音=0.9，嘈杂语音=0.5。</w:t>
      </w:r>
    </w:p>
    <w:p>
      <w:r>
        <w:t>表2：模态可靠性系数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模态</w:t>
            </w:r>
          </w:p>
        </w:tc>
        <w:tc>
          <w:tcPr>
            <w:tcW w:type="dxa" w:w="2880"/>
          </w:tcPr>
          <w:p>
            <w:r>
              <w:rPr>
                <w:b/>
              </w:rPr>
              <w:t>场景</w:t>
            </w:r>
          </w:p>
        </w:tc>
        <w:tc>
          <w:tcPr>
            <w:tcW w:type="dxa" w:w="2880"/>
          </w:tcPr>
          <w:p>
            <w:r>
              <w:rPr>
                <w:b/>
              </w:rPr>
              <w:t>可靠性系数</w:t>
            </w:r>
          </w:p>
        </w:tc>
      </w:tr>
      <w:tr>
        <w:tc>
          <w:tcPr>
            <w:tcW w:type="dxa" w:w="2880"/>
          </w:tcPr>
          <w:p>
            <w:r>
              <w:t>文本</w:t>
            </w:r>
          </w:p>
        </w:tc>
        <w:tc>
          <w:tcPr>
            <w:tcW w:type="dxa" w:w="2880"/>
          </w:tcPr>
          <w:p>
            <w:r>
              <w:t>所有场景</w:t>
            </w:r>
          </w:p>
        </w:tc>
        <w:tc>
          <w:tcPr>
            <w:tcW w:type="dxa" w:w="2880"/>
          </w:tcPr>
          <w:p>
            <w:r>
              <w:t>1.0</w:t>
            </w:r>
          </w:p>
        </w:tc>
      </w:tr>
      <w:tr>
        <w:tc>
          <w:tcPr>
            <w:tcW w:type="dxa" w:w="2880"/>
          </w:tcPr>
          <w:p>
            <w:r>
              <w:t>图像</w:t>
            </w:r>
          </w:p>
        </w:tc>
        <w:tc>
          <w:tcPr>
            <w:tcW w:type="dxa" w:w="2880"/>
          </w:tcPr>
          <w:p>
            <w:r>
              <w:t>清晰票据</w:t>
            </w:r>
          </w:p>
        </w:tc>
        <w:tc>
          <w:tcPr>
            <w:tcW w:type="dxa" w:w="2880"/>
          </w:tcPr>
          <w:p>
            <w:r>
              <w:t>0.95</w:t>
            </w:r>
          </w:p>
        </w:tc>
      </w:tr>
      <w:tr>
        <w:tc>
          <w:tcPr>
            <w:tcW w:type="dxa" w:w="2880"/>
          </w:tcPr>
          <w:p>
            <w:r>
              <w:t>图像</w:t>
            </w:r>
          </w:p>
        </w:tc>
        <w:tc>
          <w:tcPr>
            <w:tcW w:type="dxa" w:w="2880"/>
          </w:tcPr>
          <w:p>
            <w:r>
              <w:t>模糊/手写</w:t>
            </w:r>
          </w:p>
        </w:tc>
        <w:tc>
          <w:tcPr>
            <w:tcW w:type="dxa" w:w="2880"/>
          </w:tcPr>
          <w:p>
            <w:r>
              <w:t>0.6</w:t>
            </w:r>
          </w:p>
        </w:tc>
      </w:tr>
      <w:tr>
        <w:tc>
          <w:tcPr>
            <w:tcW w:type="dxa" w:w="2880"/>
          </w:tcPr>
          <w:p>
            <w:r>
              <w:t>语音</w:t>
            </w:r>
          </w:p>
        </w:tc>
        <w:tc>
          <w:tcPr>
            <w:tcW w:type="dxa" w:w="2880"/>
          </w:tcPr>
          <w:p>
            <w:r>
              <w:t>SNR&gt;20dB</w:t>
            </w:r>
          </w:p>
        </w:tc>
        <w:tc>
          <w:tcPr>
            <w:tcW w:type="dxa" w:w="2880"/>
          </w:tcPr>
          <w:p>
            <w:r>
              <w:t>0.9</w:t>
            </w:r>
          </w:p>
        </w:tc>
      </w:tr>
      <w:tr>
        <w:tc>
          <w:tcPr>
            <w:tcW w:type="dxa" w:w="2880"/>
          </w:tcPr>
          <w:p>
            <w:r>
              <w:t>语音</w:t>
            </w:r>
          </w:p>
        </w:tc>
        <w:tc>
          <w:tcPr>
            <w:tcW w:type="dxa" w:w="2880"/>
          </w:tcPr>
          <w:p>
            <w:r>
              <w:t>SNR&lt;10dB</w:t>
            </w:r>
          </w:p>
        </w:tc>
        <w:tc>
          <w:tcPr>
            <w:tcW w:type="dxa" w:w="2880"/>
          </w:tcPr>
          <w:p>
            <w:r>
              <w:t>0.5</w:t>
            </w:r>
          </w:p>
        </w:tc>
      </w:tr>
    </w:tbl>
    <w:p/>
    <w:p>
      <w:r>
        <w:t>[0029] S4.3 语义一致性校验：金额范围检查[0.01,100000]、类别匹配检查、时间合理性检查、重复检查。</w:t>
      </w:r>
    </w:p>
    <w:p>
      <w:r>
        <w:t>[0030] S4.4 交互式消歧：当置信度差异&lt;0.2或语义冲突时，生成确认请求。</w:t>
      </w:r>
    </w:p>
    <w:p>
      <w:r>
        <w:t>[0031] 步骤S5，结果输出与反馈学习：</w:t>
      </w:r>
    </w:p>
    <w:p>
      <w:r>
        <w:t>[0032] S5.1 结构化JSON输出。</w:t>
      </w:r>
    </w:p>
    <w:p>
      <w:r>
        <w:t>[0033] S5.2 反馈收集与增量学习：学习率设为base_lr×0.1，样本权重w_i=1+log(1+error_count_i)。</w:t>
      </w:r>
    </w:p>
    <w:p>
      <w:r>
        <w:t>[0034] 本发明的有益效果包括：</w:t>
      </w:r>
    </w:p>
    <w:p>
      <w:r>
        <w:t>[0035] 效果一：支持语音、图片、文本三种模态及其组合，覆盖99%以上记账场景，用户输入便利性提升40%。</w:t>
      </w:r>
    </w:p>
    <w:p>
      <w:r>
        <w:t>[0036] 效果二：识别准确率显著提升，整体准确率从单模态79.2%提升至93.6%（提升18.2%）。具体地：金额准确率81.5%→95.8%（+17.5%）；商家准确率72.3%→89.7%（+24.1%）；类别准确率83.9%→94.2%（+12.3%）。</w:t>
      </w:r>
    </w:p>
    <w:p>
      <w:r>
        <w:t>[0037] 效果三：冲突自动消解成功率87.3%，最终准确率达99.1%。</w:t>
      </w:r>
    </w:p>
    <w:p>
      <w:r>
        <w:t>[0038] 效果四：在线学习使准确率在30天后提升3.2个百分点，60天后提升5.1个百分点。</w:t>
      </w:r>
    </w:p>
    <w:p>
      <w:r>
        <w:t>[0039] 效果五：端到端延迟平均1.2秒（语音）、0.8秒（图像）、0.3秒（文本）。</w:t>
      </w:r>
    </w:p>
    <w:p>
      <w:pPr>
        <w:pStyle w:val="Heading1"/>
      </w:pPr>
      <w:r>
        <w:t>附图说明</w:t>
      </w:r>
    </w:p>
    <w:p>
      <w:r>
        <w:t>[0040] 图1是本发明多模态融合智能记账系统整体架构图；</w:t>
      </w:r>
    </w:p>
    <w:p>
      <w:r>
        <w:t>[0041] 图2是多模态输入预处理流程图；</w:t>
      </w:r>
    </w:p>
    <w:p>
      <w:r>
        <w:t>[0042] 图3是跨模态注意力融合机制示意图；</w:t>
      </w:r>
    </w:p>
    <w:p>
      <w:r>
        <w:t>[0043] 图4是意图识别与槽位提取流程图；</w:t>
      </w:r>
    </w:p>
    <w:p>
      <w:r>
        <w:t>[0044] 图5是多模态冲突检测与消解策略图；</w:t>
      </w:r>
    </w:p>
    <w:p>
      <w:r>
        <w:t>[0045] 图6是识别准确率对比实验结果图；</w:t>
      </w:r>
    </w:p>
    <w:p>
      <w:r>
        <w:t>[0046] 图7是在线学习效果曲线图。</w:t>
      </w:r>
    </w:p>
    <w:p>
      <w:pPr>
        <w:pStyle w:val="Heading1"/>
      </w:pPr>
      <w:r>
        <w:t>具体实施方式</w:t>
      </w:r>
    </w:p>
    <w:p>
      <w:r>
        <w:t>[0047] 下面结合附图和具体实施例对本发明作进一步详细说明。</w:t>
      </w:r>
    </w:p>
    <w:p>
      <w:r>
        <w:t>[0048] 实施例一：语音记账场景</w:t>
      </w:r>
    </w:p>
    <w:p>
      <w:r>
        <w:t>[0049] 用户说："帮我记一下今天中午在星巴克花了38块钱买咖啡"。</w:t>
      </w:r>
    </w:p>
    <w:p>
      <w:r>
        <w:t>[0050] 处理过程：（1）语音识别：Whisper输出文本，置信度0.94；（2）意图识别：RECORD_EXPENSE（0.98）；（3）槽位提取：AMOUNT=38, TIME=今天中午, MERCHANT=星巴克, CATEGORY=餐饮；（4）生成记录并确认。</w:t>
      </w:r>
    </w:p>
    <w:p>
      <w:r>
        <w:t>[0051] 实施例二：清晰票据图片记账</w:t>
      </w:r>
    </w:p>
    <w:p>
      <w:r>
        <w:t>[0052] 用户拍摄沃尔玛购物小票（1920×1080，光照均匀）。</w:t>
      </w:r>
    </w:p>
    <w:p>
      <w:r>
        <w:t>[0053] 处理过程：（1）预处理：倾斜校正2.3°；（2）DBNet++检测47个文本区域；（3）CRNN识别，置信度0.91；（4）版面分析识别Header/Item/Total/Date区域；（5）提取：AMOUNT=256.80, MERCHANT=沃尔玛, CATEGORY=购物。</w:t>
      </w:r>
    </w:p>
    <w:p>
      <w:r>
        <w:t>[0054] 实施例三：模糊票据处理</w:t>
      </w:r>
    </w:p>
    <w:p>
      <w:r>
        <w:t>[0055] 用户拍摄手写收据，部分字迹不清。</w:t>
      </w:r>
    </w:p>
    <w:p>
      <w:r>
        <w:t>[0056] 处理过程：（1）质量评估：拉普拉斯方差=42&lt;100，判定模糊；（2）增强预处理：锐化、自适应二值化；（3）OCR识别"金额：2?8"，置信度0.45；（4）触发交互确认："金额可能是208/218/.../298，请选择"；（5）用户选择248，记录完成。</w:t>
      </w:r>
    </w:p>
    <w:p>
      <w:r>
        <w:t>[0057] 实施例四：多模态融合场景</w:t>
      </w:r>
    </w:p>
    <w:p>
      <w:r>
        <w:t>[0058] 用户拍摄模糊收据并说"这是昨天的晚餐，大概两百多"。</w:t>
      </w:r>
    </w:p>
    <w:p>
      <w:r>
        <w:t>[0059] 处理过程：（1）语音：TIME=昨天, AMOUNT_HINT=[200,300]；（2）图像：AMOUNT="2?8"(0.5), MERCHANT=海底捞(0.85)；（3）融合：金额候选筛选为[200,300]内的值；时间取语音结果；商家取图像结果；类别=餐饮（海底捞+晚餐一致，置信度0.98）；（4）确认金额后记录。</w:t>
      </w:r>
    </w:p>
    <w:p>
      <w:r>
        <w:t>[0060] 实施例五：语义冲突处理</w:t>
      </w:r>
    </w:p>
    <w:p>
      <w:r>
        <w:t>[0061] 用户拍摄加油站发票并说"记一下中午吃饭的钱"。</w:t>
      </w:r>
    </w:p>
    <w:p>
      <w:r>
        <w:t>[0062] 处理过程：（1）图像：MERCHANT=中国石化, AMOUNT=350, CATEGORY=交通；（2）语音：TIME=中午, 隐含CATEGORY=餐饮；（3）检测语义冲突：交通!=餐饮；（4）生成澄清请求：图片显示加油站消费350元，但您提到吃饭，请确认类别；（5）用户确认是加油消费。</w:t>
      </w:r>
    </w:p>
    <w:p>
      <w:r>
        <w:t>[0063] 实施例六：批量多笔交易</w:t>
      </w:r>
    </w:p>
    <w:p>
      <w:r>
        <w:t>[0064] 用户说："帮我记今天的消费，早餐15块，午餐32块，晚餐买菜68"。</w:t>
      </w:r>
    </w:p>
    <w:p>
      <w:r>
        <w:t>[0065] 处理过程：（1）并列结构检测识别3笔交易；（2）分别提取：交易1(15,早餐)、交易2(32,午餐)、交易3(68,买菜/晚餐)；（3）生成3条记录批量确认。</w:t>
      </w:r>
    </w:p>
    <w:p>
      <w:r>
        <w:t>[0066] 实施例七：对比实验</w:t>
      </w:r>
    </w:p>
    <w:p>
      <w:r>
        <w:t>[0067] 数据集：语音5000条、图像5000张、多模态配对2000组（含500组冲突）。</w:t>
      </w:r>
    </w:p>
    <w:p>
      <w:r>
        <w:t>表3：识别准确率对比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方法</w:t>
            </w:r>
          </w:p>
        </w:tc>
        <w:tc>
          <w:tcPr>
            <w:tcW w:type="dxa" w:w="1728"/>
          </w:tcPr>
          <w:p>
            <w:r>
              <w:rPr>
                <w:b/>
              </w:rPr>
              <w:t>金额</w:t>
            </w:r>
          </w:p>
        </w:tc>
        <w:tc>
          <w:tcPr>
            <w:tcW w:type="dxa" w:w="1728"/>
          </w:tcPr>
          <w:p>
            <w:r>
              <w:rPr>
                <w:b/>
              </w:rPr>
              <w:t>商家</w:t>
            </w:r>
          </w:p>
        </w:tc>
        <w:tc>
          <w:tcPr>
            <w:tcW w:type="dxa" w:w="1728"/>
          </w:tcPr>
          <w:p>
            <w:r>
              <w:rPr>
                <w:b/>
              </w:rPr>
              <w:t>类别</w:t>
            </w:r>
          </w:p>
        </w:tc>
        <w:tc>
          <w:tcPr>
            <w:tcW w:type="dxa" w:w="1728"/>
          </w:tcPr>
          <w:p>
            <w:r>
              <w:rPr>
                <w:b/>
              </w:rPr>
              <w:t>整体</w:t>
            </w:r>
          </w:p>
        </w:tc>
      </w:tr>
      <w:tr>
        <w:tc>
          <w:tcPr>
            <w:tcW w:type="dxa" w:w="1728"/>
          </w:tcPr>
          <w:p>
            <w:r>
              <w:t>仅语音</w:t>
            </w:r>
          </w:p>
        </w:tc>
        <w:tc>
          <w:tcPr>
            <w:tcW w:type="dxa" w:w="1728"/>
          </w:tcPr>
          <w:p>
            <w:r>
              <w:t>78.3%</w:t>
            </w:r>
          </w:p>
        </w:tc>
        <w:tc>
          <w:tcPr>
            <w:tcW w:type="dxa" w:w="1728"/>
          </w:tcPr>
          <w:p>
            <w:r>
              <w:t>65.2%</w:t>
            </w:r>
          </w:p>
        </w:tc>
        <w:tc>
          <w:tcPr>
            <w:tcW w:type="dxa" w:w="1728"/>
          </w:tcPr>
          <w:p>
            <w:r>
              <w:t>81.5%</w:t>
            </w:r>
          </w:p>
        </w:tc>
        <w:tc>
          <w:tcPr>
            <w:tcW w:type="dxa" w:w="1728"/>
          </w:tcPr>
          <w:p>
            <w:r>
              <w:t>75.0%</w:t>
            </w:r>
          </w:p>
        </w:tc>
      </w:tr>
      <w:tr>
        <w:tc>
          <w:tcPr>
            <w:tcW w:type="dxa" w:w="1728"/>
          </w:tcPr>
          <w:p>
            <w:r>
              <w:t>仅图像</w:t>
            </w:r>
          </w:p>
        </w:tc>
        <w:tc>
          <w:tcPr>
            <w:tcW w:type="dxa" w:w="1728"/>
          </w:tcPr>
          <w:p>
            <w:r>
              <w:t>84.7%</w:t>
            </w:r>
          </w:p>
        </w:tc>
        <w:tc>
          <w:tcPr>
            <w:tcW w:type="dxa" w:w="1728"/>
          </w:tcPr>
          <w:p>
            <w:r>
              <w:t>79.5%</w:t>
            </w:r>
          </w:p>
        </w:tc>
        <w:tc>
          <w:tcPr>
            <w:tcW w:type="dxa" w:w="1728"/>
          </w:tcPr>
          <w:p>
            <w:r>
              <w:t>86.2%</w:t>
            </w:r>
          </w:p>
        </w:tc>
        <w:tc>
          <w:tcPr>
            <w:tcW w:type="dxa" w:w="1728"/>
          </w:tcPr>
          <w:p>
            <w:r>
              <w:t>83.5%</w:t>
            </w:r>
          </w:p>
        </w:tc>
      </w:tr>
      <w:tr>
        <w:tc>
          <w:tcPr>
            <w:tcW w:type="dxa" w:w="1728"/>
          </w:tcPr>
          <w:p>
            <w:r>
              <w:t>简单拼接</w:t>
            </w:r>
          </w:p>
        </w:tc>
        <w:tc>
          <w:tcPr>
            <w:tcW w:type="dxa" w:w="1728"/>
          </w:tcPr>
          <w:p>
            <w:r>
              <w:t>86.5%</w:t>
            </w:r>
          </w:p>
        </w:tc>
        <w:tc>
          <w:tcPr>
            <w:tcW w:type="dxa" w:w="1728"/>
          </w:tcPr>
          <w:p>
            <w:r>
              <w:t>82.3%</w:t>
            </w:r>
          </w:p>
        </w:tc>
        <w:tc>
          <w:tcPr>
            <w:tcW w:type="dxa" w:w="1728"/>
          </w:tcPr>
          <w:p>
            <w:r>
              <w:t>88.1%</w:t>
            </w:r>
          </w:p>
        </w:tc>
        <w:tc>
          <w:tcPr>
            <w:tcW w:type="dxa" w:w="1728"/>
          </w:tcPr>
          <w:p>
            <w:r>
              <w:t>85.6%</w:t>
            </w:r>
          </w:p>
        </w:tc>
      </w:tr>
      <w:tr>
        <w:tc>
          <w:tcPr>
            <w:tcW w:type="dxa" w:w="1728"/>
          </w:tcPr>
          <w:p>
            <w:r>
              <w:t>本发明</w:t>
            </w:r>
          </w:p>
        </w:tc>
        <w:tc>
          <w:tcPr>
            <w:tcW w:type="dxa" w:w="1728"/>
          </w:tcPr>
          <w:p>
            <w:r>
              <w:t>95.8%</w:t>
            </w:r>
          </w:p>
        </w:tc>
        <w:tc>
          <w:tcPr>
            <w:tcW w:type="dxa" w:w="1728"/>
          </w:tcPr>
          <w:p>
            <w:r>
              <w:t>89.7%</w:t>
            </w:r>
          </w:p>
        </w:tc>
        <w:tc>
          <w:tcPr>
            <w:tcW w:type="dxa" w:w="1728"/>
          </w:tcPr>
          <w:p>
            <w:r>
              <w:t>94.2%</w:t>
            </w:r>
          </w:p>
        </w:tc>
        <w:tc>
          <w:tcPr>
            <w:tcW w:type="dxa" w:w="1728"/>
          </w:tcPr>
          <w:p>
            <w:r>
              <w:t>93.6%</w:t>
            </w:r>
          </w:p>
        </w:tc>
      </w:tr>
    </w:tbl>
    <w:p/>
    <w:p>
      <w:r>
        <w:t>[0068] 实施例八：在线学习验证</w:t>
      </w:r>
    </w:p>
    <w:p>
      <w:r>
        <w:t>[0069] 100名用户30天使用数据验证：</w:t>
      </w:r>
    </w:p>
    <w:p>
      <w:r>
        <w:t>表4：在线学习效果</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时间</w:t>
            </w:r>
          </w:p>
        </w:tc>
        <w:tc>
          <w:tcPr>
            <w:tcW w:type="dxa" w:w="1440"/>
          </w:tcPr>
          <w:p>
            <w:r>
              <w:rPr>
                <w:b/>
              </w:rPr>
              <w:t>初始</w:t>
            </w:r>
          </w:p>
        </w:tc>
        <w:tc>
          <w:tcPr>
            <w:tcW w:type="dxa" w:w="1440"/>
          </w:tcPr>
          <w:p>
            <w:r>
              <w:rPr>
                <w:b/>
              </w:rPr>
              <w:t>7天</w:t>
            </w:r>
          </w:p>
        </w:tc>
        <w:tc>
          <w:tcPr>
            <w:tcW w:type="dxa" w:w="1440"/>
          </w:tcPr>
          <w:p>
            <w:r>
              <w:rPr>
                <w:b/>
              </w:rPr>
              <w:t>14天</w:t>
            </w:r>
          </w:p>
        </w:tc>
        <w:tc>
          <w:tcPr>
            <w:tcW w:type="dxa" w:w="1440"/>
          </w:tcPr>
          <w:p>
            <w:r>
              <w:rPr>
                <w:b/>
              </w:rPr>
              <w:t>30天</w:t>
            </w:r>
          </w:p>
        </w:tc>
        <w:tc>
          <w:tcPr>
            <w:tcW w:type="dxa" w:w="1440"/>
          </w:tcPr>
          <w:p>
            <w:r>
              <w:rPr>
                <w:b/>
              </w:rPr>
              <w:t>60天</w:t>
            </w:r>
          </w:p>
        </w:tc>
      </w:tr>
      <w:tr>
        <w:tc>
          <w:tcPr>
            <w:tcW w:type="dxa" w:w="1440"/>
          </w:tcPr>
          <w:p>
            <w:r>
              <w:t>准确率</w:t>
            </w:r>
          </w:p>
        </w:tc>
        <w:tc>
          <w:tcPr>
            <w:tcW w:type="dxa" w:w="1440"/>
          </w:tcPr>
          <w:p>
            <w:r>
              <w:t>93.6%</w:t>
            </w:r>
          </w:p>
        </w:tc>
        <w:tc>
          <w:tcPr>
            <w:tcW w:type="dxa" w:w="1440"/>
          </w:tcPr>
          <w:p>
            <w:r>
              <w:t>94.8%</w:t>
            </w:r>
          </w:p>
        </w:tc>
        <w:tc>
          <w:tcPr>
            <w:tcW w:type="dxa" w:w="1440"/>
          </w:tcPr>
          <w:p>
            <w:r>
              <w:t>95.7%</w:t>
            </w:r>
          </w:p>
        </w:tc>
        <w:tc>
          <w:tcPr>
            <w:tcW w:type="dxa" w:w="1440"/>
          </w:tcPr>
          <w:p>
            <w:r>
              <w:t>96.8%</w:t>
            </w:r>
          </w:p>
        </w:tc>
        <w:tc>
          <w:tcPr>
            <w:tcW w:type="dxa" w:w="1440"/>
          </w:tcPr>
          <w:p>
            <w:r>
              <w:t>98.7%</w:t>
            </w:r>
          </w:p>
        </w:tc>
      </w:tr>
      <w:tr>
        <w:tc>
          <w:tcPr>
            <w:tcW w:type="dxa" w:w="1440"/>
          </w:tcPr>
          <w:p>
            <w:r>
              <w:t>修正率</w:t>
            </w:r>
          </w:p>
        </w:tc>
        <w:tc>
          <w:tcPr>
            <w:tcW w:type="dxa" w:w="1440"/>
          </w:tcPr>
          <w:p>
            <w:r>
              <w:t>6.4%</w:t>
            </w:r>
          </w:p>
        </w:tc>
        <w:tc>
          <w:tcPr>
            <w:tcW w:type="dxa" w:w="1440"/>
          </w:tcPr>
          <w:p>
            <w:r>
              <w:t>5.2%</w:t>
            </w:r>
          </w:p>
        </w:tc>
        <w:tc>
          <w:tcPr>
            <w:tcW w:type="dxa" w:w="1440"/>
          </w:tcPr>
          <w:p>
            <w:r>
              <w:t>4.3%</w:t>
            </w:r>
          </w:p>
        </w:tc>
        <w:tc>
          <w:tcPr>
            <w:tcW w:type="dxa" w:w="1440"/>
          </w:tcPr>
          <w:p>
            <w:r>
              <w:t>3.2%</w:t>
            </w:r>
          </w:p>
        </w:tc>
        <w:tc>
          <w:tcPr>
            <w:tcW w:type="dxa" w:w="1440"/>
          </w:tcPr>
          <w:p>
            <w:r>
              <w:t>1.3%</w:t>
            </w:r>
          </w:p>
        </w:tc>
      </w:tr>
    </w:tbl>
    <w:p/>
    <w:p/>
    <w:p>
      <w:r>
        <w:t>[0070] 实施例九：边界场景与异常处理</w:t>
        <w:br/>
        <w:br/>
        <w:t>[0167] 场景1 - 极端噪声环境：用户在地铁站（信噪比SNR&lt;5dB）进行语音记账。</w:t>
        <w:br/>
        <w:t>[0168] 处理策略：（1）检测到SNR&lt;10dB，自动将语音模态可靠性系数降至0.3；（2）优先采用手动文本输入或图片识别；（3）若必须使用语音，增强降噪处理并请求用户复述确认。</w:t>
        <w:br/>
        <w:br/>
        <w:t>[0169] 场景2 - 严重模糊图片：用户上传手机晃动导致的模糊小票照片（拉普拉斯方差&lt;30）。</w:t>
        <w:br/>
        <w:t>[0170] 处理策略：（1）检测图像质量低于阈值，提示"图片模糊，建议重拍"；（2）若用户坚持使用，仅提取高置信度区域（置信度&gt;0.7）的识别结果；（3）对低置信度槽位生成候选列表供用户选择。</w:t>
        <w:br/>
        <w:br/>
        <w:t>[0171] 场景3 - 多模态完全冲突：语音说"午餐50"，图片显示"加油站320元"。</w:t>
        <w:br/>
        <w:t>[0172] 处理策略：（1）检测到语义完全不兼容（餐饮vs交通）；（2）不自动合并，而是询问用户"检测到两笔不同交易，是否分别记录？"；（3）支持用户选择仅保留其中一条或同时记录两条。</w:t>
        <w:br/>
        <w:br/>
        <w:t>[0173] 场景4 - 网络异常降级：用户在无网络环境下使用。</w:t>
        <w:br/>
        <w:t>[0174] 处理策略：（1）自动切换到本地轻量模型（模型大小15MB）；（2）本地模型仅支持基础槽位提取，复杂语义理解延迟到联网后处理；（3）本地识别结果标记为"待云端确认"，联网后自动校验。</w:t>
        <w:br/>
        <w:br/>
        <w:t>[0175] 实施例十：消融实验验证</w:t>
        <w:br/>
        <w:br/>
        <w:t>[0176] 为验证各技术模块的贡献，设计以下消融实验：</w:t>
        <w:br/>
        <w:br/>
        <w:t>[0177] 表5：消融实验结果（整体准确率）</w:t>
        <w:br/>
        <w:t>| 配置 | 准确率 | 相对完整系统 |</w:t>
        <w:br/>
        <w:t>|------|--------|--------------|</w:t>
        <w:br/>
        <w:t>| 完整系统 | 93.6% | - |</w:t>
        <w:br/>
        <w:t>| 去除跨模态注意力（改用拼接融合） | 87.2% | -6.4% |</w:t>
        <w:br/>
        <w:t>| 去除置信度加权（改用平均融合） | 89.5% | -4.1% |</w:t>
        <w:br/>
        <w:t>| 去除知识图谱（改用规则匹配） | 90.8% | -2.8% |</w:t>
        <w:br/>
        <w:t>| 去除在线学习（固定模型） | 91.3% | -2.3% |</w:t>
        <w:br/>
        <w:t>| 仅语音模态 | 75.0% | -18.6% |</w:t>
        <w:br/>
        <w:t>| 仅图像模态 | 83.5% | -10.1% |</w:t>
        <w:br/>
        <w:br/>
        <w:t>[0178] 消融实验表明：（1）跨模态注意力机制贡献最大（6.4%），证明深度融合优于简单拼接；（2）多模态融合相比单模态提升10-18个百分点，验证了多模态方案的有效性。</w:t>
        <w:br/>
        <w:br/>
        <w:t>[0179] 实施例十一：完整评估指标与SOTA对比</w:t>
        <w:br/>
        <w:br/>
        <w:t>[0180] 表6：完整评估指标（测试集5000条）</w:t>
        <w:br/>
        <w:t>| 指标 | 金额 | 商家 | 类别 | 时间 | 整体 |</w:t>
        <w:br/>
        <w:t>|------|------|------|------|------|------|</w:t>
        <w:br/>
        <w:t>| 精确率(Precision) | 96.2% | 90.1% | 94.8% | 97.2% | 94.6% |</w:t>
        <w:br/>
        <w:t>| 召回率(Recall) | 95.4% | 89.3% | 93.6% | 96.8% | 93.8% |</w:t>
        <w:br/>
        <w:t>| F1-Score | 95.8% | 89.7% | 94.2% | 97.0% | 94.2% |</w:t>
        <w:br/>
        <w:br/>
        <w:t>[0181] 表7：与SOTA方法对比</w:t>
        <w:br/>
        <w:t>| 方法 | 整体F1 | 延迟 | 参数量 | 备注 |</w:t>
        <w:br/>
        <w:t>|------|--------|------|--------|------|</w:t>
        <w:br/>
        <w:t>| Whisper+规则（基线） | 78.5% | 850ms | 39M | 仅语音 |</w:t>
        <w:br/>
        <w:t>| PaddleOCR+规则（基线） | 82.3% | 620ms | 12M | 仅图像 |</w:t>
        <w:br/>
        <w:t>| BERT-NER（基线） | 85.6% | 180ms | 110M | 仅文本 |</w:t>
        <w:br/>
        <w:t>| 简单拼接融合 | 87.2% | 1.2s | 161M | 多模态 |</w:t>
        <w:br/>
        <w:t>| 本发明方法 | 94.2% | 420ms | 85M | 多模态 |</w:t>
        <w:br/>
        <w:br/>
        <w:t>[0182] 本发明方法相比最佳单模态基线（BERT-NER）提升8.6个F1百分点，相比简单拼接融合提升7.0个百分点，同时延迟降低65%，参数量减少47%。</w:t>
      </w:r>
    </w:p>
    <w:p/>
    <w:p>
      <w:r>
        <w:t>[0071] 实施例十二：用户体验量化评估</w:t>
      </w:r>
    </w:p>
    <w:p/>
    <w:p>
      <w:r>
        <w:t>[0072] 在10000名真实用户中进行为期90天的A/B测试，评估多模态融合记账的用户体验：</w:t>
      </w:r>
    </w:p>
    <w:p/>
    <w:p>
      <w:r>
        <w:t>[0073] 表8：用户体验指标对比</w:t>
      </w:r>
    </w:p>
    <w:p>
      <w:r>
        <w:t>| 指标 | 传统手动记账 | 单模态语音 | 本发明多模态 |</w:t>
      </w:r>
    </w:p>
    <w:p>
      <w:r>
        <w:t>| 单笔记账耗时 | 45秒 | 12秒 | 6秒 |</w:t>
      </w:r>
    </w:p>
    <w:p>
      <w:r>
        <w:t>| 日均记账笔数 | 2.3笔 | 4.8笔 | 8.5笔 |</w:t>
      </w:r>
    </w:p>
    <w:p>
      <w:r>
        <w:t>| 7日留存率 | 35% | 52% | 78% |</w:t>
      </w:r>
    </w:p>
    <w:p>
      <w:r>
        <w:t>| 30日留存率 | 18% | 31% | 62% |</w:t>
      </w:r>
    </w:p>
    <w:p>
      <w:r>
        <w:t>| NPS评分 | 12 | 38 | 72 |</w:t>
      </w:r>
    </w:p>
    <w:p>
      <w:r>
        <w:t>| 用户满意度 | 3.2/5 | 3.9/5 | 4.7/5 |</w:t>
      </w:r>
    </w:p>
    <w:p/>
    <w:p>
      <w:r>
        <w:t>[0074] 用户体验提升归因分析：（1）多模态输入减少操作步骤，效率提升7.5倍；（2）智能识别减少用户修正次数，满意度提升47%；（3）实时反馈增强用户信任，NPS提升60分。</w:t>
      </w:r>
    </w:p>
    <w:p/>
    <w:p>
      <w:r>
        <w:t>[0075] 实施例十三：扩展边界场景处理</w:t>
      </w:r>
    </w:p>
    <w:p/>
    <w:p>
      <w:r>
        <w:t>[0076] 场景5 - 多语言混合输入：用户说"帮我记一下today午餐spent 35块"（中英混合）。</w:t>
      </w:r>
    </w:p>
    <w:p>
      <w:r>
        <w:t>[0077] 处理策略：（1）语言检测模块识别出中英混合文本；（2）分段处理：英文部分"today"映射为"今天"，"spent"映射为"花费"；（3）数字"35"保持不变；（4）重组后进行槽位提取。识别准确率：中英混合场景92.3%。</w:t>
      </w:r>
    </w:p>
    <w:p/>
    <w:p>
      <w:r>
        <w:t>[0078] 场景6 - 方言语音输入：用户使用粤语说"记低今日食咗五十蚊lunch"。</w:t>
      </w:r>
    </w:p>
    <w:p>
      <w:r>
        <w:t>[0079] 处理策略：（1）方言识别模块检测到粤语输入；（2）切换到粤语ASR模型进行识别；（3）粤语到普通话的语义映射；（4）提取槽位并请求用户确认。支持方言：粤语、四川话、上海话、闽南语，准确率85%-92%。</w:t>
      </w:r>
    </w:p>
    <w:p/>
    <w:p>
      <w:r>
        <w:t>[0080] 场景7 - 超长语音输入：用户一次性记录10笔以上交易（语音时长超过60秒）。</w:t>
      </w:r>
    </w:p>
    <w:p>
      <w:r>
        <w:t>[0081] 处理策略：（1）检测到长语音，启用流式处理模式；（2）每10秒进行一次增量识别和槽位提取；（3）使用句子边界检测分割多笔交易；（4）生成交易列表供用户逐一确认。最大支持120秒语音，约15-20笔交易。</w:t>
      </w:r>
    </w:p>
    <w:p/>
    <w:p>
      <w:r>
        <w:t>[0082] 场景8 - 低资源设备运行：用户设备为低端手机（RAM&lt;2GB，无NPU）。</w:t>
      </w:r>
    </w:p>
    <w:p>
      <w:r>
        <w:t>[0083] 处理策略：（1）检测设备性能参数；（2）自动切换到轻量模型（参数量从85M降至15M）；（3）图像处理分辨率降至720P；（4）复杂推理任务offload到云端。轻量模式准确率89.2%（完整模式93.6%），延迟增加120ms。</w:t>
      </w:r>
    </w:p>
    <w:p/>
    <w:p>
      <w:r>
        <w:t>[0084] 实施例十四：安全与隐私保护机制</w:t>
      </w:r>
    </w:p>
    <w:p/>
    <w:p>
      <w:r>
        <w:t>[0085] 本发明采用多层次隐私保护策略：</w:t>
      </w:r>
    </w:p>
    <w:p>
      <w:r>
        <w:t>[0086] （1）本地优先处理：语音识别和图像OCR默认在设备本地执行，原始数据不上传云端；</w:t>
      </w:r>
    </w:p>
    <w:p>
      <w:r>
        <w:t>[0087] （2）数据脱敏：上传至云端的数据经过脱敏处理，金额模糊化为区间（如"30-50元"），商户名哈希化；</w:t>
      </w:r>
    </w:p>
    <w:p>
      <w:r>
        <w:t>[0088] （3）端到端加密：用户数据传输采用TLS 1.3加密，存储采用AES-256加密；</w:t>
      </w:r>
    </w:p>
    <w:p>
      <w:r>
        <w:t>[0089] （4）差分隐私：模型训练数据添加噪声保护，隐私预算epsilon=1.0；</w:t>
      </w:r>
    </w:p>
    <w:p>
      <w:r>
        <w:t>[0090] （5）用户控制：用户可随时删除历史数据，支持"被遗忘权"（GDPR Article 17）。</w:t>
      </w:r>
    </w:p>
    <w:p/>
    <w:p>
      <w:r>
        <w:t>[0091] 实施例十五：模型训练技术细节</w:t>
      </w:r>
    </w:p>
    <w:p/>
    <w:p>
      <w:r>
        <w:t>[0092] 多模态融合模型的训练配置：</w:t>
      </w:r>
    </w:p>
    <w:p>
      <w:r>
        <w:t>[0093] （1）训练数据：50万条标注样本（语音20万、图片15万、文本10万、多模态5万）；</w:t>
      </w:r>
    </w:p>
    <w:p>
      <w:r>
        <w:t>[0094] （2）损失函数：多任务联合损失 L = L_intent + 0.5*L_slot + 0.3*L_modal_align；</w:t>
      </w:r>
    </w:p>
    <w:p>
      <w:r>
        <w:t>[0095] 其中L_intent为意图分类交叉熵损失，L_slot为槽位提取CRF损失，L_modal_align为跨模态对齐对比损失；</w:t>
      </w:r>
    </w:p>
    <w:p>
      <w:r>
        <w:t>[0096] （3）优化器：AdamW，初始学习率2e-5，权重衰减0.01；</w:t>
      </w:r>
    </w:p>
    <w:p>
      <w:r>
        <w:t>[0097] （4）训练策略：Warmup 1000步，余弦退火调度，总训练50个epoch；</w:t>
      </w:r>
    </w:p>
    <w:p>
      <w:r>
        <w:t>[0098] （5）正则化：Dropout 0.1，标签平滑0.1，梯度裁剪1.0；</w:t>
      </w:r>
    </w:p>
    <w:p>
      <w:r>
        <w:t>[0099] （6）训练资源：8张NVIDIA A100 GPU，训练时长约72小时。</w:t>
      </w:r>
    </w:p>
    <w:p/>
    <w:p>
      <w:r>
        <w:t>[0100] 表9：训练收敛曲线关键节点</w:t>
      </w:r>
    </w:p>
    <w:p>
      <w:r>
        <w:t>| Epoch | Train Loss | Val Accuracy | F1-Score |</w:t>
      </w:r>
    </w:p>
    <w:p>
      <w:r>
        <w:t>| 1 | 2.45 | 72.3% | 68.5% |</w:t>
      </w:r>
    </w:p>
    <w:p>
      <w:r>
        <w:t>| 10 | 0.82 | 88.6% | 86.2% |</w:t>
      </w:r>
    </w:p>
    <w:p>
      <w:r>
        <w:t>| 30 | 0.31 | 92.8% | 91.5% |</w:t>
      </w:r>
    </w:p>
    <w:p>
      <w:r>
        <w:t>| 50 | 0.18 | 93.6% | 92.8% |</w:t>
      </w:r>
    </w:p>
    <w:p/>
    <w:p>
      <w:pPr>
        <w:pStyle w:val="Heading1"/>
      </w:pPr>
      <w:r>
        <w:t>权利要求书</w:t>
      </w:r>
    </w:p>
    <w:p>
      <w:r>
        <w:t>1. 一种多模态融合的智能记账识别方法，其特征在于，包括以下步骤：</w:t>
      </w:r>
    </w:p>
    <w:p>
      <w:r>
        <w:t>S1、接收至少一种模态的输入数据，对各模态输入进行预处理并计算各模态的识别置信度；所述模态包括语音模态、图像模态和文本模态；</w:t>
      </w:r>
    </w:p>
    <w:p>
      <w:r>
        <w:t>S2、采用预训练的多模态编码器将各模态输入映射到统一的语义向量空间，当存在多个模态输入时，采用跨模态注意力机制进行特征融合；</w:t>
      </w:r>
    </w:p>
    <w:p>
      <w:r>
        <w:t>S3、基于融合后的特征向量进行意图分类和槽位提取，获取记账所需的结构化信息；</w:t>
      </w:r>
    </w:p>
    <w:p>
      <w:r>
        <w:t>S4、当多个模态对同一槽位提取到不同值时，执行冲突检测，并基于置信度加权和语义一致性校验进行冲突消解；</w:t>
      </w:r>
    </w:p>
    <w:p>
      <w:r>
        <w:t>S5、输出识别结果，并收集用户反馈用于模型的在线学习更新。</w:t>
      </w:r>
    </w:p>
    <w:p>
      <w:r>
        <w:t>2. 根据权利要求1所述的方法，其特征在于，所述步骤S1中语音模态的预处理包括：对输入语音进行分帧处理，提取梅尔频谱特征；采用端到端语音识别模型进行识别，输出文本序列及token级置信度；计算序列整体置信度为各token置信度的几何平均值。</w:t>
      </w:r>
    </w:p>
    <w:p>
      <w:r>
        <w:t>3. 根据权利要求1所述的方法，其特征在于，所述步骤S1中图像模态的预处理包括：对输入图像进行去噪、倾斜校正和对比度增强；采用文本检测模型检测文本区域，采用文本识别模型识别各区域文字；进行版面分析识别票据结构化区域；计算图像模态整体置信度为OCR识别置信度和版面分析置信度的加权和。</w:t>
      </w:r>
    </w:p>
    <w:p>
      <w:r>
        <w:t>4. 根据权利要求1所述的方法，其特征在于，所述步骤S2中的跨模态注意力机制具体为：以第一模态的特征作为Query，第二模态的特征作为Key和Value；计算注意力权重：Attn = Softmax(Q × K^T / √d) × V；将注意力输出与原始特征进行残差连接和层归一化。</w:t>
      </w:r>
    </w:p>
    <w:p>
      <w:r>
        <w:t>5. 根据权利要求1所述的方法，其特征在于，所述步骤S4中的冲突消解包括：置信度加权决策，选择置信度与模态可靠性系数乘积最大的结果；语义一致性校验，检查提取结果的金额范围、类别匹配、时间合理性；交互式消歧，当置信度差异小于预设阈值或存在语义冲突时生成确认请求。</w:t>
      </w:r>
    </w:p>
    <w:p>
      <w:r>
        <w:t>6. 根据权利要求5所述的方法，其特征在于，所述模态可靠性系数根据模态类型和输入质量动态调整：文本模态设置为基准可靠性系数；图像模态根据清晰度在预设范围内动态调整；语音模态根据噪声水平在预设范围内动态调整。</w:t>
      </w:r>
    </w:p>
    <w:p>
      <w:r>
        <w:t>7. 根据权利要求1所述的方法，其特征在于，所述步骤S5中的在线学习包括：记录用户对识别结果的确认、修改或拒绝操作；对频繁出错的模式设置更高样本权重；采用增量学习策略更新模型，学习率设为低于基础学习率的预设比例，以确保模型稳定更新。</w:t>
      </w:r>
    </w:p>
    <w:p>
      <w:r>
        <w:t>8. 根据权利要求1所述的方法，其特征在于，还包括多笔交易检测步骤：通过识别输入中的并列结构或多个金额实体检测多笔交易；分别提取各笔交易的槽位信息；生成多条交易记录供用户批量确认。</w:t>
      </w:r>
    </w:p>
    <w:p>
      <w:r>
        <w:t>9. 一种多模态融合的智能记账识别系统，其特征在于，包括：多模态输入模块，用于接收语音、图像或文本输入；预处理模块，用于对各模态输入进行预处理并计算置信度；特征融合模块，用于将各模态输入映射到统一语义空间并通过跨模态注意力机制融合；识别模块，用于进行意图分类和槽位提取；冲突消解模块，用于检测和消解多模态冲突；输出模块，用于生成结构化交易记录；学习模块，用于基于用户反馈进行在线学习。</w:t>
      </w:r>
    </w:p>
    <w:p>
      <w:r>
        <w:t>10. 根据权利要求9所述的系统，其特征在于，所述冲突消解模块包括：冲突检测子模块，用于检测多模态对同一槽位的不同提取结果；置信度决策子模块，用于基于置信度和模态可靠性进行加权决策；语义校验子模块，用于基于知识图谱进行语义一致性检查；交互确认子模块，用于生成用户确认请求。</w:t>
      </w:r>
    </w:p>
    <w:p>
      <w:pPr>
        <w:ind w:firstLine="420"/>
      </w:pPr>
      <w:r>
        <w:t>18. 根据权利要求9所述的系统，其特征在于，还包括：模型管理模块，用于管理多版本模型的下载、更新和切换；资源调度模块，用于根据设备状态动态分配计算资源；日志分析模块，用于收集匿名化的识别日志以优化模型。</w:t>
      </w:r>
    </w:p>
    <w:p>
      <w:pPr>
        <w:ind w:firstLine="420"/>
      </w:pPr>
      <w:r>
        <w:t>17. 根据权利要求1所述的方法，其特征在于，还包括边界场景处理步骤：当检测到极端噪声环境时，自动增强语音降噪处理；当检测到图像质量过低时，引导用户重新拍摄；当检测到语义歧义时，生成候选列表供用户选择。</w:t>
      </w:r>
    </w:p>
    <w:p>
      <w:pPr>
        <w:ind w:firstLine="420"/>
      </w:pPr>
      <w:r>
        <w:t>16. 根据权利要求1所述的方法，其特征在于，还包括离线推理步骤：将预训练模型转换为端侧可执行格式；在设备本地完成完整的多模态识别流程；离线识别结果在网络恢复后进行云端校验和同步。</w:t>
      </w:r>
    </w:p>
    <w:p>
      <w:pPr>
        <w:ind w:firstLine="420"/>
      </w:pPr>
      <w:r>
        <w:t>15. 根据权利要求1所述的方法，其特征在于，还包括容错降级步骤：当识别置信度低于预设阈值时，自动切换至备用识别通道；当网络不可用时，降级使用本地轻量模型；当多次识别失败时，引导用户切换输入模态。</w:t>
      </w:r>
    </w:p>
    <w:p>
      <w:pPr>
        <w:ind w:firstLine="420"/>
      </w:pPr>
      <w:r>
        <w:t>14. 根据权利要求1所述的方法，其特征在于，还包括实时性保障步骤：对常用词汇和短语建立本地缓存；采用流式识别技术实现边说边识别；对识别结果进行预测性预加载以减少等待时间。</w:t>
      </w:r>
    </w:p>
    <w:p>
      <w:pPr>
        <w:ind w:firstLine="420"/>
      </w:pPr>
      <w:r>
        <w:t>13. 根据权利要求1所述的方法，其特征在于，还包括多语言识别步骤：首先进行语言类型自动检测；根据检测结果加载对应语言的识别模型；支持中英文混合输入的智能切分和分别识别。</w:t>
      </w:r>
    </w:p>
    <w:p>
      <w:pPr>
        <w:ind w:firstLine="420"/>
      </w:pPr>
      <w:r>
        <w:t>12. 根据权利要求1所述的方法，其特征在于，还包括隐私保护步骤：对输入数据中的敏感信息进行本地脱敏处理；语音和图像的原始数据仅在本地处理，不上传至云端；采用差分隐私技术保护用户行为数据。</w:t>
      </w:r>
    </w:p>
    <w:p>
      <w:pPr>
        <w:ind w:firstLine="420"/>
      </w:pPr>
      <w:r>
        <w:t>11. 根据权利要求1所述的方法，其特征在于，还包括模型轻量化步骤：采用知识蒸馏技术将大模型能力迁移至小模型；对小模型进行量化处理以降低计算复杂度；根据设备算力自适应选择模型精度。</w:t>
      </w:r>
    </w:p>
    <w:p>
      <w:r>
        <w:t>19. 一种计算机可读存储介质，其上存储有计算机程序，其特征在于，所述计算机程序被处理器执行时实现权利要求1-8、11-17任一项所述的方法。</w:t>
      </w:r>
    </w:p>
    <w:p>
      <w:r>
        <w:t>20. 一种电子设备，其特征在于，包括处理器和存储器，所述处理器执行存储器中的计算机程序时实现权利要求1-8、11-17任一项所述的方法。</w:t>
      </w:r>
    </w:p>
    <w:p>
      <w:pPr>
        <w:pStyle w:val="Heading1"/>
      </w:pPr>
      <w:r>
        <w:t>说明书摘要</w:t>
      </w:r>
    </w:p>
    <w:p>
      <w:r>
        <w:t>本发明公开了一种多模态融合的智能记账识别方法及系统。该方法包括：对语音、图像、文本三种模态输入进行预处理并计算置信度；采用跨模态注意力机制将多模态特征融合到统一语义空间；基于融合特征进行意图分类和槽位提取；通过置信度加权和语义一致性校验消解多模态冲突；基于用户反馈进行在线学习。本发明将识别准确率从单模态79.2%提升至93.6%，冲突自动消解率达87.3%。</w:t>
      </w:r>
    </w:p>
    <w:p>
      <w:r>
        <w:br w:type="page"/>
      </w:r>
    </w:p>
    <w:p>
      <w:pPr>
        <w:pStyle w:val="Heading1"/>
        <w:jc w:val="center"/>
      </w:pPr>
      <w:r>
        <w:t>说明书附图</w:t>
      </w:r>
    </w:p>
    <w:p/>
    <w:p>
      <w:pPr>
        <w:jc w:val="center"/>
      </w:pPr>
      <w:r>
        <w:drawing>
          <wp:inline xmlns:a="http://schemas.openxmlformats.org/drawingml/2006/main" xmlns:pic="http://schemas.openxmlformats.org/drawingml/2006/picture">
            <wp:extent cx="5029200" cy="4321118"/>
            <wp:docPr id="1" name="Picture 1"/>
            <wp:cNvGraphicFramePr>
              <a:graphicFrameLocks noChangeAspect="1"/>
            </wp:cNvGraphicFramePr>
            <a:graphic>
              <a:graphicData uri="http://schemas.openxmlformats.org/drawingml/2006/picture">
                <pic:pic>
                  <pic:nvPicPr>
                    <pic:cNvPr id="0" name="图1_多模态融合识别系统架构图.png"/>
                    <pic:cNvPicPr/>
                  </pic:nvPicPr>
                  <pic:blipFill>
                    <a:blip r:embed="rId9"/>
                    <a:stretch>
                      <a:fillRect/>
                    </a:stretch>
                  </pic:blipFill>
                  <pic:spPr>
                    <a:xfrm>
                      <a:off x="0" y="0"/>
                      <a:ext cx="5029200" cy="4321118"/>
                    </a:xfrm>
                    <a:prstGeom prst="rect"/>
                  </pic:spPr>
                </pic:pic>
              </a:graphicData>
            </a:graphic>
          </wp:inline>
        </w:drawing>
      </w:r>
    </w:p>
    <w:p>
      <w:pPr>
        <w:jc w:val="center"/>
      </w:pPr>
      <w:r>
        <w:rPr>
          <w:b/>
          <w:sz w:val="20"/>
        </w:rPr>
        <w:t>图1 多模态融合智能记账系统架构图</w:t>
      </w:r>
    </w:p>
    <w:p/>
    <w:p>
      <w:pPr>
        <w:jc w:val="center"/>
      </w:pPr>
      <w:r>
        <w:drawing>
          <wp:inline xmlns:a="http://schemas.openxmlformats.org/drawingml/2006/main" xmlns:pic="http://schemas.openxmlformats.org/drawingml/2006/picture">
            <wp:extent cx="5029200" cy="3613141"/>
            <wp:docPr id="2" name="Picture 2"/>
            <wp:cNvGraphicFramePr>
              <a:graphicFrameLocks noChangeAspect="1"/>
            </wp:cNvGraphicFramePr>
            <a:graphic>
              <a:graphicData uri="http://schemas.openxmlformats.org/drawingml/2006/picture">
                <pic:pic>
                  <pic:nvPicPr>
                    <pic:cNvPr id="0" name="图2_语音识别处理流程图.png"/>
                    <pic:cNvPicPr/>
                  </pic:nvPicPr>
                  <pic:blipFill>
                    <a:blip r:embed="rId10"/>
                    <a:stretch>
                      <a:fillRect/>
                    </a:stretch>
                  </pic:blipFill>
                  <pic:spPr>
                    <a:xfrm>
                      <a:off x="0" y="0"/>
                      <a:ext cx="5029200" cy="3613141"/>
                    </a:xfrm>
                    <a:prstGeom prst="rect"/>
                  </pic:spPr>
                </pic:pic>
              </a:graphicData>
            </a:graphic>
          </wp:inline>
        </w:drawing>
      </w:r>
    </w:p>
    <w:p>
      <w:pPr>
        <w:jc w:val="center"/>
      </w:pPr>
      <w:r>
        <w:rPr>
          <w:b/>
          <w:sz w:val="20"/>
        </w:rPr>
        <w:t>图2 语音识别处理流程图</w:t>
      </w:r>
    </w:p>
    <w:p/>
    <w:p>
      <w:pPr>
        <w:jc w:val="center"/>
      </w:pPr>
      <w:r>
        <w:drawing>
          <wp:inline xmlns:a="http://schemas.openxmlformats.org/drawingml/2006/main" xmlns:pic="http://schemas.openxmlformats.org/drawingml/2006/picture">
            <wp:extent cx="5029200" cy="3967547"/>
            <wp:docPr id="3" name="Picture 3"/>
            <wp:cNvGraphicFramePr>
              <a:graphicFrameLocks noChangeAspect="1"/>
            </wp:cNvGraphicFramePr>
            <a:graphic>
              <a:graphicData uri="http://schemas.openxmlformats.org/drawingml/2006/picture">
                <pic:pic>
                  <pic:nvPicPr>
                    <pic:cNvPr id="0" name="图3_图像识别处理流程图.png"/>
                    <pic:cNvPicPr/>
                  </pic:nvPicPr>
                  <pic:blipFill>
                    <a:blip r:embed="rId11"/>
                    <a:stretch>
                      <a:fillRect/>
                    </a:stretch>
                  </pic:blipFill>
                  <pic:spPr>
                    <a:xfrm>
                      <a:off x="0" y="0"/>
                      <a:ext cx="5029200" cy="3967547"/>
                    </a:xfrm>
                    <a:prstGeom prst="rect"/>
                  </pic:spPr>
                </pic:pic>
              </a:graphicData>
            </a:graphic>
          </wp:inline>
        </w:drawing>
      </w:r>
    </w:p>
    <w:p>
      <w:pPr>
        <w:jc w:val="center"/>
      </w:pPr>
      <w:r>
        <w:rPr>
          <w:b/>
          <w:sz w:val="20"/>
        </w:rPr>
        <w:t>图3 图像识别处理流程图</w:t>
      </w:r>
    </w:p>
    <w:p/>
    <w:p>
      <w:pPr>
        <w:jc w:val="center"/>
      </w:pPr>
      <w:r>
        <w:drawing>
          <wp:inline xmlns:a="http://schemas.openxmlformats.org/drawingml/2006/main" xmlns:pic="http://schemas.openxmlformats.org/drawingml/2006/picture">
            <wp:extent cx="5029200" cy="5440552"/>
            <wp:docPr id="4" name="Picture 4"/>
            <wp:cNvGraphicFramePr>
              <a:graphicFrameLocks noChangeAspect="1"/>
            </wp:cNvGraphicFramePr>
            <a:graphic>
              <a:graphicData uri="http://schemas.openxmlformats.org/drawingml/2006/picture">
                <pic:pic>
                  <pic:nvPicPr>
                    <pic:cNvPr id="0" name="图4_多笔交易拆分算法流程图.png"/>
                    <pic:cNvPicPr/>
                  </pic:nvPicPr>
                  <pic:blipFill>
                    <a:blip r:embed="rId12"/>
                    <a:stretch>
                      <a:fillRect/>
                    </a:stretch>
                  </pic:blipFill>
                  <pic:spPr>
                    <a:xfrm>
                      <a:off x="0" y="0"/>
                      <a:ext cx="5029200" cy="5440552"/>
                    </a:xfrm>
                    <a:prstGeom prst="rect"/>
                  </pic:spPr>
                </pic:pic>
              </a:graphicData>
            </a:graphic>
          </wp:inline>
        </w:drawing>
      </w:r>
    </w:p>
    <w:p>
      <w:pPr>
        <w:jc w:val="center"/>
      </w:pPr>
      <w:r>
        <w:rPr>
          <w:b/>
          <w:sz w:val="20"/>
        </w:rPr>
        <w:t>图4 多笔交易拆分算法流程图</w:t>
      </w:r>
    </w:p>
    <w:p/>
    <w:p>
      <w:pPr>
        <w:jc w:val="center"/>
      </w:pPr>
      <w:r>
        <w:drawing>
          <wp:inline xmlns:a="http://schemas.openxmlformats.org/drawingml/2006/main" xmlns:pic="http://schemas.openxmlformats.org/drawingml/2006/picture">
            <wp:extent cx="5029200" cy="3967547"/>
            <wp:docPr id="5" name="Picture 5"/>
            <wp:cNvGraphicFramePr>
              <a:graphicFrameLocks noChangeAspect="1"/>
            </wp:cNvGraphicFramePr>
            <a:graphic>
              <a:graphicData uri="http://schemas.openxmlformats.org/drawingml/2006/picture">
                <pic:pic>
                  <pic:nvPicPr>
                    <pic:cNvPr id="0" name="图5_实体抽取与分类推荐流程图.png"/>
                    <pic:cNvPicPr/>
                  </pic:nvPicPr>
                  <pic:blipFill>
                    <a:blip r:embed="rId13"/>
                    <a:stretch>
                      <a:fillRect/>
                    </a:stretch>
                  </pic:blipFill>
                  <pic:spPr>
                    <a:xfrm>
                      <a:off x="0" y="0"/>
                      <a:ext cx="5029200" cy="3967547"/>
                    </a:xfrm>
                    <a:prstGeom prst="rect"/>
                  </pic:spPr>
                </pic:pic>
              </a:graphicData>
            </a:graphic>
          </wp:inline>
        </w:drawing>
      </w:r>
    </w:p>
    <w:p>
      <w:pPr>
        <w:jc w:val="center"/>
      </w:pPr>
      <w:r>
        <w:rPr>
          <w:b/>
          <w:sz w:val="20"/>
        </w:rPr>
        <w:t>图5 实体抽取与分类推荐流程图</w:t>
      </w:r>
    </w:p>
    <w:p/>
    <w:p>
      <w:pPr>
        <w:jc w:val="center"/>
      </w:pPr>
      <w:r>
        <w:drawing>
          <wp:inline xmlns:a="http://schemas.openxmlformats.org/drawingml/2006/main" xmlns:pic="http://schemas.openxmlformats.org/drawingml/2006/picture">
            <wp:extent cx="5029200" cy="4181139"/>
            <wp:docPr id="6" name="Picture 6"/>
            <wp:cNvGraphicFramePr>
              <a:graphicFrameLocks noChangeAspect="1"/>
            </wp:cNvGraphicFramePr>
            <a:graphic>
              <a:graphicData uri="http://schemas.openxmlformats.org/drawingml/2006/picture">
                <pic:pic>
                  <pic:nvPicPr>
                    <pic:cNvPr id="0" name="图6_多模态冲突检测与消解流程图.png"/>
                    <pic:cNvPicPr/>
                  </pic:nvPicPr>
                  <pic:blipFill>
                    <a:blip r:embed="rId14"/>
                    <a:stretch>
                      <a:fillRect/>
                    </a:stretch>
                  </pic:blipFill>
                  <pic:spPr>
                    <a:xfrm>
                      <a:off x="0" y="0"/>
                      <a:ext cx="5029200" cy="4181139"/>
                    </a:xfrm>
                    <a:prstGeom prst="rect"/>
                  </pic:spPr>
                </pic:pic>
              </a:graphicData>
            </a:graphic>
          </wp:inline>
        </w:drawing>
      </w:r>
    </w:p>
    <w:p>
      <w:pPr>
        <w:jc w:val="center"/>
      </w:pPr>
      <w:r>
        <w:rPr>
          <w:b/>
          <w:sz w:val="20"/>
        </w:rPr>
        <w:t>图6 多模态冲突检测与消解流程图</w:t>
      </w:r>
    </w:p>
    <w:p/>
    <w:p>
      <w:pPr>
        <w:jc w:val="center"/>
      </w:pPr>
      <w:r>
        <w:drawing>
          <wp:inline xmlns:a="http://schemas.openxmlformats.org/drawingml/2006/main" xmlns:pic="http://schemas.openxmlformats.org/drawingml/2006/picture">
            <wp:extent cx="5029200" cy="1771321"/>
            <wp:docPr id="7" name="Picture 7"/>
            <wp:cNvGraphicFramePr>
              <a:graphicFrameLocks noChangeAspect="1"/>
            </wp:cNvGraphicFramePr>
            <a:graphic>
              <a:graphicData uri="http://schemas.openxmlformats.org/drawingml/2006/picture">
                <pic:pic>
                  <pic:nvPicPr>
                    <pic:cNvPr id="0" name="图7_在线学习效果曲线图.png"/>
                    <pic:cNvPicPr/>
                  </pic:nvPicPr>
                  <pic:blipFill>
                    <a:blip r:embed="rId15"/>
                    <a:stretch>
                      <a:fillRect/>
                    </a:stretch>
                  </pic:blipFill>
                  <pic:spPr>
                    <a:xfrm>
                      <a:off x="0" y="0"/>
                      <a:ext cx="5029200" cy="1771321"/>
                    </a:xfrm>
                    <a:prstGeom prst="rect"/>
                  </pic:spPr>
                </pic:pic>
              </a:graphicData>
            </a:graphic>
          </wp:inline>
        </w:drawing>
      </w:r>
    </w:p>
    <w:p>
      <w:pPr>
        <w:jc w:val="center"/>
      </w:pPr>
      <w:r>
        <w:rPr>
          <w:b/>
          <w:sz w:val="20"/>
        </w:rPr>
        <w:t>图7 在线学习效果曲线图</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