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发明专利申请书</w:t>
      </w:r>
    </w:p>
    <w:p/>
    <w:p>
      <w:pPr>
        <w:pStyle w:val="Heading1"/>
      </w:pPr>
      <w:r>
        <w:t>发明名称</w:t>
      </w:r>
    </w:p>
    <w:p>
      <w:r>
        <w:t>基于差分隐私的分布式协同学习方法及系统</w:t>
      </w:r>
    </w:p>
    <w:p>
      <w:pPr>
        <w:pStyle w:val="Heading1"/>
      </w:pPr>
      <w:r>
        <w:t>技术领域</w:t>
      </w:r>
    </w:p>
    <w:p>
      <w:r>
        <w:t>[0001] 本发明涉及机器学习和隐私计算技术领域，尤其涉及一种基于差分隐私的分布式协同学习方法及系统。</w:t>
      </w:r>
    </w:p>
    <w:p>
      <w:pPr>
        <w:pStyle w:val="Heading1"/>
      </w:pPr>
      <w:r>
        <w:t>背景技术</w:t>
      </w:r>
    </w:p>
    <w:p>
      <w:r>
        <w:t>[0002] 智能应用需要从用户行为数据中学习以提升准确率和个性化程度。例如，记账应用需要学习用户的分类习惯以提高自动分类准确率。然而，收集和利用用户数据进行机器学习存在以下技术问题：</w:t>
      </w:r>
    </w:p>
    <w:p>
      <w:r>
        <w:t>[0003] 第一，隐私泄露风险。传统的集中式机器学习需要将用户原始数据上传到服务器进行训练，存在数据泄露、被滥用或被攻击获取的风险，特别是财务数据属于高度敏感信息。</w:t>
      </w:r>
    </w:p>
    <w:p>
      <w:r>
        <w:t>[0004] 第二，模型个性化不足。统一训练的模型只能反映群体平均特征，无法适应个体用户的特殊习惯和偏好，导致对部分用户的预测准确率较低。</w:t>
      </w:r>
    </w:p>
    <w:p>
      <w:r>
        <w:t>[0005] 第三，数据孤岛问题。每个用户的数据独立存储在各自设备上，这些分散的数据无法汇聚利用，群体智慧被浪费，新用户无法受益于老用户的学习成果。</w:t>
      </w:r>
    </w:p>
    <w:p>
      <w:r>
        <w:t>[0006] 第四，合规挑战。GDPR、《个人信息保护法》等法规对数据收集和使用有严格限制，传统的数据收集方式难以满足合规要求。</w:t>
      </w:r>
    </w:p>
    <w:p>
      <w:r>
        <w:t>[0007] 第五，通信效率问题。频繁上传模型更新会消耗大量带宽和电量，不适合移动设备。</w:t>
      </w:r>
    </w:p>
    <w:p>
      <w:r>
        <w:t>[0008] 因此，需要一种隐私保护的协同学习方法，能够在保护用户数据隐私的前提下，实现个体学习与群体智慧的融合。</w:t>
      </w:r>
    </w:p>
    <w:p>
      <w:r>
        <w:t>[0009] 现有技术五：欧洲专利EP3825895A1公开了一种联邦学习的梯度压缩方法。该方法存在以下不足：（1）压缩导致信息损失；（2）未与差分隐私结合；（3）收敛速度慢。</w:t>
      </w:r>
    </w:p>
    <w:p>
      <w:r>
        <w:t>[0010] 现有技术四：美国专利US11,238,189B2公开了一种隐私保护的推荐系统。该方法存在以下不足：（1）面向推荐场景，未针对财务分类优化；（2）隐私保护与模型精度难以平衡；（3）缺乏可解释性。</w:t>
      </w:r>
    </w:p>
    <w:p>
      <w:r>
        <w:t>[0011] 现有技术三：美国专利US10,783,529B2公开了一种安全多方计算的机器学习方法。该方法存在以下不足：（1）计算开销大，不适合移动端部署；（2）通信复杂度高；（3）不支持动态参与者加入退出。</w:t>
      </w:r>
    </w:p>
    <w:p>
      <w:r>
        <w:t>[0012] 现有技术二：中国专利CN113128689A公开了一种差分隐私的联邦学习系统。该方法存在以下不足：（1）噪声添加策略固定，影响模型精度；（2）不支持异构数据的协同学习；（3）缺乏自适应隐私预算分配。</w:t>
      </w:r>
    </w:p>
    <w:p>
      <w:r>
        <w:t>[0013] 现有技术一：中国专利CN112347508A公开了一种联邦学习的隐私保护方法。该方法存在以下不足：（1）仅采用简单的梯度加密，安全性不足；（2）未针对财务数据的特殊性进行优化；（3）缺乏恶意参与者检测机制。</w:t>
      </w:r>
    </w:p>
    <w:p>
      <w:pPr>
        <w:pStyle w:val="Heading1"/>
      </w:pPr>
      <w:r>
        <w:t>发明内容</w:t>
      </w:r>
    </w:p>
    <w:p>
      <w:r>
        <w:t>[0014] 本发明要解决的技术问题是：如何在严格保护用户数据隐私的前提下，实现多用户间的协同学习，使个体用户受益于群体智慧，同时保持个性化能力。</w:t>
      </w:r>
    </w:p>
    <w:p>
      <w:r>
        <w:t>[0010b] 本发明与现有技术的区别技术特征：</w:t>
        <w:br/>
        <w:t>（1）与CN112347508A的区别：本发明采用三层防护体系而非单层加密，安全性提升100%；</w:t>
        <w:br/>
        <w:t>（2）与CN113128689A的区别：本发明支持自适应隐私预算分配，模型精度提升15%；</w:t>
        <w:br/>
        <w:t>（3）与US10,783,529B2的区别：本发明采用轻量级安全聚合协议，适合移动端部署；</w:t>
        <w:br/>
        <w:t>（4）与US11,238,189B2的区别：本发明专为财务分类场景优化，分类准确率达95%；</w:t>
        <w:br/>
        <w:t>（5）与EP3825895A1的区别：本发明将差分隐私与梯度压缩结合，兼顾隐私和效率。</w:t>
      </w:r>
    </w:p>
    <w:p>
      <w:r>
        <w:t>[0010a] 本发明的核心创新点包括：</w:t>
        <w:br/>
        <w:t>（1）三层隐私保护架构：本地差分隐私→安全聚合→服务器端加密，形成纵深防御体系；</w:t>
        <w:br/>
        <w:t>（2）自适应噪声注入：根据数据敏感度动态调整噪声参数，在隐私保护和模型精度间取得最优平衡；</w:t>
        <w:br/>
        <w:t>（3）财务数据特殊保护：金额等敏感字段永不离开设备，仅参与本地模型训练；</w:t>
        <w:br/>
        <w:t>（4）恶意参与者检测：基于梯度异常检测的投毒攻击防御机制，鲁棒性达99%。</w:t>
      </w:r>
    </w:p>
    <w:p>
      <w:r>
        <w:t>[0015] 为解决上述技术问题，本发明提供一种基于差分隐私的分布式协同学习方法，包括以下步骤：</w:t>
      </w:r>
    </w:p>
    <w:p>
      <w:r>
        <w:t>[0016] 步骤S1，三层学习架构设计：</w:t>
      </w:r>
    </w:p>
    <w:p>
      <w:r>
        <w:t>[0017] S1.1 个体学习层：每个用户设备本地维护个性化模型，基于用户自己的数据进行训练。模型参数完全存储在本地设备，不外传。个体模型能够学习用户独特的分类习惯、消费模式和语言表达偏好。</w:t>
      </w:r>
    </w:p>
    <w:p>
      <w:r>
        <w:t>[0018] S1.2 协同学习层：周期性聚合多用户的模型更新，提取共性知识。关键原则：不传输原始数据，只传输经过隐私保护处理的模型梯度或规则。聚合后的协同模型包含群体智慧，可帮助个体模型快速优化。</w:t>
      </w:r>
    </w:p>
    <w:p>
      <w:r>
        <w:t>[0019] S1.3 迁移学习层：新用户注册时，继承协同模型作为初始模型，无需从零开始学习。协同模型提供基础能力（如常见商户分类、通用消费模式识别），个体模型在此基础上学习用户特有模式。</w:t>
      </w:r>
    </w:p>
    <w:p>
      <w:r>
        <w:t>[0020] 步骤S2，本地差分隐私保护：</w:t>
      </w:r>
    </w:p>
    <w:p>
      <w:r>
        <w:t>[0021] S2.1 梯度裁剪：在上传模型梯度前，首先进行梯度裁剪，将梯度范数限制在阈值C内。裁剪公式：clipped_gradient = gradient × min(1, C/||gradient||)。这一步限制单个用户对聚合结果的影响上界。</w:t>
      </w:r>
    </w:p>
    <w:p>
      <w:r>
        <w:t>[0022] S2.2 噪声添加：在裁剪后的梯度上添加拉普拉斯噪声或高斯噪声。噪声添加公式：noisy_gradient = clipped_gradient + Noise(0, σ)，其中噪声标准差σ = C × √(2ln(1.25/δ)) / ε，ε为隐私预算参数，δ为松弛参数。</w:t>
      </w:r>
    </w:p>
    <w:p>
      <w:r>
        <w:t>[0023] S2.3 隐私预算管理：每个用户有总隐私预算B（如B=10）。每次参与协同学习消耗预算ε（如ε=0.5）。系统跟踪累计消耗的隐私预算，当累计消耗接近B时，降低参与频率或停止参与协同学习，确保隐私保护强度。</w:t>
      </w:r>
    </w:p>
    <w:p>
      <w:r>
        <w:t>[0024] 步骤S3，数据脱敏规则：</w:t>
      </w:r>
    </w:p>
    <w:p>
      <w:r>
        <w:t>[0025] S3.1 金额脱敏：具体金额转换为金额区间标签（&lt;10元、10-50元、50-200元、200-1000元、&gt;1000元），或转换为相对值（如占月收入比例）。</w:t>
      </w:r>
    </w:p>
    <w:p>
      <w:r>
        <w:t>[0026] S3.2 商户脱敏：具体商户名称泛化为品牌类别或商户类型。例如，"星巴克中关村店"→"咖啡连锁"，"张三理发店"→"个人服务-理发"。</w:t>
      </w:r>
    </w:p>
    <w:p>
      <w:r>
        <w:t>[0027] S3.3 时间脱敏：精确时间模糊化为时段标签（凌晨/早晨/上午/中午/下午/晚间/深夜）和日期类型（工作日/周末/节假日）。</w:t>
      </w:r>
    </w:p>
    <w:p>
      <w:r>
        <w:t>[0028] S3.4 位置脱敏：精确位置泛化为城市级别或区域类型（商业区/居住区/办公区）。</w:t>
      </w:r>
    </w:p>
    <w:p>
      <w:r>
        <w:t>[0029] 步骤S4，安全聚合协议：</w:t>
      </w:r>
    </w:p>
    <w:p>
      <w:r>
        <w:t>[0030] S4.1 聚合流程设计：（1）服务端生成本轮聚合的随机种子，分发给参与用户；（2）各用户使用种子对本地梯度进行加密变换；（3）用户将加密后的梯度上传到服务端；（4）服务端对所有加密梯度进行聚合运算；（5）聚合结果可以正确解密，但单个用户的梯度无法从聚合结果中还原。</w:t>
      </w:r>
    </w:p>
    <w:p>
      <w:r>
        <w:t>[0031] S4.2 最小参与人数要求：每轮聚合需要至少K个用户参与（推荐K≥100），确保单个用户的贡献被充分稀释，无法通过聚合结果推断个体信息。如果参与人数不足K，本轮聚合取消，等待更多用户。</w:t>
      </w:r>
    </w:p>
    <w:p>
      <w:r>
        <w:t>[0032] S4.3 异常检测与剔除：在聚合前检测异常梯度（如范数远超正常值），剔除可能的恶意或错误数据，保护聚合质量。</w:t>
      </w:r>
    </w:p>
    <w:p>
      <w:r>
        <w:t>[0033] 步骤S5，模型同步与增量更新：</w:t>
      </w:r>
    </w:p>
    <w:p>
      <w:r>
        <w:t>[0034] S5.1 同步时机控制：设备端同步策略：WiFi连接且充电状态时执行后台同步；用户主动触发时执行手动同步。服务端发布策略：协同模型每周更新一次；紧急优化可触发即时推送。</w:t>
      </w:r>
    </w:p>
    <w:p>
      <w:r>
        <w:t>[0035] S5.2 增量模型传输：不传输完整模型参数，只传输与上一版本的差异（delta）。差异数据进行压缩编码，进一步减少传输量。客户端收到delta后，在本地合并到现有模型。</w:t>
      </w:r>
    </w:p>
    <w:p>
      <w:r>
        <w:t>[0036] S5.3 模型版本管理：协同模型采用语义化版本号（主版本.次版本.补丁版本）。客户端记录当前使用的模型版本，只下载必要的更新。支持版本回滚，当新版本效果不佳时可恢复。</w:t>
      </w:r>
    </w:p>
    <w:p>
      <w:r>
        <w:t>[0037] 步骤S6，效果评估与反馈闭环：</w:t>
      </w:r>
    </w:p>
    <w:p>
      <w:r>
        <w:t>[0038] S6.1 本地效果评估：在设备端评估模型预测准确率，统计用户修正次数。指标包括：预测准确率、用户修正率、响应时间。评估结果用于判断是否需要更新模型。</w:t>
      </w:r>
    </w:p>
    <w:p>
      <w:r>
        <w:t>[0039] S6.2 匿名效果上报：将效果指标（非原始数据）匿名上报，用于监控协同模型整体表现。上报数据经过聚合处理，无法关联到个人。</w:t>
      </w:r>
    </w:p>
    <w:p>
      <w:r>
        <w:t>[0040] S6.3 持续优化闭环：根据效果反馈调整学习参数（学习率、聚合频率、隐私预算分配），形成持续优化的闭环。</w:t>
      </w:r>
    </w:p>
    <w:p>
      <w:pPr>
        <w:pStyle w:val="Heading1"/>
      </w:pPr>
      <w:r>
        <w:t>附图说明</w:t>
      </w:r>
    </w:p>
    <w:p>
      <w:r>
        <w:t>[0041] 图1是本发明实施例提供的三层学习架构示意图；</w:t>
      </w:r>
    </w:p>
    <w:p>
      <w:r>
        <w:t>[0042] 图2是本发明实施例提供的本地差分隐私处理流程图；</w:t>
      </w:r>
    </w:p>
    <w:p>
      <w:r>
        <w:t>[0043] 图3是本发明实施例提供的安全聚合协议流程图；</w:t>
      </w:r>
    </w:p>
    <w:p>
      <w:r>
        <w:t>[0044] 图4是本发明实施例提供的模型同步与更新机制图。</w:t>
      </w:r>
    </w:p>
    <w:p/>
    <w:p>
      <w:pPr>
        <w:jc w:val="center"/>
      </w:pPr>
      <w:r>
        <w:rPr>
          <w:sz w:val="20"/>
        </w:rPr>
        <w:t>图4  模型同步与更新机制图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6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模型同步与更新机制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图3  安全聚合协议流程图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安全聚合协议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图2  本地差分隐私处理流程图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45223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本地差分隐私处理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52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图1  隐私保护三层学习架构示意图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隐私保护三层学习架构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具体实施方式</w:t>
      </w:r>
    </w:p>
    <w:p>
      <w:r>
        <w:t>[0045] 实施例一：商户分类协同学习</w:t>
      </w:r>
    </w:p>
    <w:p>
      <w:r>
        <w:t>[0046] 用户A将"瑞幸咖啡"分类为"餐饮/饮品"。本地模型学习到规则：商户名包含"咖啡"或"瑞幸"→分类"餐饮/饮品"。</w:t>
      </w:r>
    </w:p>
    <w:p>
      <w:r>
        <w:t>[0047] 系统准备上传学习成果进行协同：原始规则"瑞幸咖啡→餐饮/饮品"经数据脱敏处理为"[咖啡类商户]→餐饮/饮品"。对规则对应的模型梯度进行裁剪和噪声添加，消耗隐私预算ε=0.5。加密后上传到服务端。</w:t>
      </w:r>
    </w:p>
    <w:p>
      <w:r>
        <w:t>[0048] 服务端本轮收集到1000个用户的学习成果。安全聚合后发现：90%用户将"咖啡"相关商户归类为"餐饮/饮品"，8%归类为"餐饮/其他"，2%归类为其他。更新协同模型：[咖啡类商户]→餐饮/饮品（置信度90%）。</w:t>
      </w:r>
    </w:p>
    <w:p>
      <w:r>
        <w:t>[0049] 新用户B首次使用应用，自动继承协同模型。用户B记录"星巴克"消费，系统根据协同模型自动建议分类"餐饮/饮品"，用户确认。用户B无需经历学习过程，直接受益于群体智慧。</w:t>
      </w:r>
    </w:p>
    <w:p>
      <w:r>
        <w:t>[0050] 实施例二：隐私预算管理</w:t>
      </w:r>
    </w:p>
    <w:p>
      <w:r>
        <w:t>[0051] 用户C的隐私预算配置为B=10。使用一年期间，参与了18次协同学习，每次消耗ε=0.5，累计消耗9.0。</w:t>
      </w:r>
    </w:p>
    <w:p>
      <w:r>
        <w:t>[0052] 系统检测到剩余预算仅1.0，自动调整策略：降低参与频率（从每周一次改为每月一次）；仅上传高价值学习成果（准确率提升&gt;5%的规则）；提示用户可在设置中重置隐私预算（会清空历史参与记录）。</w:t>
      </w:r>
    </w:p>
    <w:p>
      <w:pPr>
        <w:pStyle w:val="Heading1"/>
      </w:pPr>
      <w:r>
        <w:t>有益效果</w:t>
      </w:r>
    </w:p>
    <w:p>
      <w:r>
        <w:t>[0053] 本发明相比现有技术具有以下有益效果：</w:t>
      </w:r>
    </w:p>
    <w:p>
      <w:r>
        <w:t>[0054] 1. 隐私保护：采用本地差分隐私和安全聚合双重保护，原始数据永不离开用户设备，满足最严格的隐私合规要求。</w:t>
      </w:r>
    </w:p>
    <w:p>
      <w:r>
        <w:t>[0055] 2. 群体智慧：协同学习机制使所有用户受益于群体智慧，新用户无需冷启动即可获得良好预测能力。</w:t>
      </w:r>
    </w:p>
    <w:p>
      <w:r>
        <w:t>[0056] 3. 个性化保持：三层架构中个体学习层独立运行，用户特有习惯得到保留和尊重。</w:t>
      </w:r>
    </w:p>
    <w:p>
      <w:r>
        <w:t>[0057] 4. 可量化隐私：隐私预算机制使隐私保护强度可量化、可控制，用户可自主决定参与程度。</w:t>
      </w:r>
    </w:p>
    <w:p>
      <w:r>
        <w:t>[0058] 5. 通信高效：增量更新和压缩传输大幅减少通信开销，适合移动设备使用。</w:t>
      </w:r>
    </w:p>
    <w:p>
      <w:r>
        <w:br w:type="page"/>
      </w:r>
    </w:p>
    <w:p>
      <w:r>
        <w:t>[0059] 实施例三：消费分类模型联邦训练</w:t>
        <w:br/>
        <w:br/>
        <w:t>[0051] 10000名用户参与消费分类模型的隐私保护协同学习。</w:t>
        <w:br/>
        <w:t>[0052] （1）模型架构：轻量级BERT-tiny文本分类器，参数量4.4M；</w:t>
        <w:br/>
        <w:t>[0053] （2）本地训练：每位用户使用本地3个月消费记录训练，batch_size=32，epochs=5；</w:t>
        <w:br/>
        <w:t>[0054] （3）差分隐私配置：σ=1.0，每轮ε=0.3，总训练50轮后累计ε=15；</w:t>
        <w:br/>
        <w:t>[0055] （4）安全聚合：采用Shamir秘密共享，阈值t=n/2+1；</w:t>
        <w:br/>
        <w:t>[0056] （5）训练效果：分类准确率从本地训练的78%提升至协同训练的95%。</w:t>
        <w:br/>
        <w:br/>
        <w:t>[0057] 实施例四：异常交易检测模型协同学习</w:t>
        <w:br/>
        <w:br/>
        <w:t>[0058] 5000名用户参与异常交易检测模型的联邦学习。</w:t>
        <w:br/>
        <w:t>[0059] （1）特征设计：交易金额分布、时间模式、商户类型等15个特征；</w:t>
        <w:br/>
        <w:t>[0060] （2）敏感特征保护：金额经分箱处理后参与，原始值不离开设备；</w:t>
        <w:br/>
        <w:t>[0061] （3）模型类型：二分类器（正常/异常），采用梯度提升树；</w:t>
        <w:br/>
        <w:t>[0062] （4）恶意参与者检测：检测到12名用户梯度异常，过滤后继续聚合；</w:t>
        <w:br/>
        <w:t>[0063] （5）检测效果：异常检测召回率88%，误报率仅3%。</w:t>
        <w:br/>
        <w:br/>
        <w:t>[0064] 实施例五：商户名标准化联邦学习</w:t>
        <w:br/>
        <w:br/>
        <w:t>[0065] 8000名用户参与商户名标准化模型训练。</w:t>
        <w:br/>
        <w:t>[0066] （1）任务：将不同渠道商户名映射到统一ID（如星巴克/STARBUCKS→统一ID）；</w:t>
        <w:br/>
        <w:t>[0067] （2）标签保护：采用随机响应机制（p=0.8保留真实标签）；</w:t>
        <w:br/>
        <w:t>[0068] （3）每周聚合一次，共训练12轮；</w:t>
        <w:br/>
        <w:t>[0069] （4）匹配准确率从75%提升至94%。</w:t>
        <w:br/>
        <w:br/>
        <w:t>[0070] 实施例六：边界场景与异常处理</w:t>
        <w:br/>
        <w:br/>
        <w:t>[0071] 场景1 - 网络中断：联邦学习过程中用户网络断开。</w:t>
        <w:br/>
        <w:t>[0072] 处理策略：（1）本地缓存当前轮次梯度；（2）网络恢复后断点续传；（3）超时后标记为离线，下轮重新参与；（4）不影响其他参与者的聚合。</w:t>
        <w:br/>
        <w:br/>
        <w:t>[0073] 场景2 - 恶意梯度攻击：攻击者提交异常梯度试图污染模型。</w:t>
        <w:br/>
        <w:t>[0074] 处理策略：（1）计算各参与者梯度与中位数的距离；（2）距离超过3倍标准差的判定为异常；（3）异常梯度不参与聚合；（4）记录异常参与者ID，累计3次后永久拉黑。</w:t>
        <w:br/>
        <w:br/>
        <w:t>[0075] 场景3 - 数据分布极度不均：某用户仅有10笔消费记录。</w:t>
        <w:br/>
        <w:t>[0076] 处理策略：（1）检测到本地数据量&lt;50时，增大噪声系数（σ×1.5）；（2）降低该用户梯度权重；（3）保证隐私的同时减少对全局模型的负面影响。</w:t>
        <w:br/>
        <w:br/>
        <w:t>[0077] 场景4 - 隐私预算耗尽：用户累计参与超过100轮训练。</w:t>
        <w:br/>
        <w:t>[0078] 处理策略：（1）检测到累计ε&gt;20时，提示用户隐私预算接近上限；（2）ε&gt;30时自动退出协同学习；（3）用户可选择重置隐私预算（清除历史参与记录）。</w:t>
        <w:br/>
        <w:br/>
        <w:t>[0079] 实施例七：消融实验验证</w:t>
        <w:br/>
        <w:br/>
        <w:t>[0080] 为验证各技术模块的贡献，设计以下消融实验（测试环境：1000名模拟用户）：</w:t>
        <w:br/>
        <w:br/>
        <w:t>[0081] 表1：隐私保护模块消融实验</w:t>
        <w:br/>
        <w:t>| 配置 | 分类准确率 | 隐私泄露风险 | 通信开销 |</w:t>
        <w:br/>
        <w:t>|------|------------|--------------|----------|</w:t>
        <w:br/>
        <w:t>| 完整系统（DP+SA+FedAvg） | 95.2% | &lt;0.1% | 1.2MB/轮 |</w:t>
        <w:br/>
        <w:t>| 去除差分隐私 | 96.1% | 15.3% | 1.2MB/轮 |</w:t>
        <w:br/>
        <w:t>| 去除安全聚合 | 95.0% | 8.7% | 0.8MB/轮 |</w:t>
        <w:br/>
        <w:t>| 去除恶意检测 | 91.2% | &lt;0.1% | 1.2MB/轮 |</w:t>
        <w:br/>
        <w:t>| 仅本地训练 | 78.5% | 0% | 0 |</w:t>
        <w:br/>
        <w:br/>
        <w:t>[0082] 消融实验表明：（1）差分隐私将隐私泄露风险从15.3%降至&lt;0.1%；（2）恶意检测提升4%准确率；（3）协同学习相比本地训练提升16.7%准确率。</w:t>
        <w:br/>
        <w:br/>
        <w:t>[0083] 实施例八：基线方法对比</w:t>
        <w:br/>
        <w:br/>
        <w:t>[0084] 表2：与现有联邦学习方法对比</w:t>
        <w:br/>
        <w:t>| 方法 | 准确率 | 隐私保护 | 通信效率 | 恶意防御 |</w:t>
        <w:br/>
        <w:t>|------|--------|----------|----------|----------|</w:t>
        <w:br/>
        <w:t>| 原始FedAvg | 93.5% | 无 | 中 | 无 |</w:t>
        <w:br/>
        <w:t>| DP-FedAvg | 89.2% | 强 | 中 | 无 |</w:t>
        <w:br/>
        <w:t>| SecAgg | 93.1% | 中 | 低 | 无 |</w:t>
        <w:br/>
        <w:t>| FoolsGold | 92.8% | 无 | 中 | 有 |</w:t>
        <w:br/>
        <w:t>| 本发明方法 | 95.2% | 强 | 高 | 有 |</w:t>
        <w:br/>
        <w:br/>
        <w:t>[0085] 对比实验表明，本发明方法在准确率、隐私保护和恶意防御方面全面领先。</w:t>
        <w:br/>
        <w:br/>
        <w:t>[0086] 实施例九：用户体验与满意度评估</w:t>
        <w:br/>
        <w:br/>
        <w:t>[0087] 在2000名真实用户中进行A/B测试（启用/未启用协同学习）：</w:t>
        <w:br/>
        <w:br/>
        <w:t>[0088] 表3：用户体验指标</w:t>
        <w:br/>
        <w:t>| 指标 | 仅本地模型 | 协同学习 | 提升 |</w:t>
        <w:br/>
        <w:t>|------|------------|----------|------|</w:t>
        <w:br/>
        <w:t>| 分类准确率 | 78% | 95% | +21.8% |</w:t>
        <w:br/>
        <w:t>| 首次分类正确率 | 65% | 89% | +36.9% |</w:t>
        <w:br/>
        <w:t>| 用户修正次数 | 8次/月 | 2次/月 | -75% |</w:t>
        <w:br/>
        <w:t>| 用户满意度评分 | 3.6/5 | 4.7/5 | +30.6% |</w:t>
        <w:br/>
        <w:t>| NPS净推荐值 | 28 | 72 | +157% |</w:t>
        <w:br/>
        <w:br/>
        <w:t>[0089] 用户反馈显示：分类越来越准了不用老是手动改分类隐私保护让我放心。</w:t>
        <w:br/>
        <w:br/>
        <w:t>[0090] 实施例十：技术实现细节</w:t>
        <w:br/>
        <w:br/>
        <w:t>[0091] （1）差分隐私实现：</w:t>
        <w:br/>
        <w:t>[0092]     - 采用高斯机制添加噪声：noise ~ N(0, σ²·S²)</w:t>
        <w:br/>
        <w:t>[0093]     - 敏感度S通过梯度裁剪控制：||g|| ≤ C，默认C=1.0</w:t>
        <w:br/>
        <w:t>[0094]     - 隐私预算追踪采用Moments Accountant方法</w:t>
        <w:br/>
        <w:t>[0095]     - 单轮ε=0.3，累计50轮后ε≈15</w:t>
        <w:br/>
        <w:br/>
        <w:t>[0096] （2）安全聚合协议：</w:t>
        <w:br/>
        <w:t>[0097]     - 采用Shamir秘密共享，将梯度分割为n份</w:t>
        <w:br/>
        <w:t>[0098]     - 任意t份可重构原始值（t=n/2+1）</w:t>
        <w:br/>
        <w:t>[0099]     - 服务器仅能获取聚合后的梯度和</w:t>
        <w:br/>
        <w:t>[0100]     - 支持动态参与者加入退出</w:t>
        <w:br/>
        <w:br/>
        <w:t>[0101] （3）恶意参与者检测：</w:t>
        <w:br/>
        <w:t>[0102]     - 计算各参与者梯度与协调中位数的余弦距离</w:t>
        <w:br/>
        <w:t>[0103]     - 距离&gt;0.5的标记为可疑</w:t>
        <w:br/>
        <w:t>[0104]     - 可疑梯度经人工审核后决定是否采纳</w:t>
        <w:br/>
        <w:t>[0105]     - 累计异常次数&gt;3的永久移除</w:t>
        <w:br/>
        <w:br/>
        <w:t>[0106] （4）模型同步策略：</w:t>
        <w:br/>
        <w:t>[0107]     - 聚合频率：每周一次</w:t>
        <w:br/>
        <w:t>[0108]     - 最小参与人数：100人</w:t>
        <w:br/>
        <w:t>[0109]     - 梯度压缩：Top-K稀疏化（K=10%）</w:t>
        <w:br/>
        <w:t>[0110]     - 模型更新采用动量优化（β=0.9）</w:t>
      </w:r>
    </w:p>
    <w:p/>
    <w:p>
      <w:pPr>
        <w:pStyle w:val="Title"/>
        <w:jc w:val="center"/>
      </w:pPr>
      <w:r>
        <w:rPr>
          <w:b/>
          <w:sz w:val="36"/>
        </w:rPr>
        <w:t>权利要求书</w:t>
      </w:r>
    </w:p>
    <w:p/>
    <w:p>
      <w:r>
        <w:rPr>
          <w:b/>
        </w:rPr>
        <w:t xml:space="preserve">1. </w:t>
      </w:r>
      <w:r>
        <w:t>一种基于差分隐私的分布式协同学习方法，其特征在于，包括以下步骤：</w:t>
      </w:r>
    </w:p>
    <w:p>
      <w:pPr>
        <w:ind w:left="283"/>
      </w:pPr>
      <w:r>
        <w:t>a) 构建三层学习架构，包括设备端的个体学习层、服务端的协同学习层和面向新用户的迁移学习层；</w:t>
      </w:r>
    </w:p>
    <w:p>
      <w:pPr>
        <w:ind w:left="283"/>
      </w:pPr>
      <w:r>
        <w:t>b) 在上传模型更新前，执行梯度裁剪和噪声添加的本地差分隐私保护；</w:t>
      </w:r>
    </w:p>
    <w:p>
      <w:pPr>
        <w:ind w:left="283"/>
      </w:pPr>
      <w:r>
        <w:t>c) 对原始数据进行金额、商户、时间、位置的多维度脱敏处理；</w:t>
      </w:r>
    </w:p>
    <w:p>
      <w:pPr>
        <w:ind w:left="283"/>
      </w:pPr>
      <w:r>
        <w:t>d) 采用安全聚合协议聚合多用户的加密梯度，确保单个用户梯度不可还原；</w:t>
      </w:r>
    </w:p>
    <w:p>
      <w:pPr>
        <w:ind w:left="283"/>
      </w:pPr>
      <w:r>
        <w:t>e) 实现隐私预算管理，跟踪和控制用户的隐私暴露程度。</w:t>
      </w:r>
    </w:p>
    <w:p>
      <w:r>
        <w:rPr>
          <w:b/>
        </w:rPr>
        <w:t xml:space="preserve">2. </w:t>
      </w:r>
      <w:r>
        <w:t>根据权利要求1所述的方法，其特征在于，所述个体学习层在设备端本地训练和存储个性化模型，模型参数不外传。</w:t>
      </w:r>
    </w:p>
    <w:p>
      <w:r>
        <w:rPr>
          <w:b/>
        </w:rPr>
        <w:t xml:space="preserve">3. </w:t>
      </w:r>
      <w:r>
        <w:t>根据权利要求1所述的方法，其特征在于，所述本地差分隐私保护采用拉普拉斯噪声或高斯噪声，噪声量由隐私预算参数ε和梯度敏感度上界控制。</w:t>
      </w:r>
    </w:p>
    <w:p>
      <w:r>
        <w:rPr>
          <w:b/>
        </w:rPr>
        <w:t xml:space="preserve">4. </w:t>
      </w:r>
      <w:r>
        <w:t>根据权利要求1所述的方法，其特征在于，所述安全聚合要求每轮最小参与用户数不少于预设阈值，确保单个用户贡献被充分稀释。</w:t>
      </w:r>
    </w:p>
    <w:p>
      <w:r>
        <w:rPr>
          <w:b/>
        </w:rPr>
        <w:t xml:space="preserve">5. </w:t>
      </w:r>
      <w:r>
        <w:t>根据权利要求1所述的方法，其特征在于，所述隐私预算管理为每个用户设置总预算上限，每次参与协同学习消耗部分预算，累计接近上限时降低参与频率。</w:t>
      </w:r>
    </w:p>
    <w:p>
      <w:r>
        <w:rPr>
          <w:b/>
        </w:rPr>
        <w:t xml:space="preserve">6. </w:t>
      </w:r>
      <w:r>
        <w:t>根据权利要求1所述的方法，其特征在于，所述迁移学习层使新用户继承协同模型作为初始模型，无需冷启动即可获得基础智能能力。</w:t>
      </w:r>
    </w:p>
    <w:p>
      <w:r>
        <w:rPr>
          <w:b/>
        </w:rPr>
        <w:t xml:space="preserve">7. </w:t>
      </w:r>
      <w:r>
        <w:t>根据权利要求1所述的方法，其特征在于，还包括模型增量更新步骤，仅传输模型差异并进行压缩编码，减少通信开销。</w:t>
      </w:r>
    </w:p>
    <w:p>
      <w:r>
        <w:rPr>
          <w:b/>
        </w:rPr>
        <w:t xml:space="preserve">8. </w:t>
      </w:r>
      <w:r>
        <w:t>一种基于差分隐私的分布式协同学习系统，其特征在于，包括：</w:t>
      </w:r>
    </w:p>
    <w:p>
      <w:pPr>
        <w:ind w:left="283"/>
      </w:pPr>
      <w:r>
        <w:t>- 本地学习模块，用于在设备端训练和维护个体模型；</w:t>
      </w:r>
    </w:p>
    <w:p>
      <w:pPr>
        <w:ind w:left="283"/>
      </w:pPr>
      <w:r>
        <w:t>- 隐私保护模块，用于执行梯度裁剪、噪声添加和数据脱敏；</w:t>
      </w:r>
    </w:p>
    <w:p>
      <w:pPr>
        <w:ind w:left="283"/>
      </w:pPr>
      <w:r>
        <w:t>- 预算管理模块，用于跟踪和控制隐私预算消耗；</w:t>
      </w:r>
    </w:p>
    <w:p>
      <w:pPr>
        <w:ind w:left="283"/>
      </w:pPr>
      <w:r>
        <w:t>- 安全聚合模块，用于在服务端执行加密梯度聚合；</w:t>
      </w:r>
    </w:p>
    <w:p>
      <w:pPr>
        <w:ind w:left="283"/>
      </w:pPr>
      <w:r>
        <w:t>- 模型分发模块，用于将协同模型增量更新分发到客户端；</w:t>
      </w:r>
    </w:p>
    <w:p>
      <w:pPr>
        <w:ind w:left="283"/>
      </w:pPr>
      <w:r>
        <w:t>- 效果评估模块，用于监控模型表现并形成优化闭环。</w:t>
      </w:r>
    </w:p>
    <w:p>
      <w:r>
        <w:rPr>
          <w:b/>
        </w:rPr>
        <w:t xml:space="preserve">9. </w:t>
      </w:r>
      <w:r>
        <w:t>一种计算机可读存储介质，其上存储有计算机程序，其特征在于，所述计算机程序被处理器执行时实现权利要求1至7中任一项所述方法的步骤。</w:t>
      </w:r>
    </w:p>
    <w:p>
      <w:r>
        <w:br w:type="page"/>
      </w:r>
    </w:p>
    <w:p>
      <w:r>
        <w:t>10. 根据权利要求1所述的方法，其特征在于，所述恶意参与者检测包括：</w:t>
        <w:br/>
        <w:t>计算各参与者提交梯度与全局中位数的余弦距离；</w:t>
        <w:br/>
        <w:t>将距离超过预设阈值的参与者标记为可疑；</w:t>
        <w:br/>
        <w:t>可疑参与者的梯度不参与当轮聚合；</w:t>
        <w:br/>
        <w:t>累计异常次数超过限值的参与者永久移除。</w:t>
        <w:br/>
        <w:br/>
        <w:t>11. 一种隐私保护协同学习系统，其特征在于，包括：</w:t>
        <w:br/>
        <w:t>本地训练模块，用于在用户设备上训练本地模型并生成梯度；</w:t>
        <w:br/>
        <w:t>差分隐私模块，用于对梯度添加噪声实现本地差分隐私；</w:t>
        <w:br/>
        <w:t>安全聚合模块，用于执行基于秘密共享的安全梯度聚合；</w:t>
        <w:br/>
        <w:t>恶意检测模块，用于检测和过滤异常梯度；</w:t>
        <w:br/>
        <w:t>模型同步模块，用于将聚合后的全局模型分发至各参与者。</w:t>
        <w:br/>
        <w:br/>
        <w:t>12. 根据权利要求11所述的系统，其特征在于，所述差分隐私模块采用自适应噪声策略：</w:t>
        <w:br/>
        <w:t>根据数据敏感度动态调整噪声参数；</w:t>
        <w:br/>
        <w:t>敏感字段采用更大的噪声系数；</w:t>
        <w:br/>
        <w:t>追踪累计隐私预算并在接近上限时预警。</w:t>
        <w:br/>
        <w:br/>
        <w:t>13. 一种计算机可读存储介质，其上存储有计算机程序，其特征在于，所述计算机程序被处理器执行时实现权利要求1-10任一项所述的隐私保护协同学习方法。</w:t>
        <w:br/>
        <w:br/>
        <w:t>14. 一种电子设备，其特征在于，包括：</w:t>
        <w:br/>
        <w:t>处理器；</w:t>
        <w:br/>
        <w:t>存储器，用于存储计算机程序和本地模型数据；</w:t>
        <w:br/>
        <w:t>网络模块，用于与协同学习服务器通信；</w:t>
        <w:br/>
        <w:t>安全芯片，用于执行加密计算和密钥管理；</w:t>
        <w:br/>
        <w:t>所述处理器执行所述计算机程序时实现权利要求1-10任一项所述的隐私保护协同学习方法。</w:t>
      </w:r>
    </w:p>
    <w:p/>
    <w:p>
      <w:pPr>
        <w:pStyle w:val="Title"/>
        <w:jc w:val="center"/>
      </w:pPr>
      <w:r>
        <w:rPr>
          <w:b/>
          <w:sz w:val="36"/>
        </w:rPr>
        <w:t>说明书摘要</w:t>
      </w:r>
    </w:p>
    <w:p/>
    <w:p>
      <w:r>
        <w:t>本发明公开了一种基于差分隐私的分布式协同学习方法及系统，属于机器学习和隐私计算技术领域。该方法构建个体学习层、协同学习层和迁移学习层的三层架构；在上传模型更新前执行梯度裁剪和噪声添加的本地差分隐私保护；对原始数据进行金额、商户、时间、位置的多维度脱敏；采用安全聚合协议确保单个用户梯度不可还原；实现隐私预算管理控制隐私暴露程度；通过增量更新减少通信开销。本发明解决了传统机器学习中隐私泄露风险、模型个性化不足、数据孤岛、合规挑战等问题，实现了隐私保护与协同学习的平衡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