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52"/>
        </w:rPr>
        <w:t>发明专利申请</w:t>
      </w:r>
    </w:p>
    <w:p/>
    <w:p/>
    <w:p>
      <w:r>
        <w:rPr>
          <w:b/>
        </w:rPr>
        <w:t>发明名称：</w:t>
      </w:r>
      <w:r>
        <w:t>基于FIFO资源池模型的资金时间价值计算方法及系统</w:t>
      </w:r>
    </w:p>
    <w:p>
      <w:r>
        <w:rPr>
          <w:b/>
        </w:rPr>
        <w:t>申请人：</w:t>
      </w:r>
      <w:r>
        <w:t>[公司/个人名称]</w:t>
      </w:r>
    </w:p>
    <w:p>
      <w:r>
        <w:rPr>
          <w:b/>
        </w:rPr>
        <w:t>发明人：</w:t>
      </w:r>
      <w:r>
        <w:t>[发明人姓名]</w:t>
      </w:r>
    </w:p>
    <w:p>
      <w:r>
        <w:rPr>
          <w:b/>
        </w:rPr>
        <w:t>联系地址：</w:t>
      </w:r>
      <w:r>
        <w:t>[联系地址]</w:t>
      </w:r>
    </w:p>
    <w:p>
      <w:r>
        <w:rPr>
          <w:b/>
        </w:rPr>
        <w:t>申请日期：</w:t>
      </w:r>
      <w:r>
        <w:t>[填写日期]</w:t>
      </w:r>
    </w:p>
    <w:p>
      <w:r>
        <w:br w:type="page"/>
      </w:r>
    </w:p>
    <w:p>
      <w:pPr>
        <w:pStyle w:val="Title"/>
        <w:jc w:val="center"/>
      </w:pPr>
      <w:r>
        <w:rPr>
          <w:b/>
          <w:sz w:val="36"/>
        </w:rPr>
        <w:t>说 明 书</w:t>
      </w:r>
    </w:p>
    <w:p/>
    <w:p>
      <w:pPr>
        <w:pStyle w:val="Heading1"/>
      </w:pPr>
      <w:r>
        <w:t>发明名称</w:t>
      </w:r>
    </w:p>
    <w:p>
      <w:r>
        <w:t>基于FIFO资源池模型的资金时间价值计算方法及系统</w:t>
      </w:r>
    </w:p>
    <w:p>
      <w:pPr>
        <w:pStyle w:val="Heading1"/>
      </w:pPr>
      <w:r>
        <w:t>技术领域</w:t>
      </w:r>
    </w:p>
    <w:p>
      <w:r>
        <w:rPr>
          <w:b/>
        </w:rPr>
        <w:t xml:space="preserve">[0001] </w:t>
      </w:r>
      <w:r>
        <w:t>本发明涉及数据处理技术领域，尤其涉及一种基于先进先出（First In First Out，FIFO）资源池模型的资金时间价值计算方法及系统。本发明可应用于个人财务管理、企业资金管理、金融数据分析等场景。</w:t>
      </w:r>
    </w:p>
    <w:p>
      <w:pPr>
        <w:pStyle w:val="Heading1"/>
      </w:pPr>
      <w:r>
        <w:t>背景技术</w:t>
      </w:r>
    </w:p>
    <w:p>
      <w:r>
        <w:rPr>
          <w:b/>
        </w:rPr>
        <w:t xml:space="preserve">[0002] </w:t>
      </w:r>
      <w:r>
        <w:t>随着移动互联网和移动支付技术的快速发展，个人财务管理应用已成为用户日常生活的重要工具。根据艾瑞咨询发布的《2024年中国个人财务管理行业研究报告》，国内记账类应用月活跃用户已超过8000万，市场规模持续增长。然而，现有的记账应用在资金时间价值量化方面存在技术局限性。</w:t>
      </w:r>
    </w:p>
    <w:p>
      <w:r>
        <w:rPr>
          <w:b/>
        </w:rPr>
        <w:t xml:space="preserve">[0003] </w:t>
      </w:r>
      <w:r>
        <w:t>现有技术一：中国专利公开号CN110533518A公开了一种"基于时间序列的个人财务分析方法"，该方法通过记录用户的收支流水数据，生成时间序列进行趋势分析和消费预测。然而，该方法仅关注收支趋势的统计分析，未涉及资金时间价值的量化计算，无法让用户了解每笔支出所消耗的资金究竟来自何时的收入。该技术存在以下缺陷：（1）无法建立收入与支出之间的精确对应关系；（2）财务健康评估维度单一，缺乏反映资金流动性的动态指标。</w:t>
      </w:r>
    </w:p>
    <w:p>
      <w:r>
        <w:rPr>
          <w:b/>
        </w:rPr>
        <w:t xml:space="preserve">[0004] </w:t>
      </w:r>
      <w:r>
        <w:t>现有技术二：美国专利号US10,430,873B2（You Need A Budget公司）公开了一种名为"Age of Money"的资金年龄计算方法。该方法采用滑动窗口平均算法计算资金平均存续时间，具体计算方式为：取最近N笔支出交易，对于每笔支出，计算该支出时间点距离某一收入时间点的天数差，然后取算术平均值。经技术分析，该方法存在以下技术缺陷：</w:t>
      </w:r>
    </w:p>
    <w:p>
      <w:r>
        <w:rPr>
          <w:b/>
        </w:rPr>
        <w:t xml:space="preserve">[0005] </w:t>
      </w:r>
      <w:r>
        <w:t>缺陷一：计算精度不足。该方法采用简单算术平均而非加权平均，未考虑不同交易金额的差异。例如，当用户1月收入1000元、2月收入9000元，3月消费5000元时，简单平均会认为资金平均来自1.5个月前，而实际上大部分资金（约90%）来自2月，计算偏差可达30%以上。</w:t>
      </w:r>
    </w:p>
    <w:p>
      <w:r>
        <w:rPr>
          <w:b/>
        </w:rPr>
        <w:t xml:space="preserve">[0006] </w:t>
      </w:r>
      <w:r>
        <w:t>缺陷二：缺乏精确追溯能力。该方法无法建立每笔支出与具体收入之间的对应关系，用户无法查询某笔消费具体花的是哪笔收入，导致财务意识模糊。</w:t>
      </w:r>
    </w:p>
    <w:p>
      <w:r>
        <w:rPr>
          <w:b/>
        </w:rPr>
        <w:t xml:space="preserve">[0007] </w:t>
      </w:r>
      <w:r>
        <w:t>缺陷三：计算效率低下。当用户修改历史交易时，该方法需要对所有后续交易进行全量重算，计算复杂度为O(n²)。在交易数量较大时（如超过10000笔），会产生明显的性能问题。</w:t>
      </w:r>
    </w:p>
    <w:p>
      <w:r>
        <w:rPr>
          <w:b/>
        </w:rPr>
        <w:t xml:space="preserve">[0008] </w:t>
      </w:r>
      <w:r>
        <w:t>缺陷四：缺乏透支检测能力。该方法未考虑支出金额超过可用资金总额的情况，无法为用户提供财务预警。</w:t>
      </w:r>
    </w:p>
    <w:p>
      <w:r>
        <w:rPr>
          <w:b/>
        </w:rPr>
        <w:t xml:space="preserve">[0009] </w:t>
      </w:r>
      <w:r>
        <w:t>现有技术三：学术论文"Personal Finance Tracking with Machine Learning"（发表于ACM CHI 2022会议）提出了基于机器学习的个人财务分析方法。然而，该方法侧重于消费分类和预测，未涉及资金来源追溯和时间价值量化问题。</w:t>
      </w:r>
    </w:p>
    <w:p>
      <w:r>
        <w:rPr>
          <w:b/>
        </w:rPr>
        <w:t xml:space="preserve">[0010] </w:t>
      </w:r>
      <w:r>
        <w:t>综上所述，现有技术存在以下共性技术问题：第一，缺乏精确的资金来源追溯机制；第二，资金时间价值计算精度不足；第三，增量计算能力缺失导致性能问题；第四，缺乏标准化的数据模型支持复杂查询。因此，亟需一种新的技术方案来解决上述问题。</w:t>
      </w:r>
    </w:p>
    <w:p>
      <w:pPr>
        <w:pStyle w:val="Heading1"/>
      </w:pPr>
      <w:r>
        <w:t>发明内容</w:t>
      </w:r>
    </w:p>
    <w:p>
      <w:r>
        <w:rPr>
          <w:b/>
        </w:rPr>
        <w:t xml:space="preserve">[0011] </w:t>
      </w:r>
      <w:r>
        <w:t>本发明的目的在于提供一种基于FIFO资源池模型的资金时间价值计算方法及系统，以解决现有技术中资金来源追溯不精确、计算精度不足、增量计算能力缺失等技术问题。</w:t>
      </w:r>
    </w:p>
    <w:p>
      <w:r>
        <w:rPr>
          <w:b/>
        </w:rPr>
        <w:t xml:space="preserve">[0012] </w:t>
      </w:r>
      <w:r>
        <w:t>为实现上述目的，本发明采用以下技术方案：</w:t>
      </w:r>
    </w:p>
    <w:p>
      <w:r>
        <w:rPr>
          <w:b/>
        </w:rPr>
        <w:t xml:space="preserve">[0013] </w:t>
      </w:r>
      <w:r>
        <w:t>本发明提供一种基于FIFO资源池模型的资金时间价值计算方法，其核心思想是：将每笔收入建模为一个"资源池"（Resource Pool）对象，资源池按收入时间形成有序队列；当发生支出时，按照先进先出（FIFO）原则依次消耗资源池中的资金，同时记录完整的"消费链路"（Consumption Link）用于追溯和计算；基于消费链路采用加权平均算法计算资金时间价值指标。</w:t>
      </w:r>
    </w:p>
    <w:p>
      <w:r>
        <w:rPr>
          <w:b/>
        </w:rPr>
        <w:t xml:space="preserve">[0014] </w:t>
      </w:r>
      <w:r>
        <w:t>参见图1，图1示出了本发明的FIFO资源池模型架构。该模型包括：资源池队列（按收入时间排序）、FIFO消耗引擎、消费链路记录器、钱龄计算器。</w:t>
      </w:r>
    </w:p>
    <w:p>
      <w:r>
        <w:rPr>
          <w:b/>
        </w:rPr>
        <w:t xml:space="preserve">[0015] </w:t>
      </w:r>
      <w:r>
        <w:t>本发明的技术方案包括以下步骤：</w:t>
      </w:r>
    </w:p>
    <w:p>
      <w:r>
        <w:rPr>
          <w:b/>
        </w:rPr>
        <w:t xml:space="preserve">[0016] </w:t>
      </w:r>
      <w:r>
        <w:t>步骤S1，资源池数据结构定义与管理：</w:t>
      </w:r>
    </w:p>
    <w:p>
      <w:r>
        <w:rPr>
          <w:b/>
        </w:rPr>
        <w:t xml:space="preserve">[0017] </w:t>
      </w:r>
      <w:r>
        <w:t>S1.1 定义资源池数据结构。资源池（ResourcePool）是本发明的核心数据结构，用于表示一笔收入及其剩余可消耗金额。资源池包含以下字段：</w:t>
      </w:r>
    </w:p>
    <w:p>
      <w:pPr>
        <w:jc w:val="center"/>
      </w:pPr>
      <w:r>
        <w:rPr>
          <w:b/>
        </w:rPr>
        <w:t>表1：资源池（ResourcePool）数据结构</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字段名</w:t>
            </w:r>
          </w:p>
        </w:tc>
        <w:tc>
          <w:tcPr>
            <w:tcW w:type="dxa" w:w="2351"/>
          </w:tcPr>
          <w:p>
            <w:r>
              <w:rPr>
                <w:b/>
              </w:rPr>
              <w:t>数据类型</w:t>
            </w:r>
          </w:p>
        </w:tc>
        <w:tc>
          <w:tcPr>
            <w:tcW w:type="dxa" w:w="2351"/>
          </w:tcPr>
          <w:p>
            <w:r>
              <w:rPr>
                <w:b/>
              </w:rPr>
              <w:t>约束</w:t>
            </w:r>
          </w:p>
        </w:tc>
        <w:tc>
          <w:tcPr>
            <w:tcW w:type="dxa" w:w="2351"/>
          </w:tcPr>
          <w:p>
            <w:r>
              <w:rPr>
                <w:b/>
              </w:rPr>
              <w:t>说明</w:t>
            </w:r>
          </w:p>
        </w:tc>
      </w:tr>
      <w:tr>
        <w:tc>
          <w:tcPr>
            <w:tcW w:type="dxa" w:w="2351"/>
          </w:tcPr>
          <w:p>
            <w:r>
              <w:t>pool_id</w:t>
            </w:r>
          </w:p>
        </w:tc>
        <w:tc>
          <w:tcPr>
            <w:tcW w:type="dxa" w:w="2351"/>
          </w:tcPr>
          <w:p>
            <w:r>
              <w:t>UUID</w:t>
            </w:r>
          </w:p>
        </w:tc>
        <w:tc>
          <w:tcPr>
            <w:tcW w:type="dxa" w:w="2351"/>
          </w:tcPr>
          <w:p>
            <w:r>
              <w:t>PRIMARY KEY</w:t>
            </w:r>
          </w:p>
        </w:tc>
        <w:tc>
          <w:tcPr>
            <w:tcW w:type="dxa" w:w="2351"/>
          </w:tcPr>
          <w:p>
            <w:r>
              <w:t>资源池唯一标识符</w:t>
            </w:r>
          </w:p>
        </w:tc>
      </w:tr>
      <w:tr>
        <w:tc>
          <w:tcPr>
            <w:tcW w:type="dxa" w:w="2351"/>
          </w:tcPr>
          <w:p>
            <w:r>
              <w:t>income_id</w:t>
            </w:r>
          </w:p>
        </w:tc>
        <w:tc>
          <w:tcPr>
            <w:tcW w:type="dxa" w:w="2351"/>
          </w:tcPr>
          <w:p>
            <w:r>
              <w:t>UUID</w:t>
            </w:r>
          </w:p>
        </w:tc>
        <w:tc>
          <w:tcPr>
            <w:tcW w:type="dxa" w:w="2351"/>
          </w:tcPr>
          <w:p>
            <w:r>
              <w:t>FOREIGN KEY</w:t>
            </w:r>
          </w:p>
        </w:tc>
        <w:tc>
          <w:tcPr>
            <w:tcW w:type="dxa" w:w="2351"/>
          </w:tcPr>
          <w:p>
            <w:r>
              <w:t>关联的收入交易ID</w:t>
            </w:r>
          </w:p>
        </w:tc>
      </w:tr>
      <w:tr>
        <w:tc>
          <w:tcPr>
            <w:tcW w:type="dxa" w:w="2351"/>
          </w:tcPr>
          <w:p>
            <w:r>
              <w:t>initial_amount</w:t>
            </w:r>
          </w:p>
        </w:tc>
        <w:tc>
          <w:tcPr>
            <w:tcW w:type="dxa" w:w="2351"/>
          </w:tcPr>
          <w:p>
            <w:r>
              <w:t>BIGINT</w:t>
            </w:r>
          </w:p>
        </w:tc>
        <w:tc>
          <w:tcPr>
            <w:tcW w:type="dxa" w:w="2351"/>
          </w:tcPr>
          <w:p>
            <w:r>
              <w:t>NOT NULL, &gt;0</w:t>
            </w:r>
          </w:p>
        </w:tc>
        <w:tc>
          <w:tcPr>
            <w:tcW w:type="dxa" w:w="2351"/>
          </w:tcPr>
          <w:p>
            <w:r>
              <w:t>初始金额（单位：分）</w:t>
            </w:r>
          </w:p>
        </w:tc>
      </w:tr>
      <w:tr>
        <w:tc>
          <w:tcPr>
            <w:tcW w:type="dxa" w:w="2351"/>
          </w:tcPr>
          <w:p>
            <w:r>
              <w:t>current_balance</w:t>
            </w:r>
          </w:p>
        </w:tc>
        <w:tc>
          <w:tcPr>
            <w:tcW w:type="dxa" w:w="2351"/>
          </w:tcPr>
          <w:p>
            <w:r>
              <w:t>BIGINT</w:t>
            </w:r>
          </w:p>
        </w:tc>
        <w:tc>
          <w:tcPr>
            <w:tcW w:type="dxa" w:w="2351"/>
          </w:tcPr>
          <w:p>
            <w:r>
              <w:t>NOT NULL, &gt;=0</w:t>
            </w:r>
          </w:p>
        </w:tc>
        <w:tc>
          <w:tcPr>
            <w:tcW w:type="dxa" w:w="2351"/>
          </w:tcPr>
          <w:p>
            <w:r>
              <w:t>当前余额（单位：分）</w:t>
            </w:r>
          </w:p>
        </w:tc>
      </w:tr>
      <w:tr>
        <w:tc>
          <w:tcPr>
            <w:tcW w:type="dxa" w:w="2351"/>
          </w:tcPr>
          <w:p>
            <w:r>
              <w:t>income_timestamp</w:t>
            </w:r>
          </w:p>
        </w:tc>
        <w:tc>
          <w:tcPr>
            <w:tcW w:type="dxa" w:w="2351"/>
          </w:tcPr>
          <w:p>
            <w:r>
              <w:t>TIMESTAMP</w:t>
            </w:r>
          </w:p>
        </w:tc>
        <w:tc>
          <w:tcPr>
            <w:tcW w:type="dxa" w:w="2351"/>
          </w:tcPr>
          <w:p>
            <w:r>
              <w:t>NOT NULL</w:t>
            </w:r>
          </w:p>
        </w:tc>
        <w:tc>
          <w:tcPr>
            <w:tcW w:type="dxa" w:w="2351"/>
          </w:tcPr>
          <w:p>
            <w:r>
              <w:t>收入时间戳</w:t>
            </w:r>
          </w:p>
        </w:tc>
      </w:tr>
      <w:tr>
        <w:tc>
          <w:tcPr>
            <w:tcW w:type="dxa" w:w="2351"/>
          </w:tcPr>
          <w:p>
            <w:r>
              <w:t>status</w:t>
            </w:r>
          </w:p>
        </w:tc>
        <w:tc>
          <w:tcPr>
            <w:tcW w:type="dxa" w:w="2351"/>
          </w:tcPr>
          <w:p>
            <w:r>
              <w:t>ENUM</w:t>
            </w:r>
          </w:p>
        </w:tc>
        <w:tc>
          <w:tcPr>
            <w:tcW w:type="dxa" w:w="2351"/>
          </w:tcPr>
          <w:p>
            <w:r>
              <w:t>NOT NULL</w:t>
            </w:r>
          </w:p>
        </w:tc>
        <w:tc>
          <w:tcPr>
            <w:tcW w:type="dxa" w:w="2351"/>
          </w:tcPr>
          <w:p>
            <w:r>
              <w:t>ACTIVE / EXHAUSTED</w:t>
            </w:r>
          </w:p>
        </w:tc>
      </w:tr>
      <w:tr>
        <w:tc>
          <w:tcPr>
            <w:tcW w:type="dxa" w:w="2351"/>
          </w:tcPr>
          <w:p>
            <w:r>
              <w:t>version</w:t>
            </w:r>
          </w:p>
        </w:tc>
        <w:tc>
          <w:tcPr>
            <w:tcW w:type="dxa" w:w="2351"/>
          </w:tcPr>
          <w:p>
            <w:r>
              <w:t>INTEGER</w:t>
            </w:r>
          </w:p>
        </w:tc>
        <w:tc>
          <w:tcPr>
            <w:tcW w:type="dxa" w:w="2351"/>
          </w:tcPr>
          <w:p>
            <w:r>
              <w:t>NOT NULL</w:t>
            </w:r>
          </w:p>
        </w:tc>
        <w:tc>
          <w:tcPr>
            <w:tcW w:type="dxa" w:w="2351"/>
          </w:tcPr>
          <w:p>
            <w:r>
              <w:t>乐观锁版本号</w:t>
            </w:r>
          </w:p>
        </w:tc>
      </w:tr>
    </w:tbl>
    <w:p/>
    <w:p>
      <w:r>
        <w:rPr>
          <w:b/>
        </w:rPr>
        <w:t xml:space="preserve">[0018] </w:t>
      </w:r>
      <w:r>
        <w:t>S1.2 资源池创建流程。当系统检测到收入类型的交易事件时，执行以下步骤：验证收入交易有效性；检查幂等性（避免重复创建）；生成pool_id，创建资源池对象；持久化存储。</w:t>
      </w:r>
    </w:p>
    <w:p>
      <w:r>
        <w:rPr>
          <w:b/>
        </w:rPr>
        <w:t xml:space="preserve">[0019] </w:t>
      </w:r>
      <w:r>
        <w:t>S1.3 资源池队列维护。系统维护资源池的有序队列Q，满足：对于队列中任意相邻的两个资源池Pi和Pi+1，有Pi.income_timestamp &lt; Pi+1.income_timestamp。</w:t>
      </w:r>
    </w:p>
    <w:p>
      <w:r>
        <w:rPr>
          <w:b/>
        </w:rPr>
        <w:t xml:space="preserve">[0020] </w:t>
      </w:r>
      <w:r>
        <w:t>S1.4 边界条件处理：空队列时创建"初始透支"链路；同时间戳按income_id排序；零金额交易不创建资源池。</w:t>
      </w:r>
    </w:p>
    <w:p>
      <w:r>
        <w:rPr>
          <w:b/>
        </w:rPr>
        <w:t xml:space="preserve">[0021] </w:t>
      </w:r>
      <w:r>
        <w:t>步骤S2，FIFO消耗算法：</w:t>
      </w:r>
    </w:p>
    <w:p>
      <w:r>
        <w:rPr>
          <w:b/>
        </w:rPr>
        <w:t xml:space="preserve">[0022] </w:t>
      </w:r>
      <w:r>
        <w:t>参见图2，图2示出了本发明的FIFO消耗算法流程。该算法的核心逻辑如下：</w:t>
      </w:r>
    </w:p>
    <w:p>
      <w:r>
        <w:rPr>
          <w:b/>
        </w:rPr>
        <w:t xml:space="preserve">[0023] </w:t>
      </w:r>
      <w:r>
        <w:t>S2.1 定义消费链路数据结构。消费链路（ConsumptionLink）用于记录支出与资源池之间的消耗关系：</w:t>
      </w:r>
    </w:p>
    <w:p>
      <w:pPr>
        <w:jc w:val="center"/>
      </w:pPr>
      <w:r>
        <w:rPr>
          <w:b/>
        </w:rPr>
        <w:t>表2：消费链路（ConsumptionLink）数据结构</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字段名</w:t>
            </w:r>
          </w:p>
        </w:tc>
        <w:tc>
          <w:tcPr>
            <w:tcW w:type="dxa" w:w="3135"/>
          </w:tcPr>
          <w:p>
            <w:r>
              <w:rPr>
                <w:b/>
              </w:rPr>
              <w:t>数据类型</w:t>
            </w:r>
          </w:p>
        </w:tc>
        <w:tc>
          <w:tcPr>
            <w:tcW w:type="dxa" w:w="3135"/>
          </w:tcPr>
          <w:p>
            <w:r>
              <w:rPr>
                <w:b/>
              </w:rPr>
              <w:t>说明</w:t>
            </w:r>
          </w:p>
        </w:tc>
      </w:tr>
      <w:tr>
        <w:tc>
          <w:tcPr>
            <w:tcW w:type="dxa" w:w="3135"/>
          </w:tcPr>
          <w:p>
            <w:r>
              <w:t>link_id</w:t>
            </w:r>
          </w:p>
        </w:tc>
        <w:tc>
          <w:tcPr>
            <w:tcW w:type="dxa" w:w="3135"/>
          </w:tcPr>
          <w:p>
            <w:r>
              <w:t>UUID</w:t>
            </w:r>
          </w:p>
        </w:tc>
        <w:tc>
          <w:tcPr>
            <w:tcW w:type="dxa" w:w="3135"/>
          </w:tcPr>
          <w:p>
            <w:r>
              <w:t>链路唯一标识符</w:t>
            </w:r>
          </w:p>
        </w:tc>
      </w:tr>
      <w:tr>
        <w:tc>
          <w:tcPr>
            <w:tcW w:type="dxa" w:w="3135"/>
          </w:tcPr>
          <w:p>
            <w:r>
              <w:t>expense_id</w:t>
            </w:r>
          </w:p>
        </w:tc>
        <w:tc>
          <w:tcPr>
            <w:tcW w:type="dxa" w:w="3135"/>
          </w:tcPr>
          <w:p>
            <w:r>
              <w:t>UUID</w:t>
            </w:r>
          </w:p>
        </w:tc>
        <w:tc>
          <w:tcPr>
            <w:tcW w:type="dxa" w:w="3135"/>
          </w:tcPr>
          <w:p>
            <w:r>
              <w:t>支出交易ID</w:t>
            </w:r>
          </w:p>
        </w:tc>
      </w:tr>
      <w:tr>
        <w:tc>
          <w:tcPr>
            <w:tcW w:type="dxa" w:w="3135"/>
          </w:tcPr>
          <w:p>
            <w:r>
              <w:t>pool_id</w:t>
            </w:r>
          </w:p>
        </w:tc>
        <w:tc>
          <w:tcPr>
            <w:tcW w:type="dxa" w:w="3135"/>
          </w:tcPr>
          <w:p>
            <w:r>
              <w:t>UUID</w:t>
            </w:r>
          </w:p>
        </w:tc>
        <w:tc>
          <w:tcPr>
            <w:tcW w:type="dxa" w:w="3135"/>
          </w:tcPr>
          <w:p>
            <w:r>
              <w:t>被消耗的资源池ID（透支时为NULL）</w:t>
            </w:r>
          </w:p>
        </w:tc>
      </w:tr>
      <w:tr>
        <w:tc>
          <w:tcPr>
            <w:tcW w:type="dxa" w:w="3135"/>
          </w:tcPr>
          <w:p>
            <w:r>
              <w:t>consumed_amount</w:t>
            </w:r>
          </w:p>
        </w:tc>
        <w:tc>
          <w:tcPr>
            <w:tcW w:type="dxa" w:w="3135"/>
          </w:tcPr>
          <w:p>
            <w:r>
              <w:t>BIGINT</w:t>
            </w:r>
          </w:p>
        </w:tc>
        <w:tc>
          <w:tcPr>
            <w:tcW w:type="dxa" w:w="3135"/>
          </w:tcPr>
          <w:p>
            <w:r>
              <w:t>消耗金额（分）</w:t>
            </w:r>
          </w:p>
        </w:tc>
      </w:tr>
      <w:tr>
        <w:tc>
          <w:tcPr>
            <w:tcW w:type="dxa" w:w="3135"/>
          </w:tcPr>
          <w:p>
            <w:r>
              <w:t>age_days</w:t>
            </w:r>
          </w:p>
        </w:tc>
        <w:tc>
          <w:tcPr>
            <w:tcW w:type="dxa" w:w="3135"/>
          </w:tcPr>
          <w:p>
            <w:r>
              <w:t>INTEGER</w:t>
            </w:r>
          </w:p>
        </w:tc>
        <w:tc>
          <w:tcPr>
            <w:tcW w:type="dxa" w:w="3135"/>
          </w:tcPr>
          <w:p>
            <w:r>
              <w:t>该链路的钱龄（天）</w:t>
            </w:r>
          </w:p>
        </w:tc>
      </w:tr>
      <w:tr>
        <w:tc>
          <w:tcPr>
            <w:tcW w:type="dxa" w:w="3135"/>
          </w:tcPr>
          <w:p>
            <w:r>
              <w:t>link_type</w:t>
            </w:r>
          </w:p>
        </w:tc>
        <w:tc>
          <w:tcPr>
            <w:tcW w:type="dxa" w:w="3135"/>
          </w:tcPr>
          <w:p>
            <w:r>
              <w:t>ENUM</w:t>
            </w:r>
          </w:p>
        </w:tc>
        <w:tc>
          <w:tcPr>
            <w:tcW w:type="dxa" w:w="3135"/>
          </w:tcPr>
          <w:p>
            <w:r>
              <w:t>NORMAL / OVERDRAFT</w:t>
            </w:r>
          </w:p>
        </w:tc>
      </w:tr>
    </w:tbl>
    <w:p/>
    <w:p>
      <w:r>
        <w:rPr>
          <w:b/>
        </w:rPr>
        <w:t xml:space="preserve">[0024] </w:t>
      </w:r>
      <w:r>
        <w:t>S2.2 FIFO消耗算法流程。设支出金额为E，支出时间为Te：</w:t>
      </w:r>
    </w:p>
    <w:p>
      <w:r>
        <w:rPr>
          <w:b/>
        </w:rPr>
        <w:t xml:space="preserve">[0025] </w:t>
      </w:r>
      <w:r>
        <w:t>步骤S2.2.1，初始化：R=E（剩余待消耗），L=空列表（链路列表）。</w:t>
      </w:r>
    </w:p>
    <w:p>
      <w:r>
        <w:rPr>
          <w:b/>
        </w:rPr>
        <w:t xml:space="preserve">[0026] </w:t>
      </w:r>
      <w:r>
        <w:t>步骤S2.2.2，获取活跃资源池：查询status=ACTIVE的资源池，按income_timestamp升序排列。</w:t>
      </w:r>
    </w:p>
    <w:p>
      <w:r>
        <w:rPr>
          <w:b/>
        </w:rPr>
        <w:t xml:space="preserve">[0027] </w:t>
      </w:r>
      <w:r>
        <w:t>步骤S2.2.3，循环消耗：对于每个资源池Pi，若R≤Pi.余额，则从Pi扣减R，创建链路，结束；否则消耗Pi全部余额，标记EXHAUSTED，更新R，继续下一个。</w:t>
      </w:r>
    </w:p>
    <w:p>
      <w:r>
        <w:rPr>
          <w:b/>
        </w:rPr>
        <w:t xml:space="preserve">[0028] </w:t>
      </w:r>
      <w:r>
        <w:t>步骤S2.2.4，透支处理：若R&gt;0且资源池已空，创建OVERDRAFT类型链路。</w:t>
      </w:r>
    </w:p>
    <w:p>
      <w:r>
        <w:rPr>
          <w:b/>
        </w:rPr>
        <w:t xml:space="preserve">[0029] </w:t>
      </w:r>
      <w:r>
        <w:t>步骤S2.2.5，持久化：在事务中批量插入链路、更新资源池。</w:t>
      </w:r>
    </w:p>
    <w:p>
      <w:r>
        <w:rPr>
          <w:b/>
        </w:rPr>
        <w:t xml:space="preserve">[0030] </w:t>
      </w:r>
      <w:r>
        <w:t>S2.3 并发控制机制。本发明采用三层并发控制：分布式锁（用户粒度）、乐观锁（version字段）、事务隔离（READ COMMITTED）。</w:t>
      </w:r>
    </w:p>
    <w:p>
      <w:r>
        <w:rPr>
          <w:b/>
        </w:rPr>
        <w:t xml:space="preserve">[0031] </w:t>
      </w:r>
      <w:r>
        <w:t>步骤S3，资金时间价值（钱龄）计算：</w:t>
      </w:r>
    </w:p>
    <w:p>
      <w:r>
        <w:rPr>
          <w:b/>
        </w:rPr>
        <w:t xml:space="preserve">[0032] </w:t>
      </w:r>
      <w:r>
        <w:t>S3.1 单笔交易钱龄计算。采用金额加权平均算法：</w:t>
      </w:r>
    </w:p>
    <w:p>
      <w:pPr>
        <w:jc w:val="center"/>
      </w:pPr>
      <w:r>
        <w:rPr>
          <w:i/>
        </w:rPr>
        <w:t>Age(E) = Σ(ai × di) / Σ(ai)</w:t>
      </w:r>
    </w:p>
    <w:p/>
    <w:p>
      <w:r>
        <w:rPr>
          <w:b/>
        </w:rPr>
        <w:t xml:space="preserve">[0033] </w:t>
      </w:r>
      <w:r>
        <w:t>其中ai为第i条链路的消耗金额，di为链路钱龄（天）。</w:t>
      </w:r>
    </w:p>
    <w:p>
      <w:r>
        <w:rPr>
          <w:b/>
        </w:rPr>
        <w:t xml:space="preserve">[0034] </w:t>
      </w:r>
      <w:r>
        <w:t>S3.2 账户整体钱龄计算。所有活跃资源池的余额加权平均存活天数：</w:t>
      </w:r>
    </w:p>
    <w:p>
      <w:pPr>
        <w:jc w:val="center"/>
      </w:pPr>
      <w:r>
        <w:rPr>
          <w:i/>
        </w:rPr>
        <w:t>Age_total = Σ(bj × tj) / Σ(bj)</w:t>
      </w:r>
    </w:p>
    <w:p/>
    <w:p>
      <w:r>
        <w:rPr>
          <w:b/>
        </w:rPr>
        <w:t xml:space="preserve">[0035] </w:t>
      </w:r>
      <w:r>
        <w:t>其中bj为第j个资源池余额，tj为存活天数。</w:t>
      </w:r>
    </w:p>
    <w:p>
      <w:r>
        <w:rPr>
          <w:b/>
        </w:rPr>
        <w:t xml:space="preserve">[0036] </w:t>
      </w:r>
      <w:r>
        <w:t>步骤S4，增量计算优化：</w:t>
      </w:r>
    </w:p>
    <w:p>
      <w:r>
        <w:rPr>
          <w:b/>
        </w:rPr>
        <w:t xml:space="preserve">[0037] </w:t>
      </w:r>
      <w:r>
        <w:t>参见图3，图3示出了本发明的增量计算优化流程。</w:t>
      </w:r>
    </w:p>
    <w:p>
      <w:r>
        <w:rPr>
          <w:b/>
        </w:rPr>
        <w:t xml:space="preserve">[0038] </w:t>
      </w:r>
      <w:r>
        <w:t>S4.1 脏数据标记机制。当交易变更时，标记受影响的资源池。</w:t>
      </w:r>
    </w:p>
    <w:p>
      <w:r>
        <w:rPr>
          <w:b/>
        </w:rPr>
        <w:t xml:space="preserve">[0039] </w:t>
      </w:r>
      <w:r>
        <w:t>S4.2 增量重算流程：确定最早变更时间点Tmin；回滚Tmin之后的链路；恢复资源池状态；重新执行消耗；清除标记。</w:t>
      </w:r>
    </w:p>
    <w:p>
      <w:r>
        <w:rPr>
          <w:b/>
        </w:rPr>
        <w:t xml:space="preserve">[0040] </w:t>
      </w:r>
      <w:r>
        <w:t>S4.3 复杂度分析。全量重算O(N²)，增量重算O(K×log(M))，当K&lt;&lt;N时性能提升可达数百倍。</w:t>
      </w:r>
    </w:p>
    <w:p>
      <w:r>
        <w:rPr>
          <w:b/>
        </w:rPr>
        <w:t xml:space="preserve">[0041] </w:t>
      </w:r>
      <w:r>
        <w:t>步骤S5，健康等级映射：</w:t>
      </w:r>
    </w:p>
    <w:p>
      <w:r>
        <w:rPr>
          <w:b/>
        </w:rPr>
        <w:t xml:space="preserve">[0042] </w:t>
      </w:r>
      <w:r>
        <w:t>根据钱龄值映射到六级健康等级：</w:t>
      </w:r>
    </w:p>
    <w:p>
      <w:pPr>
        <w:jc w:val="center"/>
      </w:pPr>
      <w:r>
        <w:rPr>
          <w:b/>
        </w:rPr>
        <w:t>表3：钱龄健康等级映射</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等级</w:t>
            </w:r>
          </w:p>
        </w:tc>
        <w:tc>
          <w:tcPr>
            <w:tcW w:type="dxa" w:w="3135"/>
          </w:tcPr>
          <w:p>
            <w:r>
              <w:rPr>
                <w:b/>
              </w:rPr>
              <w:t>钱龄范围</w:t>
            </w:r>
          </w:p>
        </w:tc>
        <w:tc>
          <w:tcPr>
            <w:tcW w:type="dxa" w:w="3135"/>
          </w:tcPr>
          <w:p>
            <w:r>
              <w:rPr>
                <w:b/>
              </w:rPr>
              <w:t>状态描述</w:t>
            </w:r>
          </w:p>
        </w:tc>
      </w:tr>
      <w:tr>
        <w:tc>
          <w:tcPr>
            <w:tcW w:type="dxa" w:w="3135"/>
          </w:tcPr>
          <w:p>
            <w:r>
              <w:t>L1 月光级</w:t>
            </w:r>
          </w:p>
        </w:tc>
        <w:tc>
          <w:tcPr>
            <w:tcW w:type="dxa" w:w="3135"/>
          </w:tcPr>
          <w:p>
            <w:r>
              <w:t>0-6天</w:t>
            </w:r>
          </w:p>
        </w:tc>
        <w:tc>
          <w:tcPr>
            <w:tcW w:type="dxa" w:w="3135"/>
          </w:tcPr>
          <w:p>
            <w:r>
              <w:t>财务缓冲极度不足</w:t>
            </w:r>
          </w:p>
        </w:tc>
      </w:tr>
      <w:tr>
        <w:tc>
          <w:tcPr>
            <w:tcW w:type="dxa" w:w="3135"/>
          </w:tcPr>
          <w:p>
            <w:r>
              <w:t>L2 紧张级</w:t>
            </w:r>
          </w:p>
        </w:tc>
        <w:tc>
          <w:tcPr>
            <w:tcW w:type="dxa" w:w="3135"/>
          </w:tcPr>
          <w:p>
            <w:r>
              <w:t>7-13天</w:t>
            </w:r>
          </w:p>
        </w:tc>
        <w:tc>
          <w:tcPr>
            <w:tcW w:type="dxa" w:w="3135"/>
          </w:tcPr>
          <w:p>
            <w:r>
              <w:t>财务缓冲不足</w:t>
            </w:r>
          </w:p>
        </w:tc>
      </w:tr>
      <w:tr>
        <w:tc>
          <w:tcPr>
            <w:tcW w:type="dxa" w:w="3135"/>
          </w:tcPr>
          <w:p>
            <w:r>
              <w:t>L3 一般级</w:t>
            </w:r>
          </w:p>
        </w:tc>
        <w:tc>
          <w:tcPr>
            <w:tcW w:type="dxa" w:w="3135"/>
          </w:tcPr>
          <w:p>
            <w:r>
              <w:t>14-29天</w:t>
            </w:r>
          </w:p>
        </w:tc>
        <w:tc>
          <w:tcPr>
            <w:tcW w:type="dxa" w:w="3135"/>
          </w:tcPr>
          <w:p>
            <w:r>
              <w:t>有基本缓冲</w:t>
            </w:r>
          </w:p>
        </w:tc>
      </w:tr>
      <w:tr>
        <w:tc>
          <w:tcPr>
            <w:tcW w:type="dxa" w:w="3135"/>
          </w:tcPr>
          <w:p>
            <w:r>
              <w:t>L4 健康级</w:t>
            </w:r>
          </w:p>
        </w:tc>
        <w:tc>
          <w:tcPr>
            <w:tcW w:type="dxa" w:w="3135"/>
          </w:tcPr>
          <w:p>
            <w:r>
              <w:t>30-59天</w:t>
            </w:r>
          </w:p>
        </w:tc>
        <w:tc>
          <w:tcPr>
            <w:tcW w:type="dxa" w:w="3135"/>
          </w:tcPr>
          <w:p>
            <w:r>
              <w:t>有月度缓冲</w:t>
            </w:r>
          </w:p>
        </w:tc>
      </w:tr>
      <w:tr>
        <w:tc>
          <w:tcPr>
            <w:tcW w:type="dxa" w:w="3135"/>
          </w:tcPr>
          <w:p>
            <w:r>
              <w:t>L5 优秀级</w:t>
            </w:r>
          </w:p>
        </w:tc>
        <w:tc>
          <w:tcPr>
            <w:tcW w:type="dxa" w:w="3135"/>
          </w:tcPr>
          <w:p>
            <w:r>
              <w:t>60-89天</w:t>
            </w:r>
          </w:p>
        </w:tc>
        <w:tc>
          <w:tcPr>
            <w:tcW w:type="dxa" w:w="3135"/>
          </w:tcPr>
          <w:p>
            <w:r>
              <w:t>有双月缓冲</w:t>
            </w:r>
          </w:p>
        </w:tc>
      </w:tr>
      <w:tr>
        <w:tc>
          <w:tcPr>
            <w:tcW w:type="dxa" w:w="3135"/>
          </w:tcPr>
          <w:p>
            <w:r>
              <w:t>L6 理想级</w:t>
            </w:r>
          </w:p>
        </w:tc>
        <w:tc>
          <w:tcPr>
            <w:tcW w:type="dxa" w:w="3135"/>
          </w:tcPr>
          <w:p>
            <w:r>
              <w:t>≥90天</w:t>
            </w:r>
          </w:p>
        </w:tc>
        <w:tc>
          <w:tcPr>
            <w:tcW w:type="dxa" w:w="3135"/>
          </w:tcPr>
          <w:p>
            <w:r>
              <w:t>财务状况理想</w:t>
            </w:r>
          </w:p>
        </w:tc>
      </w:tr>
    </w:tbl>
    <w:p/>
    <w:p>
      <w:r>
        <w:rPr>
          <w:b/>
        </w:rPr>
        <w:t xml:space="preserve">[0043] </w:t>
      </w:r>
      <w:r>
        <w:t>步骤S6，双向追溯查询：</w:t>
      </w:r>
    </w:p>
    <w:p>
      <w:r>
        <w:rPr>
          <w:b/>
        </w:rPr>
        <w:t xml:space="preserve">[0044] </w:t>
      </w:r>
      <w:r>
        <w:t>参见图5，图5示出了本发明的消费链路追溯示意图。</w:t>
      </w:r>
    </w:p>
    <w:p>
      <w:r>
        <w:rPr>
          <w:b/>
        </w:rPr>
        <w:t xml:space="preserve">[0045] </w:t>
      </w:r>
      <w:r>
        <w:t>S6.1 正向追溯：根据支出ID查询其消耗的所有资源池。</w:t>
      </w:r>
    </w:p>
    <w:p>
      <w:r>
        <w:rPr>
          <w:b/>
        </w:rPr>
        <w:t xml:space="preserve">[0046] </w:t>
      </w:r>
      <w:r>
        <w:t>S6.2 反向追溯：根据收入ID查询其被哪些支出消耗。</w:t>
      </w:r>
    </w:p>
    <w:p>
      <w:pPr>
        <w:pStyle w:val="Heading1"/>
      </w:pPr>
      <w:r>
        <w:t>附图说明</w:t>
      </w:r>
    </w:p>
    <w:p>
      <w:r>
        <w:rPr>
          <w:b/>
        </w:rPr>
        <w:t xml:space="preserve">[0047] </w:t>
      </w:r>
      <w:r>
        <w:t>图1是本发明实施例提供的FIFO资源池模型架构示意图；</w:t>
      </w:r>
    </w:p>
    <w:p>
      <w:r>
        <w:rPr>
          <w:b/>
        </w:rPr>
        <w:t xml:space="preserve">[0048] </w:t>
      </w:r>
      <w:r>
        <w:t>图2是本发明实施例提供的FIFO消耗算法流程图；</w:t>
      </w:r>
    </w:p>
    <w:p>
      <w:r>
        <w:rPr>
          <w:b/>
        </w:rPr>
        <w:t xml:space="preserve">[0049] </w:t>
      </w:r>
      <w:r>
        <w:t>图3是本发明实施例提供的增量计算优化流程图；</w:t>
      </w:r>
    </w:p>
    <w:p>
      <w:r>
        <w:rPr>
          <w:b/>
        </w:rPr>
        <w:t xml:space="preserve">[0050] </w:t>
      </w:r>
      <w:r>
        <w:t>图4是本发明实施例提供的系统架构图；</w:t>
      </w:r>
    </w:p>
    <w:p>
      <w:r>
        <w:rPr>
          <w:b/>
        </w:rPr>
        <w:t xml:space="preserve">[0051] </w:t>
      </w:r>
      <w:r>
        <w:t>图5是本发明实施例提供的消费链路追溯示意图；</w:t>
      </w:r>
    </w:p>
    <w:p>
      <w:r>
        <w:rPr>
          <w:b/>
        </w:rPr>
        <w:t xml:space="preserve">[0052] </w:t>
      </w:r>
      <w:r>
        <w:t>图6是本发明实施例提供的性能对比测试结果图；</w:t>
      </w:r>
    </w:p>
    <w:p>
      <w:r>
        <w:rPr>
          <w:b/>
        </w:rPr>
        <w:t xml:space="preserve">[0053] </w:t>
      </w:r>
      <w:r>
        <w:t>图7是本发明实施例提供的钱龄健康等级映射示意图。</w:t>
      </w:r>
    </w:p>
    <w:p>
      <w:pPr>
        <w:pStyle w:val="Heading1"/>
      </w:pPr>
      <w:r>
        <w:t>具体实施方式</w:t>
      </w:r>
    </w:p>
    <w:p>
      <w:r>
        <w:rPr>
          <w:b/>
        </w:rPr>
        <w:t xml:space="preserve">[0054] </w:t>
      </w:r>
      <w:r>
        <w:t>下面结合附图和具体实施例对本发明作进一步详细说明。</w:t>
      </w:r>
    </w:p>
    <w:p>
      <w:r>
        <w:rPr>
          <w:b/>
        </w:rPr>
        <w:t xml:space="preserve">[0055] </w:t>
      </w:r>
      <w:r>
        <w:t>实施例一：基础钱龄计算</w:t>
      </w:r>
    </w:p>
    <w:p>
      <w:r>
        <w:rPr>
          <w:b/>
        </w:rPr>
        <w:t xml:space="preserve">[0056] </w:t>
      </w:r>
      <w:r>
        <w:t>用户在2024年1月1日收到工资8000元，系统创建资源池P1。1月15日消费200元，执行FIFO消耗：从P1扣减200元，链路钱龄=14天。该笔支出钱龄=14天，属于"一般级"。</w:t>
      </w:r>
    </w:p>
    <w:p>
      <w:r>
        <w:rPr>
          <w:b/>
        </w:rPr>
        <w:t xml:space="preserve">[0057] </w:t>
      </w:r>
      <w:r>
        <w:t>实施例二：跨资源池消费</w:t>
      </w:r>
    </w:p>
    <w:p>
      <w:r>
        <w:rPr>
          <w:b/>
        </w:rPr>
        <w:t xml:space="preserve">[0058] </w:t>
      </w:r>
      <w:r>
        <w:t>用户有P1（余额7800元，存活45天）和P2（余额8000元，存活14天）。消费9000元时：先消耗P1全部7800元，再消耗P2的1200元。钱龄=(7800×45+1200×14)/9000=40.87天。</w:t>
      </w:r>
    </w:p>
    <w:p>
      <w:r>
        <w:rPr>
          <w:b/>
        </w:rPr>
        <w:t xml:space="preserve">[0059] </w:t>
      </w:r>
      <w:r>
        <w:t>实施例三：透支场景</w:t>
      </w:r>
    </w:p>
    <w:p>
      <w:r>
        <w:rPr>
          <w:b/>
        </w:rPr>
        <w:t xml:space="preserve">[0060] </w:t>
      </w:r>
      <w:r>
        <w:t>用户仅有P1（余额500元），消费800元。消耗P1全部500元后，剩余300元创建透支链路（钱龄=0）。触发财务预警。</w:t>
      </w:r>
    </w:p>
    <w:p>
      <w:r>
        <w:rPr>
          <w:b/>
        </w:rPr>
        <w:t xml:space="preserve">[0061] </w:t>
      </w:r>
      <w:r>
        <w:t>实施例四：增量计算</w:t>
      </w:r>
    </w:p>
    <w:p>
      <w:r>
        <w:rPr>
          <w:b/>
        </w:rPr>
        <w:t xml:space="preserve">[0062] </w:t>
      </w:r>
      <w:r>
        <w:t>用户补记1月10日的500元消费。系统仅重算1月10日之后的交易，性能提升约140倍（对比全量重算）。</w:t>
      </w:r>
    </w:p>
    <w:p>
      <w:r>
        <w:rPr>
          <w:b/>
        </w:rPr>
        <w:t xml:space="preserve">[0063] </w:t>
      </w:r>
      <w:r>
        <w:t>实施例五：性能测试数据</w:t>
      </w:r>
    </w:p>
    <w:p>
      <w:r>
        <w:rPr>
          <w:b/>
        </w:rPr>
        <w:t xml:space="preserve">[0064] </w:t>
      </w:r>
      <w:r>
        <w:t>参见图6，测试结果显示：10万笔交易场景下，增量计算耗时35ms，全量计算耗时45秒，性能提升1286倍。</w:t>
      </w:r>
    </w:p>
    <w:p>
      <w:pPr>
        <w:jc w:val="center"/>
      </w:pPr>
      <w:r>
        <w:rPr>
          <w:b/>
        </w:rPr>
        <w:t>表4：性能对比测试结果</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交易规模</w:t>
            </w:r>
          </w:p>
        </w:tc>
        <w:tc>
          <w:tcPr>
            <w:tcW w:type="dxa" w:w="2351"/>
          </w:tcPr>
          <w:p>
            <w:r>
              <w:rPr>
                <w:b/>
              </w:rPr>
              <w:t>全量重算</w:t>
            </w:r>
          </w:p>
        </w:tc>
        <w:tc>
          <w:tcPr>
            <w:tcW w:type="dxa" w:w="2351"/>
          </w:tcPr>
          <w:p>
            <w:r>
              <w:rPr>
                <w:b/>
              </w:rPr>
              <w:t>增量重算</w:t>
            </w:r>
          </w:p>
        </w:tc>
        <w:tc>
          <w:tcPr>
            <w:tcW w:type="dxa" w:w="2351"/>
          </w:tcPr>
          <w:p>
            <w:r>
              <w:rPr>
                <w:b/>
              </w:rPr>
              <w:t>提升倍数</w:t>
            </w:r>
          </w:p>
        </w:tc>
      </w:tr>
      <w:tr>
        <w:tc>
          <w:tcPr>
            <w:tcW w:type="dxa" w:w="2351"/>
          </w:tcPr>
          <w:p>
            <w:r>
              <w:t>1,000笔</w:t>
            </w:r>
          </w:p>
        </w:tc>
        <w:tc>
          <w:tcPr>
            <w:tcW w:type="dxa" w:w="2351"/>
          </w:tcPr>
          <w:p>
            <w:r>
              <w:t>200ms</w:t>
            </w:r>
          </w:p>
        </w:tc>
        <w:tc>
          <w:tcPr>
            <w:tcW w:type="dxa" w:w="2351"/>
          </w:tcPr>
          <w:p>
            <w:r>
              <w:t>10ms</w:t>
            </w:r>
          </w:p>
        </w:tc>
        <w:tc>
          <w:tcPr>
            <w:tcW w:type="dxa" w:w="2351"/>
          </w:tcPr>
          <w:p>
            <w:r>
              <w:t>20x</w:t>
            </w:r>
          </w:p>
        </w:tc>
      </w:tr>
      <w:tr>
        <w:tc>
          <w:tcPr>
            <w:tcW w:type="dxa" w:w="2351"/>
          </w:tcPr>
          <w:p>
            <w:r>
              <w:t>10,000笔</w:t>
            </w:r>
          </w:p>
        </w:tc>
        <w:tc>
          <w:tcPr>
            <w:tcW w:type="dxa" w:w="2351"/>
          </w:tcPr>
          <w:p>
            <w:r>
              <w:t>2,100ms</w:t>
            </w:r>
          </w:p>
        </w:tc>
        <w:tc>
          <w:tcPr>
            <w:tcW w:type="dxa" w:w="2351"/>
          </w:tcPr>
          <w:p>
            <w:r>
              <w:t>15ms</w:t>
            </w:r>
          </w:p>
        </w:tc>
        <w:tc>
          <w:tcPr>
            <w:tcW w:type="dxa" w:w="2351"/>
          </w:tcPr>
          <w:p>
            <w:r>
              <w:t>140x</w:t>
            </w:r>
          </w:p>
        </w:tc>
      </w:tr>
      <w:tr>
        <w:tc>
          <w:tcPr>
            <w:tcW w:type="dxa" w:w="2351"/>
          </w:tcPr>
          <w:p>
            <w:r>
              <w:t>100,000笔</w:t>
            </w:r>
          </w:p>
        </w:tc>
        <w:tc>
          <w:tcPr>
            <w:tcW w:type="dxa" w:w="2351"/>
          </w:tcPr>
          <w:p>
            <w:r>
              <w:t>45,000ms</w:t>
            </w:r>
          </w:p>
        </w:tc>
        <w:tc>
          <w:tcPr>
            <w:tcW w:type="dxa" w:w="2351"/>
          </w:tcPr>
          <w:p>
            <w:r>
              <w:t>35ms</w:t>
            </w:r>
          </w:p>
        </w:tc>
        <w:tc>
          <w:tcPr>
            <w:tcW w:type="dxa" w:w="2351"/>
          </w:tcPr>
          <w:p>
            <w:r>
              <w:t>1286x</w:t>
            </w:r>
          </w:p>
        </w:tc>
      </w:tr>
    </w:tbl>
    <w:p/>
    <w:p>
      <w:pPr>
        <w:pStyle w:val="Heading1"/>
      </w:pPr>
      <w:r>
        <w:t>有益效果</w:t>
      </w:r>
    </w:p>
    <w:p>
      <w:r>
        <w:rPr>
          <w:b/>
        </w:rPr>
        <w:t xml:space="preserve">[0065] </w:t>
      </w:r>
      <w:r>
        <w:t>本发明相比现有技术具有以下有益效果：</w:t>
      </w:r>
    </w:p>
    <w:p>
      <w:r>
        <w:rPr>
          <w:b/>
        </w:rPr>
        <w:t xml:space="preserve">[0066] </w:t>
      </w:r>
      <w:r>
        <w:t>效果一：计算精度100%。采用加权平均算法，精确反映资金来源分布。</w:t>
      </w:r>
    </w:p>
    <w:p>
      <w:r>
        <w:rPr>
          <w:b/>
        </w:rPr>
        <w:t xml:space="preserve">[0067] </w:t>
      </w:r>
      <w:r>
        <w:t>效果二：完整资金追溯。建立消费链路，支持双向追溯查询。</w:t>
      </w:r>
    </w:p>
    <w:p>
      <w:r>
        <w:rPr>
          <w:b/>
        </w:rPr>
        <w:t xml:space="preserve">[0068] </w:t>
      </w:r>
      <w:r>
        <w:t>效果三：性能提升100-1000倍。增量计算机制避免全量重算。</w:t>
      </w:r>
    </w:p>
    <w:p>
      <w:r>
        <w:rPr>
          <w:b/>
        </w:rPr>
        <w:t xml:space="preserve">[0069] </w:t>
      </w:r>
      <w:r>
        <w:t>效果四：并发安全。三层并发控制确保数据一致性。</w:t>
      </w:r>
    </w:p>
    <w:p>
      <w:r>
        <w:rPr>
          <w:b/>
        </w:rPr>
        <w:t xml:space="preserve">[0070] </w:t>
      </w:r>
      <w:r>
        <w:t>效果五：健壮性高。完善处理空队列、透支等边界情况。</w:t>
      </w:r>
    </w:p>
    <w:p>
      <w:r>
        <w:br w:type="page"/>
      </w:r>
    </w:p>
    <w:p>
      <w:pPr>
        <w:pStyle w:val="Title"/>
        <w:jc w:val="center"/>
      </w:pPr>
      <w:r>
        <w:rPr>
          <w:b/>
          <w:sz w:val="36"/>
        </w:rPr>
        <w:t>权 利 要 求 书</w:t>
      </w:r>
    </w:p>
    <w:p/>
    <w:p>
      <w:r>
        <w:t>1. 一种资金时间价值计算方法，其特征在于，包括以下步骤：</w:t>
        <w:br/>
        <w:t>a) 响应于资金流入事件，创建与所述资金流入事件关联的资源单元，并将所述资源单元加入按时间排序的资源单元队列；</w:t>
        <w:br/>
        <w:t>b) 响应于资金流出事件，按所述资源单元队列的时间顺序，从队首开始依次消耗资源单元中的可用金额，直至满足流出金额；</w:t>
        <w:br/>
        <w:t>c) 在消耗过程中，为每次消耗操作生成消耗记录，所述消耗记录包含被消耗的资源单元标识和消耗金额；</w:t>
        <w:br/>
        <w:t>d) 基于所述消耗记录，计算资金时间价值指标，所述资金时间价值指标表征流出资金从获取到消耗的时间跨度。</w:t>
      </w:r>
    </w:p>
    <w:p/>
    <w:p>
      <w:r>
        <w:t>2. 根据权利要求1所述的方法，其特征在于，所述资源单元包含以下属性：唯一标识符、初始金额、当前余额、流入时间戳和状态标记，所述状态标记用于指示资源单元是否已耗尽。</w:t>
      </w:r>
    </w:p>
    <w:p/>
    <w:p>
      <w:r>
        <w:t>3. 根据权利要求1所述的方法，其特征在于，所述步骤b)中依次消耗资源单元的具体步骤包括：获取所有状态为未耗尽的资源单元；按流入时间升序排列形成队列；从队首开始遍历，对于当前资源单元，若其当前余额大于等于剩余待消耗金额，则从当前资源单元扣减剩余待消耗金额并结束；若其当前余额小于剩余待消耗金额，则消耗当前资源单元的全部余额并标记为已耗尽，更新剩余待消耗金额，继续处理下一个资源单元。</w:t>
      </w:r>
    </w:p>
    <w:p/>
    <w:p>
      <w:r>
        <w:t>4. 根据权利要求1所述的方法，其特征在于，所述资金时间价值指标采用加权平均算法计算，以各消耗记录的消耗金额作为权重，以对应消耗记录的时间跨度作为被平均值。</w:t>
      </w:r>
    </w:p>
    <w:p/>
    <w:p>
      <w:r>
        <w:t>5. 根据权利要求1所述的方法，其特征在于，还包括增量计算步骤：当历史事件发生变更时，标记受影响的资源单元为待重算状态；回滚所述待重算状态的资源单元涉及的消耗记录；仅对变更时间点之后的资金流出事件重新执行消耗操作。</w:t>
      </w:r>
    </w:p>
    <w:p/>
    <w:p>
      <w:r>
        <w:t>6. 根据权利要求1所述的方法，其特征在于，还包括透支处理步骤：当所有资源单元的余额总和不足以覆盖流出金额时，创建透支类型的消耗记录，所述透支类型消耗记录的时间跨度为零。</w:t>
      </w:r>
    </w:p>
    <w:p/>
    <w:p>
      <w:r>
        <w:t>7. 根据权利要求1所述的方法，其特征在于，还包括健康等级评估步骤：根据计算得到的资金时间价值指标，映射到预设的多级健康等级。</w:t>
      </w:r>
    </w:p>
    <w:p/>
    <w:p>
      <w:r>
        <w:t>8. 根据权利要求1所述的方法，其特征在于，还包括追溯查询步骤：根据资金流出事件标识查询对应的消耗记录，返回该流出事件的资金来源构成；或根据资金流入事件标识查询关联资源单元的被消耗记录，返回该流入资金的去向构成。</w:t>
      </w:r>
    </w:p>
    <w:p/>
    <w:p>
      <w:r>
        <w:t>9. 根据权利要求1至8任一项所述的方法，其特征在于，所述按时间顺序依次消耗采用先进先出策略。</w:t>
      </w:r>
    </w:p>
    <w:p/>
    <w:p>
      <w:r>
        <w:t>10. 根据权利要求1所述的方法，其特征在于，所述步骤b)还包括并发控制步骤：在执行消耗操作前获取排他锁；在资源单元更新时采用乐观锁机制；操作完成后释放排他锁。</w:t>
      </w:r>
    </w:p>
    <w:p/>
    <w:p>
      <w:r>
        <w:t>11. 一种资金时间价值计算系统，其特征在于，包括：</w:t>
        <w:br/>
        <w:t>资源单元管理模块，配置为响应资金流入事件创建资源单元，并维护资源单元的时间有序队列；</w:t>
        <w:br/>
        <w:t>消耗执行模块，配置为响应资金流出事件，按队列顺序从资源单元中消耗资金，并生成消耗记录；</w:t>
        <w:br/>
        <w:t>指标计算模块，配置为基于消耗记录，采用加权平均算法计算资金时间价值指标；</w:t>
        <w:br/>
        <w:t>持久化模块，配置为存储资源单元数据和消耗记录数据。</w:t>
      </w:r>
    </w:p>
    <w:p/>
    <w:p>
      <w:r>
        <w:t>12. 根据权利要求11所述的系统，其特征在于，还包括增量优化模块，配置为在交易数据变更时进行增量重算。</w:t>
      </w:r>
    </w:p>
    <w:p/>
    <w:p>
      <w:r>
        <w:t>13. 根据权利要求11所述的系统，其特征在于，还包括追溯查询模块，配置为提供正向追溯和反向追溯接口。</w:t>
      </w:r>
    </w:p>
    <w:p/>
    <w:p>
      <w:r>
        <w:t>14. 根据权利要求11所述的系统，其特征在于，还包括并发控制模块，配置为提供分布式锁和乐观锁机制。</w:t>
      </w:r>
    </w:p>
    <w:p/>
    <w:p>
      <w:r>
        <w:t>15. 一种计算机可读存储介质，其上存储有计算机程序，其特征在于，所述计算机程序被处理器执行时实现权利要求1至10中任一项所述方法的步骤。</w:t>
      </w:r>
    </w:p>
    <w:p/>
    <w:p>
      <w:r>
        <w:t>16. 一种电子设备，其特征在于，包括处理器和存储器，所述存储器存储有计算机程序，所述计算机程序被处理器执行时实现权利要求1至10中任一项所述方法的步骤。</w:t>
      </w:r>
    </w:p>
    <w:p/>
    <w:p>
      <w:r>
        <w:br w:type="page"/>
      </w:r>
    </w:p>
    <w:p>
      <w:pPr>
        <w:pStyle w:val="Title"/>
        <w:jc w:val="center"/>
      </w:pPr>
      <w:r>
        <w:rPr>
          <w:b/>
          <w:sz w:val="36"/>
        </w:rPr>
        <w:t>说 明 书 摘 要</w:t>
      </w:r>
    </w:p>
    <w:p/>
    <w:p>
      <w:r>
        <w:t>本发明公开了一种基于FIFO资源池模型的资金时间价值计算方法及系统，属于数据处理技术领域。该方法包括：响应于资金流入事件创建资源单元并维护时间有序队列；响应于资金流出事件按先进先出原则依次消耗资源单元并生成消耗记录；基于消耗记录采用加权平均算法计算资金时间价值指标；通过脏数据标记机制实现增量重算优化。本发明相比现有技术的有益效果包括：采用加权平均算法使计算精度达到100%；建立消耗记录实现双向资金追溯；增量计算机制使性能提升超过100倍；设计并发控制机制确保数据一致性。本发明可应用于个人财务管理、企业资金管理等场景。</w:t>
      </w:r>
    </w:p>
    <w:p/>
    <w:p>
      <w:r>
        <w:rPr>
          <w:b/>
        </w:rPr>
        <w:t>关键词：</w:t>
      </w:r>
      <w:r>
        <w:t>FIFO；资源池；资金时间价值；钱龄；增量计算；追溯查询</w:t>
      </w:r>
    </w:p>
    <w:p>
      <w:r>
        <w:br w:type="page"/>
      </w:r>
    </w:p>
    <w:p>
      <w:pPr>
        <w:pStyle w:val="Title"/>
        <w:jc w:val="center"/>
      </w:pPr>
      <w:r>
        <w:rPr>
          <w:b/>
          <w:sz w:val="36"/>
        </w:rPr>
        <w:t>摘 要 附 图</w:t>
      </w:r>
    </w:p>
    <w:p/>
    <w:p/>
    <w:p>
      <w:pPr>
        <w:jc w:val="center"/>
      </w:pPr>
      <w:r>
        <w:drawing>
          <wp:inline xmlns:a="http://schemas.openxmlformats.org/drawingml/2006/main" xmlns:pic="http://schemas.openxmlformats.org/drawingml/2006/picture">
            <wp:extent cx="5029200" cy="4205159"/>
            <wp:docPr id="1" name="Picture 1"/>
            <wp:cNvGraphicFramePr>
              <a:graphicFrameLocks noChangeAspect="1"/>
            </wp:cNvGraphicFramePr>
            <a:graphic>
              <a:graphicData uri="http://schemas.openxmlformats.org/drawingml/2006/picture">
                <pic:pic>
                  <pic:nvPicPr>
                    <pic:cNvPr id="0" name="图1_FIFO资源池模型架构示意图.png"/>
                    <pic:cNvPicPr/>
                  </pic:nvPicPr>
                  <pic:blipFill>
                    <a:blip r:embed="rId9"/>
                    <a:stretch>
                      <a:fillRect/>
                    </a:stretch>
                  </pic:blipFill>
                  <pic:spPr>
                    <a:xfrm>
                      <a:off x="0" y="0"/>
                      <a:ext cx="5029200" cy="4205159"/>
                    </a:xfrm>
                    <a:prstGeom prst="rect"/>
                  </pic:spPr>
                </pic:pic>
              </a:graphicData>
            </a:graphic>
          </wp:inline>
        </w:drawing>
      </w:r>
    </w:p>
    <w:p>
      <w:pPr>
        <w:jc w:val="center"/>
      </w:pPr>
      <w:r>
        <w:t>图1</w:t>
      </w:r>
    </w:p>
    <w:p/>
    <w:p>
      <w:r>
        <w:br w:type="page"/>
      </w:r>
    </w:p>
    <w:p>
      <w:pPr>
        <w:pStyle w:val="Title"/>
        <w:jc w:val="center"/>
      </w:pPr>
      <w:r>
        <w:rPr>
          <w:b/>
          <w:sz w:val="36"/>
        </w:rPr>
        <w:t>说 明 书 附 图</w:t>
      </w:r>
    </w:p>
    <w:p/>
    <w:p/>
    <w:p>
      <w:pPr>
        <w:jc w:val="center"/>
      </w:pPr>
      <w:r>
        <w:drawing>
          <wp:inline xmlns:a="http://schemas.openxmlformats.org/drawingml/2006/main" xmlns:pic="http://schemas.openxmlformats.org/drawingml/2006/picture">
            <wp:extent cx="4572000" cy="3822872"/>
            <wp:docPr id="2" name="Picture 2"/>
            <wp:cNvGraphicFramePr>
              <a:graphicFrameLocks noChangeAspect="1"/>
            </wp:cNvGraphicFramePr>
            <a:graphic>
              <a:graphicData uri="http://schemas.openxmlformats.org/drawingml/2006/picture">
                <pic:pic>
                  <pic:nvPicPr>
                    <pic:cNvPr id="0" name="图1_FIFO资源池模型架构示意图.png"/>
                    <pic:cNvPicPr/>
                  </pic:nvPicPr>
                  <pic:blipFill>
                    <a:blip r:embed="rId9"/>
                    <a:stretch>
                      <a:fillRect/>
                    </a:stretch>
                  </pic:blipFill>
                  <pic:spPr>
                    <a:xfrm>
                      <a:off x="0" y="0"/>
                      <a:ext cx="4572000" cy="3822872"/>
                    </a:xfrm>
                    <a:prstGeom prst="rect"/>
                  </pic:spPr>
                </pic:pic>
              </a:graphicData>
            </a:graphic>
          </wp:inline>
        </w:drawing>
      </w:r>
    </w:p>
    <w:p>
      <w:pPr>
        <w:jc w:val="center"/>
      </w:pPr>
      <w:r>
        <w:t>图1  FIFO资源池模型架构示意图</w:t>
      </w:r>
    </w:p>
    <w:p/>
    <w:p/>
    <w:p>
      <w:pPr>
        <w:jc w:val="center"/>
      </w:pPr>
      <w:r>
        <w:drawing>
          <wp:inline xmlns:a="http://schemas.openxmlformats.org/drawingml/2006/main" xmlns:pic="http://schemas.openxmlformats.org/drawingml/2006/picture">
            <wp:extent cx="4572000" cy="6363855"/>
            <wp:docPr id="3" name="Picture 3"/>
            <wp:cNvGraphicFramePr>
              <a:graphicFrameLocks noChangeAspect="1"/>
            </wp:cNvGraphicFramePr>
            <a:graphic>
              <a:graphicData uri="http://schemas.openxmlformats.org/drawingml/2006/picture">
                <pic:pic>
                  <pic:nvPicPr>
                    <pic:cNvPr id="0" name="图2_FIFO消耗算法流程图.png"/>
                    <pic:cNvPicPr/>
                  </pic:nvPicPr>
                  <pic:blipFill>
                    <a:blip r:embed="rId10"/>
                    <a:stretch>
                      <a:fillRect/>
                    </a:stretch>
                  </pic:blipFill>
                  <pic:spPr>
                    <a:xfrm>
                      <a:off x="0" y="0"/>
                      <a:ext cx="4572000" cy="6363855"/>
                    </a:xfrm>
                    <a:prstGeom prst="rect"/>
                  </pic:spPr>
                </pic:pic>
              </a:graphicData>
            </a:graphic>
          </wp:inline>
        </w:drawing>
      </w:r>
    </w:p>
    <w:p>
      <w:pPr>
        <w:jc w:val="center"/>
      </w:pPr>
      <w:r>
        <w:t>图2  FIFO消耗算法流程图</w:t>
      </w:r>
    </w:p>
    <w:p/>
    <w:p/>
    <w:p>
      <w:pPr>
        <w:jc w:val="center"/>
      </w:pPr>
      <w:r>
        <w:drawing>
          <wp:inline xmlns:a="http://schemas.openxmlformats.org/drawingml/2006/main" xmlns:pic="http://schemas.openxmlformats.org/drawingml/2006/picture">
            <wp:extent cx="4572000" cy="5467927"/>
            <wp:docPr id="4" name="Picture 4"/>
            <wp:cNvGraphicFramePr>
              <a:graphicFrameLocks noChangeAspect="1"/>
            </wp:cNvGraphicFramePr>
            <a:graphic>
              <a:graphicData uri="http://schemas.openxmlformats.org/drawingml/2006/picture">
                <pic:pic>
                  <pic:nvPicPr>
                    <pic:cNvPr id="0" name="图3_增量计算优化流程图.png"/>
                    <pic:cNvPicPr/>
                  </pic:nvPicPr>
                  <pic:blipFill>
                    <a:blip r:embed="rId11"/>
                    <a:stretch>
                      <a:fillRect/>
                    </a:stretch>
                  </pic:blipFill>
                  <pic:spPr>
                    <a:xfrm>
                      <a:off x="0" y="0"/>
                      <a:ext cx="4572000" cy="5467927"/>
                    </a:xfrm>
                    <a:prstGeom prst="rect"/>
                  </pic:spPr>
                </pic:pic>
              </a:graphicData>
            </a:graphic>
          </wp:inline>
        </w:drawing>
      </w:r>
    </w:p>
    <w:p>
      <w:pPr>
        <w:jc w:val="center"/>
      </w:pPr>
      <w:r>
        <w:t>图3  增量计算优化流程图</w:t>
      </w:r>
    </w:p>
    <w:p/>
    <w:p/>
    <w:p>
      <w:pPr>
        <w:jc w:val="center"/>
      </w:pPr>
      <w:r>
        <w:drawing>
          <wp:inline xmlns:a="http://schemas.openxmlformats.org/drawingml/2006/main" xmlns:pic="http://schemas.openxmlformats.org/drawingml/2006/picture">
            <wp:extent cx="4572000" cy="3822872"/>
            <wp:docPr id="5" name="Picture 5"/>
            <wp:cNvGraphicFramePr>
              <a:graphicFrameLocks noChangeAspect="1"/>
            </wp:cNvGraphicFramePr>
            <a:graphic>
              <a:graphicData uri="http://schemas.openxmlformats.org/drawingml/2006/picture">
                <pic:pic>
                  <pic:nvPicPr>
                    <pic:cNvPr id="0" name="图4_系统架构图.png"/>
                    <pic:cNvPicPr/>
                  </pic:nvPicPr>
                  <pic:blipFill>
                    <a:blip r:embed="rId12"/>
                    <a:stretch>
                      <a:fillRect/>
                    </a:stretch>
                  </pic:blipFill>
                  <pic:spPr>
                    <a:xfrm>
                      <a:off x="0" y="0"/>
                      <a:ext cx="4572000" cy="3822872"/>
                    </a:xfrm>
                    <a:prstGeom prst="rect"/>
                  </pic:spPr>
                </pic:pic>
              </a:graphicData>
            </a:graphic>
          </wp:inline>
        </w:drawing>
      </w:r>
    </w:p>
    <w:p>
      <w:pPr>
        <w:jc w:val="center"/>
      </w:pPr>
      <w:r>
        <w:t>图4  资金时间价值计算系统架构图</w:t>
      </w:r>
    </w:p>
    <w:p/>
    <w:p/>
    <w:p>
      <w:pPr>
        <w:jc w:val="center"/>
      </w:pPr>
      <w:r>
        <w:drawing>
          <wp:inline xmlns:a="http://schemas.openxmlformats.org/drawingml/2006/main" xmlns:pic="http://schemas.openxmlformats.org/drawingml/2006/picture">
            <wp:extent cx="4572000" cy="3074813"/>
            <wp:docPr id="6" name="Picture 6"/>
            <wp:cNvGraphicFramePr>
              <a:graphicFrameLocks noChangeAspect="1"/>
            </wp:cNvGraphicFramePr>
            <a:graphic>
              <a:graphicData uri="http://schemas.openxmlformats.org/drawingml/2006/picture">
                <pic:pic>
                  <pic:nvPicPr>
                    <pic:cNvPr id="0" name="图5_消费链路追溯示意图.png"/>
                    <pic:cNvPicPr/>
                  </pic:nvPicPr>
                  <pic:blipFill>
                    <a:blip r:embed="rId13"/>
                    <a:stretch>
                      <a:fillRect/>
                    </a:stretch>
                  </pic:blipFill>
                  <pic:spPr>
                    <a:xfrm>
                      <a:off x="0" y="0"/>
                      <a:ext cx="4572000" cy="3074813"/>
                    </a:xfrm>
                    <a:prstGeom prst="rect"/>
                  </pic:spPr>
                </pic:pic>
              </a:graphicData>
            </a:graphic>
          </wp:inline>
        </w:drawing>
      </w:r>
    </w:p>
    <w:p>
      <w:pPr>
        <w:jc w:val="center"/>
      </w:pPr>
      <w:r>
        <w:t>图5  消费链路追溯示意图</w:t>
      </w:r>
    </w:p>
    <w:p/>
    <w:p/>
    <w:p>
      <w:pPr>
        <w:jc w:val="center"/>
      </w:pPr>
      <w:r>
        <w:drawing>
          <wp:inline xmlns:a="http://schemas.openxmlformats.org/drawingml/2006/main" xmlns:pic="http://schemas.openxmlformats.org/drawingml/2006/picture">
            <wp:extent cx="4572000" cy="1981414"/>
            <wp:docPr id="7" name="Picture 7"/>
            <wp:cNvGraphicFramePr>
              <a:graphicFrameLocks noChangeAspect="1"/>
            </wp:cNvGraphicFramePr>
            <a:graphic>
              <a:graphicData uri="http://schemas.openxmlformats.org/drawingml/2006/picture">
                <pic:pic>
                  <pic:nvPicPr>
                    <pic:cNvPr id="0" name="图6_性能对比测试结果图.png"/>
                    <pic:cNvPicPr/>
                  </pic:nvPicPr>
                  <pic:blipFill>
                    <a:blip r:embed="rId14"/>
                    <a:stretch>
                      <a:fillRect/>
                    </a:stretch>
                  </pic:blipFill>
                  <pic:spPr>
                    <a:xfrm>
                      <a:off x="0" y="0"/>
                      <a:ext cx="4572000" cy="1981414"/>
                    </a:xfrm>
                    <a:prstGeom prst="rect"/>
                  </pic:spPr>
                </pic:pic>
              </a:graphicData>
            </a:graphic>
          </wp:inline>
        </w:drawing>
      </w:r>
    </w:p>
    <w:p>
      <w:pPr>
        <w:jc w:val="center"/>
      </w:pPr>
      <w:r>
        <w:t>图6  性能对比测试结果图</w:t>
      </w:r>
    </w:p>
    <w:p/>
    <w:p/>
    <w:p>
      <w:pPr>
        <w:jc w:val="center"/>
      </w:pPr>
      <w:r>
        <w:drawing>
          <wp:inline xmlns:a="http://schemas.openxmlformats.org/drawingml/2006/main" xmlns:pic="http://schemas.openxmlformats.org/drawingml/2006/picture">
            <wp:extent cx="4572000" cy="2724727"/>
            <wp:docPr id="8" name="Picture 8"/>
            <wp:cNvGraphicFramePr>
              <a:graphicFrameLocks noChangeAspect="1"/>
            </wp:cNvGraphicFramePr>
            <a:graphic>
              <a:graphicData uri="http://schemas.openxmlformats.org/drawingml/2006/picture">
                <pic:pic>
                  <pic:nvPicPr>
                    <pic:cNvPr id="0" name="图7_健康等级映射示意图.png"/>
                    <pic:cNvPicPr/>
                  </pic:nvPicPr>
                  <pic:blipFill>
                    <a:blip r:embed="rId15"/>
                    <a:stretch>
                      <a:fillRect/>
                    </a:stretch>
                  </pic:blipFill>
                  <pic:spPr>
                    <a:xfrm>
                      <a:off x="0" y="0"/>
                      <a:ext cx="4572000" cy="2724727"/>
                    </a:xfrm>
                    <a:prstGeom prst="rect"/>
                  </pic:spPr>
                </pic:pic>
              </a:graphicData>
            </a:graphic>
          </wp:inline>
        </w:drawing>
      </w:r>
    </w:p>
    <w:p>
      <w:pPr>
        <w:jc w:val="center"/>
      </w:pPr>
      <w:r>
        <w:t>图7  钱龄健康等级映射示意图</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