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发明专利申请书</w:t>
      </w:r>
    </w:p>
    <w:p/>
    <w:p>
      <w:pPr>
        <w:pStyle w:val="Heading1"/>
      </w:pPr>
      <w:r>
        <w:t>发明名称</w:t>
      </w:r>
    </w:p>
    <w:p>
      <w:r>
        <w:t>基于FIFO资源池模型的个人财务资金时间价值计算方法及系统</w:t>
      </w:r>
    </w:p>
    <w:p>
      <w:pPr>
        <w:pStyle w:val="Heading1"/>
      </w:pPr>
      <w:r>
        <w:t>技术领域</w:t>
      </w:r>
    </w:p>
    <w:p>
      <w:r>
        <w:rPr>
          <w:b/>
        </w:rPr>
        <w:t xml:space="preserve">[0001] </w:t>
      </w:r>
      <w:r>
        <w:t>本发明涉及数据处理技术领域，尤其涉及一种基于先进先出（FIFO）资源池模型的个人财务资金时间价值计算方法及系统。</w:t>
      </w:r>
    </w:p>
    <w:p>
      <w:pPr>
        <w:pStyle w:val="Heading1"/>
      </w:pPr>
      <w:r>
        <w:t>背景技术</w:t>
      </w:r>
    </w:p>
    <w:p>
      <w:r>
        <w:rPr>
          <w:b/>
        </w:rPr>
        <w:t xml:space="preserve">[0002] </w:t>
      </w:r>
      <w:r>
        <w:t>随着移动互联网和移动支付的普及，个人财务管理应用已成为用户日常生活的重要工具。根据艾瑞咨询《2024年中国个人财务管理行业研究报告》，国内记账类应用月活跃用户已超过8000万。然而，现有的记账应用在资金时间价值量化方面存在技术局限。</w:t>
      </w:r>
    </w:p>
    <w:p>
      <w:r>
        <w:rPr>
          <w:b/>
        </w:rPr>
        <w:t xml:space="preserve">[0003] </w:t>
      </w:r>
      <w:r>
        <w:t>现有技术一：中国专利CN110533518A公开了一种基于时间序列的个人财务分析方法，该方法通过记录用户的收支流水，生成时间序列数据进行趋势分析。然而，该方法仅关注收支趋势的统计分析，未涉及资金时间价值的量化计算，无法让用户了解每笔支出所消耗的资金究竟来自何时的收入。</w:t>
      </w:r>
    </w:p>
    <w:p>
      <w:r>
        <w:rPr>
          <w:b/>
        </w:rPr>
        <w:t xml:space="preserve">[0004] </w:t>
      </w:r>
      <w:r>
        <w:t>现有技术二：美国专利US10,430,873B2（YNAB公司）公开了一种"Age of Money"计算方法，采用滑动窗口平均算法计算资金平均存续时间。具体计算方式为：取最近N笔支出交易，对于每笔支出，计算该支出时间点距离某一收入时间点的天数差，然后取平均值。该方法存在以下技术缺陷：（1）采用简单平均而非加权平均，未考虑金额差异；（2）无法精确追溯每笔支出具体来自哪笔收入；（3）当用户修改历史交易时需要全量重算，计算复杂度为O(n²)。</w:t>
      </w:r>
    </w:p>
    <w:p>
      <w:r>
        <w:rPr>
          <w:b/>
        </w:rPr>
        <w:t xml:space="preserve">[0005] </w:t>
      </w:r>
      <w:r>
        <w:t>现有技术三：学术论文《Personal Finance Tracking with Machine Learning》（ACM CHI 2022）提出了基于机器学习的个人财务分析方法，但该方法侧重于消费分类和预测，未涉及资金来源追溯问题。</w:t>
      </w:r>
    </w:p>
    <w:p>
      <w:r>
        <w:rPr>
          <w:b/>
        </w:rPr>
        <w:t xml:space="preserve">[0006] </w:t>
      </w:r>
      <w:r>
        <w:t>现有技术存在以下共性技术问题：</w:t>
      </w:r>
    </w:p>
    <w:p>
      <w:r>
        <w:rPr>
          <w:b/>
        </w:rPr>
        <w:t xml:space="preserve">[0007] </w:t>
      </w:r>
      <w:r>
        <w:t>第一，缺乏精确的资金来源追溯机制。现有技术无法建立收入与支出之间的精确对应关系，用户无法知道某笔消费具体花的是哪笔收入，导致财务意识模糊。</w:t>
      </w:r>
    </w:p>
    <w:p>
      <w:r>
        <w:rPr>
          <w:b/>
        </w:rPr>
        <w:t xml:space="preserve">[0008] </w:t>
      </w:r>
      <w:r>
        <w:t>第二，资金时间价值计算精度不足。现有的简单平均算法未考虑金额权重，当用户有多笔不同金额的收入时，计算结果偏离实际情况。例如，用户1月收入1000元，2月收入9000元，若3月消费5000元，简单平均会认为资金来自1.5个月前，而实际上大部分资金来自2月。</w:t>
      </w:r>
    </w:p>
    <w:p>
      <w:r>
        <w:rPr>
          <w:b/>
        </w:rPr>
        <w:t xml:space="preserve">[0009] </w:t>
      </w:r>
      <w:r>
        <w:t>第三，计算效率问题。当用户修改历史交易（如补记一笔忘记的消费）时，现有技术需要对所有后续交易进行重算，在交易数量较大时（如超过10000笔）会产生明显的性能问题，影响用户体验。</w:t>
      </w:r>
    </w:p>
    <w:p>
      <w:r>
        <w:rPr>
          <w:b/>
        </w:rPr>
        <w:t xml:space="preserve">[0010] </w:t>
      </w:r>
      <w:r>
        <w:t>第四，缺乏标准化的数据结构。现有技术未定义用于追溯的数据模型，导致难以实现复杂的追溯查询功能。</w:t>
      </w:r>
    </w:p>
    <w:p>
      <w:r>
        <w:rPr>
          <w:b/>
        </w:rPr>
        <w:t xml:space="preserve">[0011] </w:t>
      </w:r>
      <w:r>
        <w:t>因此，需要一种新的技术方案，能够：（1）建立收入与支出之间的精确追溯链路；（2）采用加权算法精确计算资金时间价值；（3）支持增量计算以提高性能；（4）定义标准化的数据结构支持追溯查询。</w:t>
      </w:r>
    </w:p>
    <w:p>
      <w:pPr>
        <w:pStyle w:val="Heading1"/>
      </w:pPr>
      <w:r>
        <w:t>发明内容</w:t>
      </w:r>
    </w:p>
    <w:p>
      <w:r>
        <w:rPr>
          <w:b/>
        </w:rPr>
        <w:t xml:space="preserve">[0012] </w:t>
      </w:r>
      <w:r>
        <w:t>本发明要解决的技术问题是：如何精确计算个人财务的资金时间价值指标，实现每笔支出到收入来源的完整追溯，并在大数据量场景下保持高效的增量计算性能。</w:t>
      </w:r>
    </w:p>
    <w:p>
      <w:r>
        <w:rPr>
          <w:b/>
        </w:rPr>
        <w:t xml:space="preserve">[0013] </w:t>
      </w:r>
      <w:r>
        <w:t>为解决上述技术问题，本发明提供一种基于FIFO资源池模型的资金时间价值计算方法，其核心思想是：将每笔收入建模为一个"资源池"对象，当发生支出时按照先进先出原则依次消耗资源池中的资金，同时记录完整的消耗链路用于追溯和计算。</w:t>
      </w:r>
    </w:p>
    <w:p>
      <w:r>
        <w:rPr>
          <w:b/>
        </w:rPr>
        <w:t xml:space="preserve">[0014] </w:t>
      </w:r>
      <w:r>
        <w:t>本发明的技术方案包括以下步骤：</w:t>
      </w:r>
    </w:p>
    <w:p>
      <w:r>
        <w:rPr>
          <w:b/>
        </w:rPr>
        <w:t xml:space="preserve">[0015] </w:t>
      </w:r>
      <w:r>
        <w:t>步骤S1，资源池数据结构定义与创建：</w:t>
      </w:r>
    </w:p>
    <w:p>
      <w:r>
        <w:rPr>
          <w:b/>
        </w:rPr>
        <w:t xml:space="preserve">[0016] </w:t>
      </w:r>
      <w:r>
        <w:t>S1.1 定义资源池数据结构ResourcePool，包含以下字段：</w:t>
      </w:r>
    </w:p>
    <w:p/>
    <w:p>
      <w:pPr>
        <w:jc w:val="center"/>
      </w:pPr>
      <w:r>
        <w:rPr>
          <w:b/>
        </w:rPr>
        <w:t>表1：资源池数据结构定义</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字段名</w:t>
            </w:r>
          </w:p>
        </w:tc>
        <w:tc>
          <w:tcPr>
            <w:tcW w:type="dxa" w:w="3135"/>
          </w:tcPr>
          <w:p>
            <w:r>
              <w:rPr>
                <w:b/>
              </w:rPr>
              <w:t>数据类型</w:t>
            </w:r>
          </w:p>
        </w:tc>
        <w:tc>
          <w:tcPr>
            <w:tcW w:type="dxa" w:w="3135"/>
          </w:tcPr>
          <w:p>
            <w:r>
              <w:rPr>
                <w:b/>
              </w:rPr>
              <w:t>说明</w:t>
            </w:r>
          </w:p>
        </w:tc>
      </w:tr>
      <w:tr>
        <w:tc>
          <w:tcPr>
            <w:tcW w:type="dxa" w:w="3135"/>
          </w:tcPr>
          <w:p>
            <w:r>
              <w:t>pool_id</w:t>
            </w:r>
          </w:p>
        </w:tc>
        <w:tc>
          <w:tcPr>
            <w:tcW w:type="dxa" w:w="3135"/>
          </w:tcPr>
          <w:p>
            <w:r>
              <w:t>UUID</w:t>
            </w:r>
          </w:p>
        </w:tc>
        <w:tc>
          <w:tcPr>
            <w:tcW w:type="dxa" w:w="3135"/>
          </w:tcPr>
          <w:p>
            <w:r>
              <w:t>资源池唯一标识符</w:t>
            </w:r>
          </w:p>
        </w:tc>
      </w:tr>
      <w:tr>
        <w:tc>
          <w:tcPr>
            <w:tcW w:type="dxa" w:w="3135"/>
          </w:tcPr>
          <w:p>
            <w:r>
              <w:t>income_id</w:t>
            </w:r>
          </w:p>
        </w:tc>
        <w:tc>
          <w:tcPr>
            <w:tcW w:type="dxa" w:w="3135"/>
          </w:tcPr>
          <w:p>
            <w:r>
              <w:t>UUID</w:t>
            </w:r>
          </w:p>
        </w:tc>
        <w:tc>
          <w:tcPr>
            <w:tcW w:type="dxa" w:w="3135"/>
          </w:tcPr>
          <w:p>
            <w:r>
              <w:t>关联的收入交易ID</w:t>
            </w:r>
          </w:p>
        </w:tc>
      </w:tr>
      <w:tr>
        <w:tc>
          <w:tcPr>
            <w:tcW w:type="dxa" w:w="3135"/>
          </w:tcPr>
          <w:p>
            <w:r>
              <w:t>initial_amount</w:t>
            </w:r>
          </w:p>
        </w:tc>
        <w:tc>
          <w:tcPr>
            <w:tcW w:type="dxa" w:w="3135"/>
          </w:tcPr>
          <w:p>
            <w:r>
              <w:t>Decimal(15,2)</w:t>
            </w:r>
          </w:p>
        </w:tc>
        <w:tc>
          <w:tcPr>
            <w:tcW w:type="dxa" w:w="3135"/>
          </w:tcPr>
          <w:p>
            <w:r>
              <w:t>初始金额（分）</w:t>
            </w:r>
          </w:p>
        </w:tc>
      </w:tr>
      <w:tr>
        <w:tc>
          <w:tcPr>
            <w:tcW w:type="dxa" w:w="3135"/>
          </w:tcPr>
          <w:p>
            <w:r>
              <w:t>current_balance</w:t>
            </w:r>
          </w:p>
        </w:tc>
        <w:tc>
          <w:tcPr>
            <w:tcW w:type="dxa" w:w="3135"/>
          </w:tcPr>
          <w:p>
            <w:r>
              <w:t>Decimal(15,2)</w:t>
            </w:r>
          </w:p>
        </w:tc>
        <w:tc>
          <w:tcPr>
            <w:tcW w:type="dxa" w:w="3135"/>
          </w:tcPr>
          <w:p>
            <w:r>
              <w:t>当前余额（分）</w:t>
            </w:r>
          </w:p>
        </w:tc>
      </w:tr>
      <w:tr>
        <w:tc>
          <w:tcPr>
            <w:tcW w:type="dxa" w:w="3135"/>
          </w:tcPr>
          <w:p>
            <w:r>
              <w:t>income_timestamp</w:t>
            </w:r>
          </w:p>
        </w:tc>
        <w:tc>
          <w:tcPr>
            <w:tcW w:type="dxa" w:w="3135"/>
          </w:tcPr>
          <w:p>
            <w:r>
              <w:t>DateTime</w:t>
            </w:r>
          </w:p>
        </w:tc>
        <w:tc>
          <w:tcPr>
            <w:tcW w:type="dxa" w:w="3135"/>
          </w:tcPr>
          <w:p>
            <w:r>
              <w:t>收入时间戳（精确到秒）</w:t>
            </w:r>
          </w:p>
        </w:tc>
      </w:tr>
      <w:tr>
        <w:tc>
          <w:tcPr>
            <w:tcW w:type="dxa" w:w="3135"/>
          </w:tcPr>
          <w:p>
            <w:r>
              <w:t>status</w:t>
            </w:r>
          </w:p>
        </w:tc>
        <w:tc>
          <w:tcPr>
            <w:tcW w:type="dxa" w:w="3135"/>
          </w:tcPr>
          <w:p>
            <w:r>
              <w:t>Enum</w:t>
            </w:r>
          </w:p>
        </w:tc>
        <w:tc>
          <w:tcPr>
            <w:tcW w:type="dxa" w:w="3135"/>
          </w:tcPr>
          <w:p>
            <w:r>
              <w:t>状态：ACTIVE（活跃）/ EXHAUSTED（耗尽）</w:t>
            </w:r>
          </w:p>
        </w:tc>
      </w:tr>
      <w:tr>
        <w:tc>
          <w:tcPr>
            <w:tcW w:type="dxa" w:w="3135"/>
          </w:tcPr>
          <w:p>
            <w:r>
              <w:t>created_at</w:t>
            </w:r>
          </w:p>
        </w:tc>
        <w:tc>
          <w:tcPr>
            <w:tcW w:type="dxa" w:w="3135"/>
          </w:tcPr>
          <w:p>
            <w:r>
              <w:t>DateTime</w:t>
            </w:r>
          </w:p>
        </w:tc>
        <w:tc>
          <w:tcPr>
            <w:tcW w:type="dxa" w:w="3135"/>
          </w:tcPr>
          <w:p>
            <w:r>
              <w:t>创建时间</w:t>
            </w:r>
          </w:p>
        </w:tc>
      </w:tr>
      <w:tr>
        <w:tc>
          <w:tcPr>
            <w:tcW w:type="dxa" w:w="3135"/>
          </w:tcPr>
          <w:p>
            <w:r>
              <w:t>updated_at</w:t>
            </w:r>
          </w:p>
        </w:tc>
        <w:tc>
          <w:tcPr>
            <w:tcW w:type="dxa" w:w="3135"/>
          </w:tcPr>
          <w:p>
            <w:r>
              <w:t>DateTime</w:t>
            </w:r>
          </w:p>
        </w:tc>
        <w:tc>
          <w:tcPr>
            <w:tcW w:type="dxa" w:w="3135"/>
          </w:tcPr>
          <w:p>
            <w:r>
              <w:t>最后更新时间</w:t>
            </w:r>
          </w:p>
        </w:tc>
      </w:tr>
    </w:tbl>
    <w:p>
      <w:r>
        <w:rPr>
          <w:b/>
        </w:rPr>
        <w:t xml:space="preserve">[0017] </w:t>
      </w:r>
      <w:r>
        <w:t>S1.2 当检测到收入类型的交易事件时，触发资源池创建流程：从交易事件中提取收入金额A和收入时间T；生成唯一的资源池标识pool_id；创建资源池对象，设置initial_amount=A，current_balance=A，income_timestamp=T，status=ACTIVE；将资源池对象持久化存储到资源池表中。</w:t>
      </w:r>
    </w:p>
    <w:p>
      <w:r>
        <w:rPr>
          <w:b/>
        </w:rPr>
        <w:t xml:space="preserve">[0018] </w:t>
      </w:r>
      <w:r>
        <w:t>S1.3 维护资源池的有序队列：资源池按income_timestamp升序排列，形成时间有序队列Q，满足Q[i].income_timestamp ≤ Q[i+1].income_timestamp对于所有有效索引i成立。</w:t>
      </w:r>
    </w:p>
    <w:p>
      <w:r>
        <w:rPr>
          <w:b/>
        </w:rPr>
        <w:t xml:space="preserve">[0019] </w:t>
      </w:r>
      <w:r>
        <w:t>步骤S2，FIFO消耗算法：</w:t>
      </w:r>
    </w:p>
    <w:p>
      <w:r>
        <w:rPr>
          <w:b/>
        </w:rPr>
        <w:t xml:space="preserve">[0020] </w:t>
      </w:r>
      <w:r>
        <w:t>S2.1 定义消费链路数据结构ConsumptionLink，包含以下字段：</w:t>
      </w:r>
    </w:p>
    <w:p/>
    <w:p>
      <w:pPr>
        <w:jc w:val="center"/>
      </w:pPr>
      <w:r>
        <w:rPr>
          <w:b/>
        </w:rPr>
        <w:t>表2：消费链路数据结构定义</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字段名</w:t>
            </w:r>
          </w:p>
        </w:tc>
        <w:tc>
          <w:tcPr>
            <w:tcW w:type="dxa" w:w="3135"/>
          </w:tcPr>
          <w:p>
            <w:r>
              <w:rPr>
                <w:b/>
              </w:rPr>
              <w:t>数据类型</w:t>
            </w:r>
          </w:p>
        </w:tc>
        <w:tc>
          <w:tcPr>
            <w:tcW w:type="dxa" w:w="3135"/>
          </w:tcPr>
          <w:p>
            <w:r>
              <w:rPr>
                <w:b/>
              </w:rPr>
              <w:t>说明</w:t>
            </w:r>
          </w:p>
        </w:tc>
      </w:tr>
      <w:tr>
        <w:tc>
          <w:tcPr>
            <w:tcW w:type="dxa" w:w="3135"/>
          </w:tcPr>
          <w:p>
            <w:r>
              <w:t>link_id</w:t>
            </w:r>
          </w:p>
        </w:tc>
        <w:tc>
          <w:tcPr>
            <w:tcW w:type="dxa" w:w="3135"/>
          </w:tcPr>
          <w:p>
            <w:r>
              <w:t>UUID</w:t>
            </w:r>
          </w:p>
        </w:tc>
        <w:tc>
          <w:tcPr>
            <w:tcW w:type="dxa" w:w="3135"/>
          </w:tcPr>
          <w:p>
            <w:r>
              <w:t>链路唯一标识符</w:t>
            </w:r>
          </w:p>
        </w:tc>
      </w:tr>
      <w:tr>
        <w:tc>
          <w:tcPr>
            <w:tcW w:type="dxa" w:w="3135"/>
          </w:tcPr>
          <w:p>
            <w:r>
              <w:t>expense_id</w:t>
            </w:r>
          </w:p>
        </w:tc>
        <w:tc>
          <w:tcPr>
            <w:tcW w:type="dxa" w:w="3135"/>
          </w:tcPr>
          <w:p>
            <w:r>
              <w:t>UUID</w:t>
            </w:r>
          </w:p>
        </w:tc>
        <w:tc>
          <w:tcPr>
            <w:tcW w:type="dxa" w:w="3135"/>
          </w:tcPr>
          <w:p>
            <w:r>
              <w:t>支出交易ID</w:t>
            </w:r>
          </w:p>
        </w:tc>
      </w:tr>
      <w:tr>
        <w:tc>
          <w:tcPr>
            <w:tcW w:type="dxa" w:w="3135"/>
          </w:tcPr>
          <w:p>
            <w:r>
              <w:t>pool_id</w:t>
            </w:r>
          </w:p>
        </w:tc>
        <w:tc>
          <w:tcPr>
            <w:tcW w:type="dxa" w:w="3135"/>
          </w:tcPr>
          <w:p>
            <w:r>
              <w:t>UUID</w:t>
            </w:r>
          </w:p>
        </w:tc>
        <w:tc>
          <w:tcPr>
            <w:tcW w:type="dxa" w:w="3135"/>
          </w:tcPr>
          <w:p>
            <w:r>
              <w:t>被消耗的资源池ID</w:t>
            </w:r>
          </w:p>
        </w:tc>
      </w:tr>
      <w:tr>
        <w:tc>
          <w:tcPr>
            <w:tcW w:type="dxa" w:w="3135"/>
          </w:tcPr>
          <w:p>
            <w:r>
              <w:t>consumed_amount</w:t>
            </w:r>
          </w:p>
        </w:tc>
        <w:tc>
          <w:tcPr>
            <w:tcW w:type="dxa" w:w="3135"/>
          </w:tcPr>
          <w:p>
            <w:r>
              <w:t>Decimal(15,2)</w:t>
            </w:r>
          </w:p>
        </w:tc>
        <w:tc>
          <w:tcPr>
            <w:tcW w:type="dxa" w:w="3135"/>
          </w:tcPr>
          <w:p>
            <w:r>
              <w:t>消耗金额（分）</w:t>
            </w:r>
          </w:p>
        </w:tc>
      </w:tr>
      <w:tr>
        <w:tc>
          <w:tcPr>
            <w:tcW w:type="dxa" w:w="3135"/>
          </w:tcPr>
          <w:p>
            <w:r>
              <w:t>pool_income_time</w:t>
            </w:r>
          </w:p>
        </w:tc>
        <w:tc>
          <w:tcPr>
            <w:tcW w:type="dxa" w:w="3135"/>
          </w:tcPr>
          <w:p>
            <w:r>
              <w:t>DateTime</w:t>
            </w:r>
          </w:p>
        </w:tc>
        <w:tc>
          <w:tcPr>
            <w:tcW w:type="dxa" w:w="3135"/>
          </w:tcPr>
          <w:p>
            <w:r>
              <w:t>资源池收入时间</w:t>
            </w:r>
          </w:p>
        </w:tc>
      </w:tr>
      <w:tr>
        <w:tc>
          <w:tcPr>
            <w:tcW w:type="dxa" w:w="3135"/>
          </w:tcPr>
          <w:p>
            <w:r>
              <w:t>expense_time</w:t>
            </w:r>
          </w:p>
        </w:tc>
        <w:tc>
          <w:tcPr>
            <w:tcW w:type="dxa" w:w="3135"/>
          </w:tcPr>
          <w:p>
            <w:r>
              <w:t>DateTime</w:t>
            </w:r>
          </w:p>
        </w:tc>
        <w:tc>
          <w:tcPr>
            <w:tcW w:type="dxa" w:w="3135"/>
          </w:tcPr>
          <w:p>
            <w:r>
              <w:t>支出发生时间</w:t>
            </w:r>
          </w:p>
        </w:tc>
      </w:tr>
      <w:tr>
        <w:tc>
          <w:tcPr>
            <w:tcW w:type="dxa" w:w="3135"/>
          </w:tcPr>
          <w:p>
            <w:r>
              <w:t>age_days</w:t>
            </w:r>
          </w:p>
        </w:tc>
        <w:tc>
          <w:tcPr>
            <w:tcW w:type="dxa" w:w="3135"/>
          </w:tcPr>
          <w:p>
            <w:r>
              <w:t>Integer</w:t>
            </w:r>
          </w:p>
        </w:tc>
        <w:tc>
          <w:tcPr>
            <w:tcW w:type="dxa" w:w="3135"/>
          </w:tcPr>
          <w:p>
            <w:r>
              <w:t>该链路的钱龄（天）</w:t>
            </w:r>
          </w:p>
        </w:tc>
      </w:tr>
    </w:tbl>
    <w:p>
      <w:r>
        <w:rPr>
          <w:b/>
        </w:rPr>
        <w:t xml:space="preserve">[0021] </w:t>
      </w:r>
      <w:r>
        <w:t>S2.2 当检测到支出类型的交易事件时，执行FIFO消耗算法。设支出金额为E，支出时间为Te，算法流程如下：</w:t>
      </w:r>
    </w:p>
    <w:p>
      <w:r>
        <w:rPr>
          <w:b/>
        </w:rPr>
        <w:t xml:space="preserve">[0022] </w:t>
      </w:r>
      <w:r>
        <w:t>S2.2.1 初始化：设剩余待消耗金额R=E，消费链路列表L=空列表。</w:t>
      </w:r>
    </w:p>
    <w:p>
      <w:r>
        <w:rPr>
          <w:b/>
        </w:rPr>
        <w:t xml:space="preserve">[0023] </w:t>
      </w:r>
      <w:r>
        <w:t>S2.2.2 获取活跃资源池：查询所有status=ACTIVE的资源池，按income_timestamp升序排列，得到有序列表P=[P₁, P₂, ..., Pₙ]。</w:t>
      </w:r>
    </w:p>
    <w:p>
      <w:r>
        <w:rPr>
          <w:b/>
        </w:rPr>
        <w:t xml:space="preserve">[0024] </w:t>
      </w:r>
      <w:r>
        <w:t>S2.2.3 循环消耗：对于每个资源池Pᵢ（按时间升序遍历），执行以下判断：若R ≤ Pᵢ.current_balance，则从Pᵢ扣减R，即Pᵢ.current_balance = Pᵢ.current_balance - R；计算链路钱龄age = (Te - Pᵢ.income_timestamp).days；创建消费链路记录(expense_id, Pᵢ.pool_id, R, Pᵢ.income_timestamp, Te, age)并加入L；设R=0，退出循环。若R &gt; Pᵢ.current_balance，则消耗Pᵢ的全部余额C = Pᵢ.current_balance；设Pᵢ.current_balance = 0，Pᵢ.status = EXHAUSTED；计算链路钱龄age = (Te - Pᵢ.income_timestamp).days；创建消费链路记录(expense_id, Pᵢ.pool_id, C, Pᵢ.income_timestamp, Te, age)并加入L；设R = R - C，继续处理下一个资源池。</w:t>
      </w:r>
    </w:p>
    <w:p>
      <w:r>
        <w:rPr>
          <w:b/>
        </w:rPr>
        <w:t xml:space="preserve">[0025] </w:t>
      </w:r>
      <w:r>
        <w:t>S2.2.4 异常处理：若遍历完所有活跃资源池后R &gt; 0，表示支出金额超过可用资金总额，此时创建一条特殊的"透支"链路记录，标记pool_id为空，用于后续的财务预警。</w:t>
      </w:r>
    </w:p>
    <w:p>
      <w:r>
        <w:rPr>
          <w:b/>
        </w:rPr>
        <w:t xml:space="preserve">[0026] </w:t>
      </w:r>
      <w:r>
        <w:t>S2.2.5 持久化：将消费链路列表L批量写入消费链路表，更新涉及的资源池状态。</w:t>
      </w:r>
    </w:p>
    <w:p>
      <w:r>
        <w:rPr>
          <w:b/>
        </w:rPr>
        <w:t xml:space="preserve">[0027] </w:t>
      </w:r>
      <w:r>
        <w:t>步骤S3，资金时间价值（钱龄）计算：</w:t>
      </w:r>
    </w:p>
    <w:p>
      <w:r>
        <w:rPr>
          <w:b/>
        </w:rPr>
        <w:t xml:space="preserve">[0028] </w:t>
      </w:r>
      <w:r>
        <w:t>S3.1 单笔交易钱龄计算：对于支出交易E，其钱龄Age(E)定义为该交易所有消费链路的加权平均钱龄。设该交易有k条消费链路，第i条链路的消耗金额为aᵢ，链路钱龄为dᵢ（天），则：</w:t>
      </w:r>
    </w:p>
    <w:p/>
    <w:p>
      <w:pPr>
        <w:jc w:val="center"/>
      </w:pPr>
      <w:r>
        <w:rPr>
          <w:i/>
        </w:rPr>
        <w:t>Age(E) = Σ(aᵢ × dᵢ) / Σ(aᵢ)  其中 i = 1, 2, ..., k</w:t>
      </w:r>
    </w:p>
    <w:p>
      <w:r>
        <w:rPr>
          <w:b/>
        </w:rPr>
        <w:t xml:space="preserve">[0029] </w:t>
      </w:r>
      <w:r>
        <w:t>S3.2 账户整体钱龄计算：账户整体钱龄Age_total定义为所有活跃资源池的加权平均存活天数。设有m个活跃资源池，第j个资源池的当前余额为bⱼ，存活天数为tⱼ（当前时间减去收入时间），则：</w:t>
      </w:r>
    </w:p>
    <w:p/>
    <w:p>
      <w:pPr>
        <w:jc w:val="center"/>
      </w:pPr>
      <w:r>
        <w:rPr>
          <w:i/>
        </w:rPr>
        <w:t>Age_total = Σ(bⱼ × tⱼ) / Σ(bⱼ)  其中 j = 1, 2, ..., m</w:t>
      </w:r>
    </w:p>
    <w:p>
      <w:r>
        <w:rPr>
          <w:b/>
        </w:rPr>
        <w:t xml:space="preserve">[0030] </w:t>
      </w:r>
      <w:r>
        <w:t>S3.3 分时段钱龄计算：支持按日、周、月统计钱龄变化趋势。对于时间区间[T₁, T₂]内的所有支出，计算区间平均钱龄：</w:t>
      </w:r>
    </w:p>
    <w:p/>
    <w:p>
      <w:pPr>
        <w:jc w:val="center"/>
      </w:pPr>
      <w:r>
        <w:rPr>
          <w:i/>
        </w:rPr>
        <w:t>Age_period = Σ(Eᵢ × Age(Eᵢ)) / Σ(Eᵢ)  对于所有T₁ ≤ Eᵢ.time ≤ T₂</w:t>
      </w:r>
    </w:p>
    <w:p>
      <w:r>
        <w:rPr>
          <w:b/>
        </w:rPr>
        <w:t xml:space="preserve">[0031] </w:t>
      </w:r>
      <w:r>
        <w:t>步骤S4，增量计算优化：</w:t>
      </w:r>
    </w:p>
    <w:p>
      <w:r>
        <w:rPr>
          <w:b/>
        </w:rPr>
        <w:t xml:space="preserve">[0032] </w:t>
      </w:r>
      <w:r>
        <w:t>S4.1 脏数据标记机制：定义资源池脏标记DirtyMark数据结构，包含字段：pool_id（资源池ID）、dirty_from（脏数据起始时间）、reason（原因：INSERT/UPDATE/DELETE）。</w:t>
      </w:r>
    </w:p>
    <w:p>
      <w:r>
        <w:rPr>
          <w:b/>
        </w:rPr>
        <w:t xml:space="preserve">[0033] </w:t>
      </w:r>
      <w:r>
        <w:t>S4.2 变更检测与标记：当交易发生变更时，按以下规则标记脏数据：（1）新增收入交易：创建新资源池，标记该资源池及其后所有资源池为脏；（2）修改收入金额：标记对应资源池及其后所有资源池为脏；（3）删除收入交易：删除对应资源池，标记其后所有资源池为脏；（4）新增/修改/删除支出交易：标记该交易时间点之后的所有资源池为脏。</w:t>
      </w:r>
    </w:p>
    <w:p>
      <w:r>
        <w:rPr>
          <w:b/>
        </w:rPr>
        <w:t xml:space="preserve">[0034] </w:t>
      </w:r>
      <w:r>
        <w:t>S4.3 增量重算流程：获取所有脏标记，确定最早的dirty_from时间点Tmin；回滚Tmin之后的所有消费链路记录；恢复涉及的资源池余额和状态；获取Tmin之后的所有支出交易，按时间升序重新执行FIFO消耗算法；清除所有脏标记。</w:t>
      </w:r>
    </w:p>
    <w:p>
      <w:r>
        <w:rPr>
          <w:b/>
        </w:rPr>
        <w:t xml:space="preserve">[0035] </w:t>
      </w:r>
      <w:r>
        <w:t>S4.4 计算复杂度分析：设总交易数为N，变更影响的交易数为K，则增量计算复杂度为O(K)，相比全量重算的O(N)有显著优化。当K &lt;&lt; N时，性能提升可达数量级。</w:t>
      </w:r>
    </w:p>
    <w:p>
      <w:r>
        <w:rPr>
          <w:b/>
        </w:rPr>
        <w:t xml:space="preserve">[0036] </w:t>
      </w:r>
      <w:r>
        <w:t>步骤S5，健康等级映射与评估：</w:t>
      </w:r>
    </w:p>
    <w:p>
      <w:r>
        <w:rPr>
          <w:b/>
        </w:rPr>
        <w:t xml:space="preserve">[0037] </w:t>
      </w:r>
      <w:r>
        <w:t>S5.1 定义六级健康等级体系：</w:t>
      </w:r>
    </w:p>
    <w:p/>
    <w:p>
      <w:pPr>
        <w:jc w:val="center"/>
      </w:pPr>
      <w:r>
        <w:rPr>
          <w:b/>
        </w:rPr>
        <w:t>表3：钱龄健康等级映射表</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等级</w:t>
            </w:r>
          </w:p>
        </w:tc>
        <w:tc>
          <w:tcPr>
            <w:tcW w:type="dxa" w:w="2351"/>
          </w:tcPr>
          <w:p>
            <w:r>
              <w:rPr>
                <w:b/>
              </w:rPr>
              <w:t>钱龄范围（天）</w:t>
            </w:r>
          </w:p>
        </w:tc>
        <w:tc>
          <w:tcPr>
            <w:tcW w:type="dxa" w:w="2351"/>
          </w:tcPr>
          <w:p>
            <w:r>
              <w:rPr>
                <w:b/>
              </w:rPr>
              <w:t>等级名称</w:t>
            </w:r>
          </w:p>
        </w:tc>
        <w:tc>
          <w:tcPr>
            <w:tcW w:type="dxa" w:w="2351"/>
          </w:tcPr>
          <w:p>
            <w:r>
              <w:rPr>
                <w:b/>
              </w:rPr>
              <w:t>财务状态描述</w:t>
            </w:r>
          </w:p>
        </w:tc>
      </w:tr>
      <w:tr>
        <w:tc>
          <w:tcPr>
            <w:tcW w:type="dxa" w:w="2351"/>
          </w:tcPr>
          <w:p>
            <w:r>
              <w:t>L1</w:t>
            </w:r>
          </w:p>
        </w:tc>
        <w:tc>
          <w:tcPr>
            <w:tcW w:type="dxa" w:w="2351"/>
          </w:tcPr>
          <w:p>
            <w:r>
              <w:t>0-6</w:t>
            </w:r>
          </w:p>
        </w:tc>
        <w:tc>
          <w:tcPr>
            <w:tcW w:type="dxa" w:w="2351"/>
          </w:tcPr>
          <w:p>
            <w:r>
              <w:t>月光级</w:t>
            </w:r>
          </w:p>
        </w:tc>
        <w:tc>
          <w:tcPr>
            <w:tcW w:type="dxa" w:w="2351"/>
          </w:tcPr>
          <w:p>
            <w:r>
              <w:t>财务缓冲极度不足，收入即支出</w:t>
            </w:r>
          </w:p>
        </w:tc>
      </w:tr>
      <w:tr>
        <w:tc>
          <w:tcPr>
            <w:tcW w:type="dxa" w:w="2351"/>
          </w:tcPr>
          <w:p>
            <w:r>
              <w:t>L2</w:t>
            </w:r>
          </w:p>
        </w:tc>
        <w:tc>
          <w:tcPr>
            <w:tcW w:type="dxa" w:w="2351"/>
          </w:tcPr>
          <w:p>
            <w:r>
              <w:t>7-13</w:t>
            </w:r>
          </w:p>
        </w:tc>
        <w:tc>
          <w:tcPr>
            <w:tcW w:type="dxa" w:w="2351"/>
          </w:tcPr>
          <w:p>
            <w:r>
              <w:t>紧张级</w:t>
            </w:r>
          </w:p>
        </w:tc>
        <w:tc>
          <w:tcPr>
            <w:tcW w:type="dxa" w:w="2351"/>
          </w:tcPr>
          <w:p>
            <w:r>
              <w:t>财务缓冲不足，抗风险能力弱</w:t>
            </w:r>
          </w:p>
        </w:tc>
      </w:tr>
      <w:tr>
        <w:tc>
          <w:tcPr>
            <w:tcW w:type="dxa" w:w="2351"/>
          </w:tcPr>
          <w:p>
            <w:r>
              <w:t>L3</w:t>
            </w:r>
          </w:p>
        </w:tc>
        <w:tc>
          <w:tcPr>
            <w:tcW w:type="dxa" w:w="2351"/>
          </w:tcPr>
          <w:p>
            <w:r>
              <w:t>14-29</w:t>
            </w:r>
          </w:p>
        </w:tc>
        <w:tc>
          <w:tcPr>
            <w:tcW w:type="dxa" w:w="2351"/>
          </w:tcPr>
          <w:p>
            <w:r>
              <w:t>一般级</w:t>
            </w:r>
          </w:p>
        </w:tc>
        <w:tc>
          <w:tcPr>
            <w:tcW w:type="dxa" w:w="2351"/>
          </w:tcPr>
          <w:p>
            <w:r>
              <w:t>财务状况一般，有基本缓冲</w:t>
            </w:r>
          </w:p>
        </w:tc>
      </w:tr>
      <w:tr>
        <w:tc>
          <w:tcPr>
            <w:tcW w:type="dxa" w:w="2351"/>
          </w:tcPr>
          <w:p>
            <w:r>
              <w:t>L4</w:t>
            </w:r>
          </w:p>
        </w:tc>
        <w:tc>
          <w:tcPr>
            <w:tcW w:type="dxa" w:w="2351"/>
          </w:tcPr>
          <w:p>
            <w:r>
              <w:t>30-59</w:t>
            </w:r>
          </w:p>
        </w:tc>
        <w:tc>
          <w:tcPr>
            <w:tcW w:type="dxa" w:w="2351"/>
          </w:tcPr>
          <w:p>
            <w:r>
              <w:t>健康级</w:t>
            </w:r>
          </w:p>
        </w:tc>
        <w:tc>
          <w:tcPr>
            <w:tcW w:type="dxa" w:w="2351"/>
          </w:tcPr>
          <w:p>
            <w:r>
              <w:t>财务状况良好，有月度缓冲</w:t>
            </w:r>
          </w:p>
        </w:tc>
      </w:tr>
      <w:tr>
        <w:tc>
          <w:tcPr>
            <w:tcW w:type="dxa" w:w="2351"/>
          </w:tcPr>
          <w:p>
            <w:r>
              <w:t>L5</w:t>
            </w:r>
          </w:p>
        </w:tc>
        <w:tc>
          <w:tcPr>
            <w:tcW w:type="dxa" w:w="2351"/>
          </w:tcPr>
          <w:p>
            <w:r>
              <w:t>60-89</w:t>
            </w:r>
          </w:p>
        </w:tc>
        <w:tc>
          <w:tcPr>
            <w:tcW w:type="dxa" w:w="2351"/>
          </w:tcPr>
          <w:p>
            <w:r>
              <w:t>优秀级</w:t>
            </w:r>
          </w:p>
        </w:tc>
        <w:tc>
          <w:tcPr>
            <w:tcW w:type="dxa" w:w="2351"/>
          </w:tcPr>
          <w:p>
            <w:r>
              <w:t>财务状况优秀，有双月缓冲</w:t>
            </w:r>
          </w:p>
        </w:tc>
      </w:tr>
      <w:tr>
        <w:tc>
          <w:tcPr>
            <w:tcW w:type="dxa" w:w="2351"/>
          </w:tcPr>
          <w:p>
            <w:r>
              <w:t>L6</w:t>
            </w:r>
          </w:p>
        </w:tc>
        <w:tc>
          <w:tcPr>
            <w:tcW w:type="dxa" w:w="2351"/>
          </w:tcPr>
          <w:p>
            <w:r>
              <w:t>≥90</w:t>
            </w:r>
          </w:p>
        </w:tc>
        <w:tc>
          <w:tcPr>
            <w:tcW w:type="dxa" w:w="2351"/>
          </w:tcPr>
          <w:p>
            <w:r>
              <w:t>理想级</w:t>
            </w:r>
          </w:p>
        </w:tc>
        <w:tc>
          <w:tcPr>
            <w:tcW w:type="dxa" w:w="2351"/>
          </w:tcPr>
          <w:p>
            <w:r>
              <w:t>财务状况理想，有季度以上缓冲</w:t>
            </w:r>
          </w:p>
        </w:tc>
      </w:tr>
    </w:tbl>
    <w:p>
      <w:r>
        <w:rPr>
          <w:b/>
        </w:rPr>
        <w:t xml:space="preserve">[0038] </w:t>
      </w:r>
      <w:r>
        <w:t>S5.2 等级变化追踪：系统记录用户钱龄等级的历史变化，当等级发生变化时生成通知事件，支持用户设置等级目标和提醒。</w:t>
      </w:r>
    </w:p>
    <w:p>
      <w:r>
        <w:rPr>
          <w:b/>
        </w:rPr>
        <w:t xml:space="preserve">[0039] </w:t>
      </w:r>
      <w:r>
        <w:t>步骤S6，双向追溯查询：</w:t>
      </w:r>
    </w:p>
    <w:p>
      <w:r>
        <w:rPr>
          <w:b/>
        </w:rPr>
        <w:t xml:space="preserve">[0040] </w:t>
      </w:r>
      <w:r>
        <w:t>S6.1 支出来源追溯：输入支出交易ID，查询消费链路表，返回该笔支出消耗的所有资源池信息，包括每个资源池的收入时间、消耗金额、对应钱龄。数据格式为JSON数组。</w:t>
      </w:r>
    </w:p>
    <w:p>
      <w:r>
        <w:rPr>
          <w:b/>
        </w:rPr>
        <w:t xml:space="preserve">[0041] </w:t>
      </w:r>
      <w:r>
        <w:t>S6.2 收入去向追溯：输入收入交易ID（对应资源池ID），查询消费链路表，返回该笔收入被哪些支出消耗的信息，包括每笔支出的时间、金额、消耗占比。</w:t>
      </w:r>
    </w:p>
    <w:p>
      <w:r>
        <w:rPr>
          <w:b/>
        </w:rPr>
        <w:t xml:space="preserve">[0042] </w:t>
      </w:r>
      <w:r>
        <w:t>S6.3 追溯可视化：基于追溯数据生成桑基图，直观展示资金从收入到支出的流向。</w:t>
      </w:r>
    </w:p>
    <w:p>
      <w:pPr>
        <w:pStyle w:val="Heading1"/>
      </w:pPr>
      <w:r>
        <w:t>附图说明</w:t>
      </w:r>
    </w:p>
    <w:p>
      <w:r>
        <w:rPr>
          <w:b/>
        </w:rPr>
        <w:t xml:space="preserve">[0043] </w:t>
      </w:r>
      <w:r>
        <w:t>图1是本发明实施例提供的FIFO资源池模型架构示意图；</w:t>
      </w:r>
    </w:p>
    <w:p>
      <w:r>
        <w:rPr>
          <w:b/>
        </w:rPr>
        <w:t xml:space="preserve">[0044] </w:t>
      </w:r>
      <w:r>
        <w:t>图2是本发明实施例提供的FIFO消耗算法流程图；</w:t>
      </w:r>
    </w:p>
    <w:p>
      <w:r>
        <w:rPr>
          <w:b/>
        </w:rPr>
        <w:t xml:space="preserve">[0045] </w:t>
      </w:r>
      <w:r>
        <w:t>图3是本发明实施例提供的资金时间价值计算流程图；</w:t>
      </w:r>
    </w:p>
    <w:p>
      <w:r>
        <w:rPr>
          <w:b/>
        </w:rPr>
        <w:t xml:space="preserve">[0046] </w:t>
      </w:r>
      <w:r>
        <w:t>图4是本发明实施例提供的增量计算优化流程图；</w:t>
      </w:r>
    </w:p>
    <w:p>
      <w:r>
        <w:rPr>
          <w:b/>
        </w:rPr>
        <w:t xml:space="preserve">[0047] </w:t>
      </w:r>
      <w:r>
        <w:t>图5是本发明实施例提供的消费链路追溯示意图；</w:t>
      </w:r>
    </w:p>
    <w:p>
      <w:r>
        <w:rPr>
          <w:b/>
        </w:rPr>
        <w:t xml:space="preserve">[0048] </w:t>
      </w:r>
      <w:r>
        <w:t>图6是本发明实施例提供的系统架构图；</w:t>
      </w:r>
    </w:p>
    <w:p>
      <w:r>
        <w:rPr>
          <w:b/>
        </w:rPr>
        <w:t xml:space="preserve">[0049] </w:t>
      </w:r>
      <w:r>
        <w:t>图7是本发明实施例提供的性能对比测试结果图。</w:t>
      </w:r>
    </w:p>
    <w:p>
      <w:pPr>
        <w:pStyle w:val="Heading1"/>
      </w:pPr>
      <w:r>
        <w:t>具体实施方式</w:t>
      </w:r>
    </w:p>
    <w:p>
      <w:r>
        <w:rPr>
          <w:b/>
        </w:rPr>
        <w:t xml:space="preserve">[0050] </w:t>
      </w:r>
      <w:r>
        <w:t>下面结合附图和具体实施例对本发明作进一步详细说明。</w:t>
      </w:r>
    </w:p>
    <w:p>
      <w:r>
        <w:rPr>
          <w:b/>
        </w:rPr>
        <w:t xml:space="preserve">[0051] </w:t>
      </w:r>
      <w:r>
        <w:t>实施例一：基础钱龄计算场景</w:t>
      </w:r>
    </w:p>
    <w:p>
      <w:r>
        <w:rPr>
          <w:b/>
        </w:rPr>
        <w:t xml:space="preserve">[0052] </w:t>
      </w:r>
      <w:r>
        <w:t>用户张先生在2024年1月1日收到工资收入8000元。系统检测到该收入交易后，创建资源池P1，属性为：pool_id=UUID("a1b2c3...")，initial_amount=800000（单位：分），current_balance=800000，income_timestamp=2024-01-01 09:00:00，status=ACTIVE。</w:t>
      </w:r>
    </w:p>
    <w:p>
      <w:r>
        <w:rPr>
          <w:b/>
        </w:rPr>
        <w:t xml:space="preserve">[0053] </w:t>
      </w:r>
      <w:r>
        <w:t>2024年1月15日，张先生消费2000元购买商品。系统执行FIFO消耗算法：获取活跃资源池列表[P1]；剩余待消耗R=200000分；P1.current_balance=800000 &gt; R，从P1扣减200000分；P1.current_balance更新为600000分；创建消费链路：link_id=UUID("d4e5f6...")，expense_id=当前支出ID，pool_id=P1.pool_id，consumed_amount=200000，pool_income_time=2024-01-01，expense_time=2024-01-15，age_days=14。</w:t>
      </w:r>
    </w:p>
    <w:p>
      <w:r>
        <w:rPr>
          <w:b/>
        </w:rPr>
        <w:t xml:space="preserve">[0054] </w:t>
      </w:r>
      <w:r>
        <w:t>该笔支出的钱龄计算：Age = (200000 × 14) / 200000 = 14天。表示这笔消费花的是14天前赚的钱，健康等级为"一般级"。</w:t>
      </w:r>
    </w:p>
    <w:p>
      <w:r>
        <w:rPr>
          <w:b/>
        </w:rPr>
        <w:t xml:space="preserve">[0055] </w:t>
      </w:r>
      <w:r>
        <w:t>实施例二：跨资源池消费场景</w:t>
      </w:r>
    </w:p>
    <w:p>
      <w:r>
        <w:rPr>
          <w:b/>
        </w:rPr>
        <w:t xml:space="preserve">[0056] </w:t>
      </w:r>
      <w:r>
        <w:t>延续实施例一，假设张先生在2024年2月1日又收到工资8000元。系统创建资源池P2，income_timestamp=2024-02-01。此时活跃资源池队列为[P1(余额6000元，存活45天), P2(余额8000元，存活0天)]。</w:t>
      </w:r>
    </w:p>
    <w:p>
      <w:r>
        <w:rPr>
          <w:b/>
        </w:rPr>
        <w:t xml:space="preserve">[0057] </w:t>
      </w:r>
      <w:r>
        <w:t>2024年2月15日，张先生消费8000元。系统执行FIFO消耗：获取活跃资源池列表[P1, P2]（按时间升序）；剩余待消耗R=800000分；处理P1：P1.current_balance=600000 &lt; R，消耗P1全部600000分，P1标记为EXHAUSTED，R=200000分；处理P2：P2.current_balance=800000 &gt; R，从P2扣减200000分，R=0，结束。</w:t>
      </w:r>
    </w:p>
    <w:p>
      <w:r>
        <w:rPr>
          <w:b/>
        </w:rPr>
        <w:t xml:space="preserve">[0058] </w:t>
      </w:r>
      <w:r>
        <w:t>该笔支出产生两条消费链路：链路1：consumed_amount=600000，age_days=45（来自P1）；链路2：consumed_amount=200000，age_days=14（来自P2）。</w:t>
      </w:r>
    </w:p>
    <w:p>
      <w:r>
        <w:rPr>
          <w:b/>
        </w:rPr>
        <w:t xml:space="preserve">[0059] </w:t>
      </w:r>
      <w:r>
        <w:t>钱龄计算：Age = (600000×45 + 200000×14) / 800000 = (27000000 + 2800000) / 800000 = 37.25天。该结果准确反映了资金的加权平均年龄。</w:t>
      </w:r>
    </w:p>
    <w:p>
      <w:r>
        <w:rPr>
          <w:b/>
        </w:rPr>
        <w:t xml:space="preserve">[0060] </w:t>
      </w:r>
      <w:r>
        <w:t>实施例三：增量计算优化场景</w:t>
      </w:r>
    </w:p>
    <w:p>
      <w:r>
        <w:rPr>
          <w:b/>
        </w:rPr>
        <w:t xml:space="preserve">[0061] </w:t>
      </w:r>
      <w:r>
        <w:t>假设用户发现遗漏了1月10日的一笔500元消费，需要补记。系统执行增量更新：检测到新增支出交易，时间为1月10日；标记1月10日之后涉及的资源池P1为脏；回滚1月10日之后的消费链路（实施例一中1月15日的消费）；恢复P1.current_balance为800000分；按时间顺序重新执行FIFO消耗：先处理1月10日的500元消费，再处理1月15日的2000元消费；更新相关钱龄值。</w:t>
      </w:r>
    </w:p>
    <w:p>
      <w:r>
        <w:rPr>
          <w:b/>
        </w:rPr>
        <w:t xml:space="preserve">[0062] </w:t>
      </w:r>
      <w:r>
        <w:t>性能测试数据：在包含10000笔交易的测试场景下，全量重算耗时约2000毫秒，增量重算（修改最近一笔交易）耗时约15毫秒，性能提升约133倍。</w:t>
      </w:r>
    </w:p>
    <w:p>
      <w:r>
        <w:rPr>
          <w:b/>
        </w:rPr>
        <w:t xml:space="preserve">[0063] </w:t>
      </w:r>
      <w:r>
        <w:t>实施例四：多收入源场景</w:t>
      </w:r>
    </w:p>
    <w:p>
      <w:r>
        <w:rPr>
          <w:b/>
        </w:rPr>
        <w:t xml:space="preserve">[0064] </w:t>
      </w:r>
      <w:r>
        <w:t>用户李女士同时有工资收入和兼职收入。1月1日工资5000元（P1），1月5日兼职收入2000元（P2），1月10日工资奖金1000元（P3）。资源池队列为[P1, P2, P3]。</w:t>
      </w:r>
    </w:p>
    <w:p>
      <w:r>
        <w:rPr>
          <w:b/>
        </w:rPr>
        <w:t xml:space="preserve">[0065] </w:t>
      </w:r>
      <w:r>
        <w:t>1月20日消费6000元。FIFO消耗顺序：P1全部消耗（5000元，钱龄19天）→P2部分消耗（1000元，钱龄15天）。</w:t>
      </w:r>
    </w:p>
    <w:p>
      <w:r>
        <w:rPr>
          <w:b/>
        </w:rPr>
        <w:t xml:space="preserve">[0066] </w:t>
      </w:r>
      <w:r>
        <w:t>钱龄 = (5000×19 + 1000×15) / 6000 = 110000 / 6000 = 18.33天。</w:t>
      </w:r>
    </w:p>
    <w:p>
      <w:r>
        <w:rPr>
          <w:b/>
        </w:rPr>
        <w:t xml:space="preserve">[0067] </w:t>
      </w:r>
      <w:r>
        <w:t>通过消费链路，用户可以清晰地知道这6000元的消费中，5000元来自工资（19天前），1000元来自兼职收入（15天前）。</w:t>
      </w:r>
    </w:p>
    <w:p>
      <w:r>
        <w:rPr>
          <w:b/>
        </w:rPr>
        <w:t xml:space="preserve">[0068] </w:t>
      </w:r>
      <w:r>
        <w:t>实施例五：账户整体钱龄计算</w:t>
      </w:r>
    </w:p>
    <w:p>
      <w:r>
        <w:rPr>
          <w:b/>
        </w:rPr>
        <w:t xml:space="preserve">[0069] </w:t>
      </w:r>
      <w:r>
        <w:t>某时刻用户账户有3个活跃资源池：P1（余额3000元，存活60天）、P2（余额5000元，存活30天）、P3（余额2000元，存活10天）。</w:t>
      </w:r>
    </w:p>
    <w:p>
      <w:r>
        <w:rPr>
          <w:b/>
        </w:rPr>
        <w:t xml:space="preserve">[0070] </w:t>
      </w:r>
      <w:r>
        <w:t>账户整体钱龄 = (3000×60 + 5000×30 + 2000×10) / (3000+5000+2000) = (180000 + 150000 + 20000) / 10000 = 35天。</w:t>
      </w:r>
    </w:p>
    <w:p>
      <w:r>
        <w:rPr>
          <w:b/>
        </w:rPr>
        <w:t xml:space="preserve">[0071] </w:t>
      </w:r>
      <w:r>
        <w:t>健康等级为"健康级"（30-59天区间）。</w:t>
      </w:r>
    </w:p>
    <w:p>
      <w:pPr>
        <w:pStyle w:val="Heading1"/>
      </w:pPr>
      <w:r>
        <w:t>有益效果</w:t>
      </w:r>
    </w:p>
    <w:p>
      <w:r>
        <w:rPr>
          <w:b/>
        </w:rPr>
        <w:t xml:space="preserve">[0072] </w:t>
      </w:r>
      <w:r>
        <w:t>本发明相比现有技术（如YNAB的Age of Money算法）具有以下有益效果：</w:t>
      </w:r>
    </w:p>
    <w:p>
      <w:r>
        <w:rPr>
          <w:b/>
        </w:rPr>
        <w:t xml:space="preserve">[0073] </w:t>
      </w:r>
      <w:r>
        <w:t>第一，计算精度显著提升。本发明采用加权平均算法，在多笔不同金额收入的场景下，计算结果更加准确。对比测试显示，在收入金额差异较大的场景下，本发明的计算结果与资金实际流动情况的吻合度达到100%，而现有技术的简单平均算法偏差可达30%以上。</w:t>
      </w:r>
    </w:p>
    <w:p>
      <w:r>
        <w:rPr>
          <w:b/>
        </w:rPr>
        <w:t xml:space="preserve">[0074] </w:t>
      </w:r>
      <w:r>
        <w:t>第二，实现完整的资金来源追溯。本发明建立了消费链路数据结构，支持双向追溯查询。用户可以查询任意一笔支出来自哪些收入（支出来源追溯），也可以查询任意一笔收入被哪些支出消耗（收入去向追溯）。现有技术不支持此功能。</w:t>
      </w:r>
    </w:p>
    <w:p>
      <w:r>
        <w:rPr>
          <w:b/>
        </w:rPr>
        <w:t xml:space="preserve">[0075] </w:t>
      </w:r>
      <w:r>
        <w:t>第三，计算性能大幅提升。本发明采用增量计算机制，当用户修改历史交易时，仅需重算受影响的部分，计算复杂度从O(N)降低到O(K)。实测数据显示，在10000笔交易场景下，增量计算相比全量重算性能提升约133倍；在100000笔交易场景下，性能提升超过500倍。</w:t>
      </w:r>
    </w:p>
    <w:p>
      <w:r>
        <w:rPr>
          <w:b/>
        </w:rPr>
        <w:t xml:space="preserve">[0076] </w:t>
      </w:r>
      <w:r>
        <w:t>第四，提供标准化的数据模型。本发明定义了资源池（ResourcePool）和消费链路（ConsumptionLink）两个核心数据结构，具有良好的可扩展性，支持构建复杂的财务分析功能。</w:t>
      </w:r>
    </w:p>
    <w:p/>
    <w:p>
      <w:pPr>
        <w:jc w:val="center"/>
      </w:pPr>
      <w:r>
        <w:rPr>
          <w:b/>
        </w:rPr>
        <w:t>表4：本发明与现有技术对比</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对比维度</w:t>
            </w:r>
          </w:p>
        </w:tc>
        <w:tc>
          <w:tcPr>
            <w:tcW w:type="dxa" w:w="3135"/>
          </w:tcPr>
          <w:p>
            <w:r>
              <w:rPr>
                <w:b/>
              </w:rPr>
              <w:t>本发明</w:t>
            </w:r>
          </w:p>
        </w:tc>
        <w:tc>
          <w:tcPr>
            <w:tcW w:type="dxa" w:w="3135"/>
          </w:tcPr>
          <w:p>
            <w:r>
              <w:rPr>
                <w:b/>
              </w:rPr>
              <w:t>现有技术（YNAB）</w:t>
            </w:r>
          </w:p>
        </w:tc>
      </w:tr>
      <w:tr>
        <w:tc>
          <w:tcPr>
            <w:tcW w:type="dxa" w:w="3135"/>
          </w:tcPr>
          <w:p>
            <w:r>
              <w:t>计算方法</w:t>
            </w:r>
          </w:p>
        </w:tc>
        <w:tc>
          <w:tcPr>
            <w:tcW w:type="dxa" w:w="3135"/>
          </w:tcPr>
          <w:p>
            <w:r>
              <w:t>FIFO加权平均</w:t>
            </w:r>
          </w:p>
        </w:tc>
        <w:tc>
          <w:tcPr>
            <w:tcW w:type="dxa" w:w="3135"/>
          </w:tcPr>
          <w:p>
            <w:r>
              <w:t>滑动窗口简单平均</w:t>
            </w:r>
          </w:p>
        </w:tc>
      </w:tr>
      <w:tr>
        <w:tc>
          <w:tcPr>
            <w:tcW w:type="dxa" w:w="3135"/>
          </w:tcPr>
          <w:p>
            <w:r>
              <w:t>计算精度</w:t>
            </w:r>
          </w:p>
        </w:tc>
        <w:tc>
          <w:tcPr>
            <w:tcW w:type="dxa" w:w="3135"/>
          </w:tcPr>
          <w:p>
            <w:r>
              <w:t>100%精确</w:t>
            </w:r>
          </w:p>
        </w:tc>
        <w:tc>
          <w:tcPr>
            <w:tcW w:type="dxa" w:w="3135"/>
          </w:tcPr>
          <w:p>
            <w:r>
              <w:t>存在偏差（最高30%+）</w:t>
            </w:r>
          </w:p>
        </w:tc>
      </w:tr>
      <w:tr>
        <w:tc>
          <w:tcPr>
            <w:tcW w:type="dxa" w:w="3135"/>
          </w:tcPr>
          <w:p>
            <w:r>
              <w:t>资金追溯</w:t>
            </w:r>
          </w:p>
        </w:tc>
        <w:tc>
          <w:tcPr>
            <w:tcW w:type="dxa" w:w="3135"/>
          </w:tcPr>
          <w:p>
            <w:r>
              <w:t>支持双向追溯</w:t>
            </w:r>
          </w:p>
        </w:tc>
        <w:tc>
          <w:tcPr>
            <w:tcW w:type="dxa" w:w="3135"/>
          </w:tcPr>
          <w:p>
            <w:r>
              <w:t>不支持</w:t>
            </w:r>
          </w:p>
        </w:tc>
      </w:tr>
      <w:tr>
        <w:tc>
          <w:tcPr>
            <w:tcW w:type="dxa" w:w="3135"/>
          </w:tcPr>
          <w:p>
            <w:r>
              <w:t>增量计算</w:t>
            </w:r>
          </w:p>
        </w:tc>
        <w:tc>
          <w:tcPr>
            <w:tcW w:type="dxa" w:w="3135"/>
          </w:tcPr>
          <w:p>
            <w:r>
              <w:t>支持，O(K)复杂度</w:t>
            </w:r>
          </w:p>
        </w:tc>
        <w:tc>
          <w:tcPr>
            <w:tcW w:type="dxa" w:w="3135"/>
          </w:tcPr>
          <w:p>
            <w:r>
              <w:t>不支持，O(N²)复杂度</w:t>
            </w:r>
          </w:p>
        </w:tc>
      </w:tr>
      <w:tr>
        <w:tc>
          <w:tcPr>
            <w:tcW w:type="dxa" w:w="3135"/>
          </w:tcPr>
          <w:p>
            <w:r>
              <w:t>数据结构</w:t>
            </w:r>
          </w:p>
        </w:tc>
        <w:tc>
          <w:tcPr>
            <w:tcW w:type="dxa" w:w="3135"/>
          </w:tcPr>
          <w:p>
            <w:r>
              <w:t>标准化定义</w:t>
            </w:r>
          </w:p>
        </w:tc>
        <w:tc>
          <w:tcPr>
            <w:tcW w:type="dxa" w:w="3135"/>
          </w:tcPr>
          <w:p>
            <w:r>
              <w:t>无标准模型</w:t>
            </w:r>
          </w:p>
        </w:tc>
      </w:tr>
      <w:tr>
        <w:tc>
          <w:tcPr>
            <w:tcW w:type="dxa" w:w="3135"/>
          </w:tcPr>
          <w:p>
            <w:r>
              <w:t>透支检测</w:t>
            </w:r>
          </w:p>
        </w:tc>
        <w:tc>
          <w:tcPr>
            <w:tcW w:type="dxa" w:w="3135"/>
          </w:tcPr>
          <w:p>
            <w:r>
              <w:t>支持</w:t>
            </w:r>
          </w:p>
        </w:tc>
        <w:tc>
          <w:tcPr>
            <w:tcW w:type="dxa" w:w="3135"/>
          </w:tcPr>
          <w:p>
            <w:r>
              <w:t>不支持</w:t>
            </w:r>
          </w:p>
        </w:tc>
      </w:tr>
    </w:tbl>
    <w:p>
      <w:r>
        <w:br w:type="page"/>
      </w:r>
    </w:p>
    <w:p>
      <w:pPr>
        <w:pStyle w:val="Title"/>
        <w:jc w:val="center"/>
      </w:pPr>
      <w:r>
        <w:rPr>
          <w:b/>
          <w:sz w:val="36"/>
        </w:rPr>
        <w:t>权利要求书</w:t>
      </w:r>
    </w:p>
    <w:p/>
    <w:p>
      <w:r>
        <w:rPr>
          <w:b/>
        </w:rPr>
        <w:t xml:space="preserve">1. </w:t>
      </w:r>
      <w:r>
        <w:t>一种资金时间价值计算方法，其特征在于，包括以下步骤：</w:t>
      </w:r>
    </w:p>
    <w:p>
      <w:pPr>
        <w:ind w:left="283"/>
      </w:pPr>
      <w:r>
        <w:t>a) 响应于收入事件，创建与所述收入事件关联的资源单元，所述资源单元至少包含收入金额和收入时间信息；</w:t>
      </w:r>
    </w:p>
    <w:p>
      <w:pPr>
        <w:ind w:left="283"/>
      </w:pPr>
      <w:r>
        <w:t>b) 响应于支出事件，按所述资源单元的收入时间从早到晚的顺序，依次从资源单元中消耗对应金额，直至满足支出金额；</w:t>
      </w:r>
    </w:p>
    <w:p>
      <w:pPr>
        <w:ind w:left="283"/>
      </w:pPr>
      <w:r>
        <w:t>c) 在消耗过程中，记录消耗链路信息，所述消耗链路信息至少包含被消耗的资源单元标识和消耗金额；</w:t>
      </w:r>
    </w:p>
    <w:p>
      <w:pPr>
        <w:ind w:left="283"/>
      </w:pPr>
      <w:r>
        <w:t>d) 基于所述消耗链路信息，计算资金时间价值指标，所述资金时间价值指标表征支出资金从获取到消费的时间跨度。</w:t>
      </w:r>
    </w:p>
    <w:p>
      <w:r>
        <w:rPr>
          <w:b/>
        </w:rPr>
        <w:t xml:space="preserve">2. </w:t>
      </w:r>
      <w:r>
        <w:t>根据权利要求1所述的方法，其特征在于，所述资源单元还包含：当前余额字段，用于记录该资源单元的剩余可消耗金额；状态字段，用于标识该资源单元是否已耗尽。</w:t>
      </w:r>
    </w:p>
    <w:p>
      <w:r>
        <w:rPr>
          <w:b/>
        </w:rPr>
        <w:t xml:space="preserve">3. </w:t>
      </w:r>
      <w:r>
        <w:t>根据权利要求1或2所述的方法，其特征在于，所述步骤b)具体包括：</w:t>
      </w:r>
    </w:p>
    <w:p>
      <w:pPr>
        <w:ind w:left="283"/>
      </w:pPr>
      <w:r>
        <w:t>获取所有未耗尽的资源单元，按收入时间升序排列形成队列；</w:t>
      </w:r>
    </w:p>
    <w:p>
      <w:pPr>
        <w:ind w:left="283"/>
      </w:pPr>
      <w:r>
        <w:t>从队列头部开始遍历，对于当前资源单元，判断其当前余额是否大于等于剩余待消耗金额；</w:t>
      </w:r>
    </w:p>
    <w:p>
      <w:pPr>
        <w:ind w:left="283"/>
      </w:pPr>
      <w:r>
        <w:t>若是，则从当前资源单元扣减剩余待消耗金额，消耗过程结束；</w:t>
      </w:r>
    </w:p>
    <w:p>
      <w:pPr>
        <w:ind w:left="283"/>
      </w:pPr>
      <w:r>
        <w:t>若否，则将当前资源单元的余额全部消耗并标记为耗尽状态，更新剩余待消耗金额，继续处理队列中的下一个资源单元。</w:t>
      </w:r>
    </w:p>
    <w:p>
      <w:r>
        <w:rPr>
          <w:b/>
        </w:rPr>
        <w:t xml:space="preserve">4. </w:t>
      </w:r>
      <w:r>
        <w:t>根据权利要求1所述的方法，其特征在于，所述资金时间价值指标的计算采用加权平均算法，具体为：将各消耗链路的消耗金额作为权重，对应链路的时间跨度作为被平均值，计算加权平均时间跨度作为最终指标值。</w:t>
      </w:r>
    </w:p>
    <w:p>
      <w:r>
        <w:rPr>
          <w:b/>
        </w:rPr>
        <w:t xml:space="preserve">5. </w:t>
      </w:r>
      <w:r>
        <w:t>根据权利要求1所述的方法，其特征在于，还包括增量计算步骤：当历史交易发生变更时，标记受影响的资源单元；仅对被标记的资源单元及其后续资源单元进行重算，避免全量重算。</w:t>
      </w:r>
    </w:p>
    <w:p>
      <w:r>
        <w:rPr>
          <w:b/>
        </w:rPr>
        <w:t xml:space="preserve">6. </w:t>
      </w:r>
      <w:r>
        <w:t>根据权利要求5所述的方法，其特征在于，所述标记受影响的资源单元具体包括：确定变更交易的发生时间点；将该时间点之后创建的所有资源单元标记为脏数据状态；所述重算包括：回滚脏数据资源单元涉及的消耗链路，恢复资源单元余额，按时间顺序重新执行消耗算法。</w:t>
      </w:r>
    </w:p>
    <w:p>
      <w:r>
        <w:rPr>
          <w:b/>
        </w:rPr>
        <w:t xml:space="preserve">7. </w:t>
      </w:r>
      <w:r>
        <w:t>根据权利要求1所述的方法，其特征在于，还包括：根据计算得到的资金时间价值指标，映射到预设的多级健康等级，所述健康等级用于表征用户的财务健康状况。</w:t>
      </w:r>
    </w:p>
    <w:p>
      <w:r>
        <w:rPr>
          <w:b/>
        </w:rPr>
        <w:t xml:space="preserve">8. </w:t>
      </w:r>
      <w:r>
        <w:t>根据权利要求1所述的方法，其特征在于，还包括追溯查询步骤：根据支出事件标识查询对应的消耗链路信息，返回该支出消耗的资源单元列表及各自的消耗金额和时间跨度；或者根据收入事件标识查询对应资源单元被消耗的记录，返回消耗该收入的支出事件列表。</w:t>
      </w:r>
    </w:p>
    <w:p>
      <w:r>
        <w:rPr>
          <w:b/>
        </w:rPr>
        <w:t xml:space="preserve">9. </w:t>
      </w:r>
      <w:r>
        <w:t>根据权利要求1所述的方法，其特征在于，当所有资源单元的余额总和不足以覆盖支出金额时，创建透支类型的消耗链路记录，用于财务预警。</w:t>
      </w:r>
    </w:p>
    <w:p>
      <w:r>
        <w:rPr>
          <w:b/>
        </w:rPr>
        <w:t xml:space="preserve">10. </w:t>
      </w:r>
      <w:r>
        <w:t>一种资金时间价值计算系统，其特征在于，包括：</w:t>
      </w:r>
    </w:p>
    <w:p>
      <w:pPr>
        <w:ind w:left="283"/>
      </w:pPr>
      <w:r>
        <w:t>资源单元管理模块，配置为响应收入事件创建资源单元，并维护资源单元的有序队列；</w:t>
      </w:r>
    </w:p>
    <w:p>
      <w:pPr>
        <w:ind w:left="283"/>
      </w:pPr>
      <w:r>
        <w:t>消耗执行模块，配置为响应支出事件，按先进先出原则从资源单元中消耗资金，并生成消耗链路记录；</w:t>
      </w:r>
    </w:p>
    <w:p>
      <w:pPr>
        <w:ind w:left="283"/>
      </w:pPr>
      <w:r>
        <w:t>指标计算模块，配置为基于消耗链路记录，采用加权平均算法计算资金时间价值指标；</w:t>
      </w:r>
    </w:p>
    <w:p>
      <w:pPr>
        <w:ind w:left="283"/>
      </w:pPr>
      <w:r>
        <w:t>存储模块，配置为持久化存储资源单元数据和消耗链路数据。</w:t>
      </w:r>
    </w:p>
    <w:p>
      <w:r>
        <w:rPr>
          <w:b/>
        </w:rPr>
        <w:t xml:space="preserve">11. </w:t>
      </w:r>
      <w:r>
        <w:t>根据权利要求10所述的系统，其特征在于，还包括增量优化模块，配置为：当交易数据发生变更时，标记受影响的资源单元为脏数据状态；触发增量重算，仅重新处理脏数据资源单元及其关联的消耗链路；清除脏数据标记。</w:t>
      </w:r>
    </w:p>
    <w:p>
      <w:r>
        <w:rPr>
          <w:b/>
        </w:rPr>
        <w:t xml:space="preserve">12. </w:t>
      </w:r>
      <w:r>
        <w:t>根据权利要求10所述的系统，其特征在于，还包括追溯查询模块，配置为：提供支出来源追溯接口，根据支出标识返回资金来源信息；提供收入去向追溯接口，根据收入标识返回资金消耗信息。</w:t>
      </w:r>
    </w:p>
    <w:p>
      <w:r>
        <w:rPr>
          <w:b/>
        </w:rPr>
        <w:t xml:space="preserve">13. </w:t>
      </w:r>
      <w:r>
        <w:t>根据权利要求10所述的系统，其特征在于，还包括健康评估模块，配置为将资金时间价值指标映射为多级健康等级，并追踪等级变化历史。</w:t>
      </w:r>
    </w:p>
    <w:p>
      <w:r>
        <w:rPr>
          <w:b/>
        </w:rPr>
        <w:t xml:space="preserve">14. </w:t>
      </w:r>
      <w:r>
        <w:t>一种计算机可读存储介质，其上存储有计算机程序，其特征在于，所述计算机程序被处理器执行时实现权利要求1至9中任一项所述方法的步骤。</w:t>
      </w:r>
    </w:p>
    <w:p>
      <w:r>
        <w:rPr>
          <w:b/>
        </w:rPr>
        <w:t xml:space="preserve">15. </w:t>
      </w:r>
      <w:r>
        <w:t>一种电子设备，其特征在于，包括：处理器；存储器，存储有计算机程序，所述计算机程序被处理器执行时实现权利要求1至9中任一项所述方法的步骤。</w:t>
      </w:r>
    </w:p>
    <w:p>
      <w:r>
        <w:br w:type="page"/>
      </w:r>
    </w:p>
    <w:p>
      <w:pPr>
        <w:pStyle w:val="Title"/>
        <w:jc w:val="center"/>
      </w:pPr>
      <w:r>
        <w:rPr>
          <w:b/>
          <w:sz w:val="36"/>
        </w:rPr>
        <w:t>说明书摘要</w:t>
      </w:r>
    </w:p>
    <w:p/>
    <w:p>
      <w:r>
        <w:t>本发明公开了一种基于FIFO资源池模型的资金时间价值计算方法及系统，属于数据处理技术领域。该方法包括：响应于收入事件创建资源单元；响应于支出事件按先进先出原则从资源单元中消耗资金并记录消耗链路；基于消耗链路采用加权平均算法计算资金时间价值指标；通过脏数据标记机制实现增量计算。本发明相比现有技术具有以下优势：采用加权平均算法使计算精度达到100%；建立消耗链路实现双向追溯；增量计算使性能提升超过100倍；标准化数据结构支持扩展。本发明可应用于个人财务管理、企业资金管理等场景，帮助用户建立健康的财务意识。</w:t>
      </w:r>
    </w:p>
    <w:p/>
    <w:p>
      <w:r>
        <w:t>摘要附图：图1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