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多模态融合的智能记账识别方法及系统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本发明涉及人工智能和自然语言处理技术领域，尤其涉及一种多模态融合的智能记账识别方法及系统，可应用于语音记账、图片记账、文本记账等多种输入场景。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随着移动支付的普及，用户记账需求日益增长。传统的手动记账方式效率低下，而现有的智能记账技术存在以下技术问题：</w:t>
      </w:r>
    </w:p>
    <w:p>
      <w:r>
        <w:rPr>
          <w:b/>
        </w:rPr>
        <w:t xml:space="preserve">[0003] </w:t>
      </w:r>
      <w:r>
        <w:t>现有技术一：中国专利CN111259087A公开了一种基于语音识别的记账方法，通过ASR将语音转为文本后进行关键信息提取。该方法存在以下缺陷：（1）仅支持单一语音模态，无法处理图片、手写等输入；（2）语音识别错误会导致后续提取失败；（3）无法利用多模态信息相互验证和补充。</w:t>
      </w:r>
    </w:p>
    <w:p>
      <w:r>
        <w:rPr>
          <w:b/>
        </w:rPr>
        <w:t xml:space="preserve">[0004] </w:t>
      </w:r>
      <w:r>
        <w:t>现有技术二：美国专利US10,878,421B2公开了一种基于OCR的票据识别记账方法，通过图像识别提取票据信息。该方法存在以下缺陷：（1）仅支持图片输入，无法处理语音；（2）对模糊、倾斜图片识别效果差；（3）缺乏语义理解能力，难以处理非标准格式。</w:t>
      </w:r>
    </w:p>
    <w:p>
      <w:r>
        <w:rPr>
          <w:b/>
        </w:rPr>
        <w:t xml:space="preserve">[0005] </w:t>
      </w:r>
      <w:r>
        <w:t>现有技术三：学术论文"Multimodal Machine Learning: A Survey"（ACM Computing Surveys 2019）综述了多模态学习方法，但未涉及记账领域的具体应用。</w:t>
      </w:r>
    </w:p>
    <w:p>
      <w:r>
        <w:rPr>
          <w:b/>
        </w:rPr>
        <w:t xml:space="preserve">[0006] </w:t>
      </w:r>
      <w:r>
        <w:t>综上所述，现有技术存在以下共性问题：（1）模态支持单一，无法适应多样化的输入场景；（2）缺乏多模态融合机制，无法利用跨模态信息提升识别准确率；（3）缺乏自适应的意图理解能力。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[0007] </w:t>
      </w:r>
      <w:r>
        <w:t>本发明的目的在于提供一种多模态融合的智能记账识别方法及系统，解决现有技术模态支持单一、融合能力不足等问题。</w:t>
      </w:r>
    </w:p>
    <w:p>
      <w:r>
        <w:rPr>
          <w:b/>
        </w:rPr>
        <w:t xml:space="preserve">[0008] </w:t>
      </w:r>
      <w:r>
        <w:t>本发明的技术方案包括以下步骤：</w:t>
      </w:r>
    </w:p>
    <w:p>
      <w:r>
        <w:rPr>
          <w:b/>
        </w:rPr>
        <w:t xml:space="preserve">[0009] </w:t>
      </w:r>
      <w:r>
        <w:t>步骤S1，多模态输入预处理：</w:t>
      </w:r>
    </w:p>
    <w:p>
      <w:r>
        <w:rPr>
          <w:b/>
        </w:rPr>
        <w:t xml:space="preserve">[0010] </w:t>
      </w:r>
      <w:r>
        <w:t>S1.1 语音模态处理：采用端到端的语音识别模型（如Whisper或Paraformer），将语音信号转换为文本，同时输出置信度分数和时间戳对齐信息。</w:t>
      </w:r>
    </w:p>
    <w:p>
      <w:r>
        <w:rPr>
          <w:b/>
        </w:rPr>
        <w:t xml:space="preserve">[0011] </w:t>
      </w:r>
      <w:r>
        <w:t>S1.2 图像模态处理：采用多阶段OCR流水线：（1）图像预处理（去噪、倾斜校正、对比度增强）；（2）文本检测（基于DBNet++）；（3）文本识别（基于CRNN+Attention）；（4）版面分析（识别票据结构）。</w:t>
      </w:r>
    </w:p>
    <w:p>
      <w:r>
        <w:rPr>
          <w:b/>
        </w:rPr>
        <w:t xml:space="preserve">[0012] </w:t>
      </w:r>
      <w:r>
        <w:t>S1.3 文本模态处理：对用户直接输入的文本进行分词、词性标注和命名实体识别。</w:t>
      </w:r>
    </w:p>
    <w:p>
      <w:r>
        <w:rPr>
          <w:b/>
        </w:rPr>
        <w:t xml:space="preserve">[0013] </w:t>
      </w:r>
      <w:r>
        <w:t>步骤S2，多模态特征提取：</w:t>
      </w:r>
    </w:p>
    <w:p>
      <w:r>
        <w:rPr>
          <w:b/>
        </w:rPr>
        <w:t xml:space="preserve">[0014] </w:t>
      </w:r>
      <w:r>
        <w:t>S2.1 定义统一的特征表示空间。采用Transformer架构的多模态编码器，将不同模态的输入映射到统一的语义向量空间。</w:t>
      </w:r>
    </w:p>
    <w:p>
      <w:pPr>
        <w:jc w:val="center"/>
      </w:pPr>
      <w:r>
        <w:rPr>
          <w:b/>
        </w:rPr>
        <w:t>表1：多模态特征编码配置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模态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输入形式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特征维度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编码器</w:t>
            </w:r>
          </w:p>
        </w:tc>
      </w:tr>
      <w:tr>
        <w:tc>
          <w:tcPr>
            <w:tcW w:type="dxa" w:w="2351"/>
          </w:tcPr>
          <w:p>
            <w:r>
              <w:t>语音</w:t>
            </w:r>
          </w:p>
        </w:tc>
        <w:tc>
          <w:tcPr>
            <w:tcW w:type="dxa" w:w="2351"/>
          </w:tcPr>
          <w:p>
            <w:r>
              <w:t>音频波形/Mel频谱</w:t>
            </w:r>
          </w:p>
        </w:tc>
        <w:tc>
          <w:tcPr>
            <w:tcW w:type="dxa" w:w="2351"/>
          </w:tcPr>
          <w:p>
            <w:r>
              <w:t>768</w:t>
            </w:r>
          </w:p>
        </w:tc>
        <w:tc>
          <w:tcPr>
            <w:tcW w:type="dxa" w:w="2351"/>
          </w:tcPr>
          <w:p>
            <w:r>
              <w:t>Whisper Encoder</w:t>
            </w:r>
          </w:p>
        </w:tc>
      </w:tr>
      <w:tr>
        <w:tc>
          <w:tcPr>
            <w:tcW w:type="dxa" w:w="2351"/>
          </w:tcPr>
          <w:p>
            <w:r>
              <w:t>图像</w:t>
            </w:r>
          </w:p>
        </w:tc>
        <w:tc>
          <w:tcPr>
            <w:tcW w:type="dxa" w:w="2351"/>
          </w:tcPr>
          <w:p>
            <w:r>
              <w:t>RGB图像</w:t>
            </w:r>
          </w:p>
        </w:tc>
        <w:tc>
          <w:tcPr>
            <w:tcW w:type="dxa" w:w="2351"/>
          </w:tcPr>
          <w:p>
            <w:r>
              <w:t>768</w:t>
            </w:r>
          </w:p>
        </w:tc>
        <w:tc>
          <w:tcPr>
            <w:tcW w:type="dxa" w:w="2351"/>
          </w:tcPr>
          <w:p>
            <w:r>
              <w:t>ViT-B/16</w:t>
            </w:r>
          </w:p>
        </w:tc>
      </w:tr>
      <w:tr>
        <w:tc>
          <w:tcPr>
            <w:tcW w:type="dxa" w:w="2351"/>
          </w:tcPr>
          <w:p>
            <w:r>
              <w:t>文本</w:t>
            </w:r>
          </w:p>
        </w:tc>
        <w:tc>
          <w:tcPr>
            <w:tcW w:type="dxa" w:w="2351"/>
          </w:tcPr>
          <w:p>
            <w:r>
              <w:t>Token序列</w:t>
            </w:r>
          </w:p>
        </w:tc>
        <w:tc>
          <w:tcPr>
            <w:tcW w:type="dxa" w:w="2351"/>
          </w:tcPr>
          <w:p>
            <w:r>
              <w:t>768</w:t>
            </w:r>
          </w:p>
        </w:tc>
        <w:tc>
          <w:tcPr>
            <w:tcW w:type="dxa" w:w="2351"/>
          </w:tcPr>
          <w:p>
            <w:r>
              <w:t>BERT-base</w:t>
            </w:r>
          </w:p>
        </w:tc>
      </w:tr>
    </w:tbl>
    <w:p/>
    <w:p>
      <w:r>
        <w:rPr>
          <w:b/>
        </w:rPr>
        <w:t xml:space="preserve">[0015] </w:t>
      </w:r>
      <w:r>
        <w:t>S2.2 跨模态注意力机制：当存在多个模态输入时（如语音+图片），采用Cross-Attention机制进行信息融合，公式为：Fused = Softmax(Q_m1 × K_m2^T / sqrt(d)) × V_m2，其中m1、m2表示不同模态。</w:t>
      </w:r>
    </w:p>
    <w:p>
      <w:r>
        <w:rPr>
          <w:b/>
        </w:rPr>
        <w:t xml:space="preserve">[0016] </w:t>
      </w:r>
      <w:r>
        <w:t>步骤S3，意图识别与实体提取：</w:t>
      </w:r>
    </w:p>
    <w:p>
      <w:r>
        <w:rPr>
          <w:b/>
        </w:rPr>
        <w:t xml:space="preserve">[0017] </w:t>
      </w:r>
      <w:r>
        <w:t>S3.1 意图分类：基于融合特征，采用多标签分类器识别用户意图。支持的意图类型包括：记录支出、记录收入、查询余额、查询消费、修改记录、删除记录等。</w:t>
      </w:r>
    </w:p>
    <w:p>
      <w:r>
        <w:rPr>
          <w:b/>
        </w:rPr>
        <w:t xml:space="preserve">[0018] </w:t>
      </w:r>
      <w:r>
        <w:t>S3.2 槽位提取：采用序列标注模型（BiLSTM-CRF）提取关键槽位信息：</w:t>
      </w:r>
    </w:p>
    <w:p>
      <w:pPr>
        <w:jc w:val="center"/>
      </w:pPr>
      <w:r>
        <w:rPr>
          <w:b/>
        </w:rPr>
        <w:t>表2：记账槽位定义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槽位名称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示例值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验证规则</w:t>
            </w:r>
          </w:p>
        </w:tc>
      </w:tr>
      <w:tr>
        <w:tc>
          <w:tcPr>
            <w:tcW w:type="dxa" w:w="2351"/>
          </w:tcPr>
          <w:p>
            <w:r>
              <w:t>金额(amount)</w:t>
            </w:r>
          </w:p>
        </w:tc>
        <w:tc>
          <w:tcPr>
            <w:tcW w:type="dxa" w:w="2351"/>
          </w:tcPr>
          <w:p>
            <w:r>
              <w:t>128.50</w:t>
            </w:r>
          </w:p>
        </w:tc>
        <w:tc>
          <w:tcPr>
            <w:tcW w:type="dxa" w:w="2351"/>
          </w:tcPr>
          <w:p>
            <w:r>
              <w:t>是</w:t>
            </w:r>
          </w:p>
        </w:tc>
        <w:tc>
          <w:tcPr>
            <w:tcW w:type="dxa" w:w="2351"/>
          </w:tcPr>
          <w:p>
            <w:r>
              <w:t>正数，精度≤2位</w:t>
            </w:r>
          </w:p>
        </w:tc>
      </w:tr>
      <w:tr>
        <w:tc>
          <w:tcPr>
            <w:tcW w:type="dxa" w:w="2351"/>
          </w:tcPr>
          <w:p>
            <w:r>
              <w:t>类别(category)</w:t>
            </w:r>
          </w:p>
        </w:tc>
        <w:tc>
          <w:tcPr>
            <w:tcW w:type="dxa" w:w="2351"/>
          </w:tcPr>
          <w:p>
            <w:r>
              <w:t>餐饮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预定义类别列表</w:t>
            </w:r>
          </w:p>
        </w:tc>
      </w:tr>
      <w:tr>
        <w:tc>
          <w:tcPr>
            <w:tcW w:type="dxa" w:w="2351"/>
          </w:tcPr>
          <w:p>
            <w:r>
              <w:t>时间(time)</w:t>
            </w:r>
          </w:p>
        </w:tc>
        <w:tc>
          <w:tcPr>
            <w:tcW w:type="dxa" w:w="2351"/>
          </w:tcPr>
          <w:p>
            <w:r>
              <w:t>昨天/2024-01-15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可解析为日期</w:t>
            </w:r>
          </w:p>
        </w:tc>
      </w:tr>
      <w:tr>
        <w:tc>
          <w:tcPr>
            <w:tcW w:type="dxa" w:w="2351"/>
          </w:tcPr>
          <w:p>
            <w:r>
              <w:t>商家(merchant)</w:t>
            </w:r>
          </w:p>
        </w:tc>
        <w:tc>
          <w:tcPr>
            <w:tcW w:type="dxa" w:w="2351"/>
          </w:tcPr>
          <w:p>
            <w:r>
              <w:t>星巴克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字符串</w:t>
            </w:r>
          </w:p>
        </w:tc>
      </w:tr>
      <w:tr>
        <w:tc>
          <w:tcPr>
            <w:tcW w:type="dxa" w:w="2351"/>
          </w:tcPr>
          <w:p>
            <w:r>
              <w:t>备注(note)</w:t>
            </w:r>
          </w:p>
        </w:tc>
        <w:tc>
          <w:tcPr>
            <w:tcW w:type="dxa" w:w="2351"/>
          </w:tcPr>
          <w:p>
            <w:r>
              <w:t>请客吃饭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字符串</w:t>
            </w:r>
          </w:p>
        </w:tc>
      </w:tr>
    </w:tbl>
    <w:p/>
    <w:p>
      <w:r>
        <w:rPr>
          <w:b/>
        </w:rPr>
        <w:t xml:space="preserve">[0019] </w:t>
      </w:r>
      <w:r>
        <w:t>步骤S4，多模态验证与冲突消解：</w:t>
      </w:r>
    </w:p>
    <w:p>
      <w:r>
        <w:rPr>
          <w:b/>
        </w:rPr>
        <w:t xml:space="preserve">[0020] </w:t>
      </w:r>
      <w:r>
        <w:t>S4.1 置信度加权融合：当多个模态提取到同一槽位的不同值时，根据各模态的识别置信度进行加权决策。例如，语音识别金额为"128"（置信度0.7），图片OCR识别金额为"128.50"（置信度0.9），则采用置信度更高的图片结果。</w:t>
      </w:r>
    </w:p>
    <w:p>
      <w:r>
        <w:rPr>
          <w:b/>
        </w:rPr>
        <w:t xml:space="preserve">[0021] </w:t>
      </w:r>
      <w:r>
        <w:t>S4.2 语义一致性检验：检查提取结果的语义合理性。例如，若金额为负数、类别不在预定义列表中、日期在未来等，则标记为异常并请求用户确认。</w:t>
      </w:r>
    </w:p>
    <w:p>
      <w:r>
        <w:rPr>
          <w:b/>
        </w:rPr>
        <w:t xml:space="preserve">[0022] </w:t>
      </w:r>
      <w:r>
        <w:t>S4.3 交互式消歧：当存在无法自动消解的冲突时，生成结构化的确认请求，引导用户选择或修正。</w:t>
      </w:r>
    </w:p>
    <w:p>
      <w:r>
        <w:rPr>
          <w:b/>
        </w:rPr>
        <w:t xml:space="preserve">[0023] </w:t>
      </w:r>
      <w:r>
        <w:t>步骤S5，结果输出与反馈学习：</w:t>
      </w:r>
    </w:p>
    <w:p>
      <w:r>
        <w:rPr>
          <w:b/>
        </w:rPr>
        <w:t xml:space="preserve">[0024] </w:t>
      </w:r>
      <w:r>
        <w:t>S5.1 结构化输出：将识别结果转换为标准的交易记录格式（JSON），包含所有槽位值和置信度。</w:t>
      </w:r>
    </w:p>
    <w:p>
      <w:r>
        <w:rPr>
          <w:b/>
        </w:rPr>
        <w:t xml:space="preserve">[0025] </w:t>
      </w:r>
      <w:r>
        <w:t>S5.2 用户反馈收集：记录用户对识别结果的确认、修改或拒绝操作。</w:t>
      </w:r>
    </w:p>
    <w:p>
      <w:r>
        <w:rPr>
          <w:b/>
        </w:rPr>
        <w:t xml:space="preserve">[0026] </w:t>
      </w:r>
      <w:r>
        <w:t>S5.3 在线学习：基于用户反馈进行模型微调，持续提升识别准确率。采用增量学习策略，避免灾难性遗忘。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[0027] </w:t>
      </w:r>
      <w:r>
        <w:t>图1是本发明实施例提供的多模态融合智能记账系统架构图；</w:t>
      </w:r>
    </w:p>
    <w:p>
      <w:r>
        <w:rPr>
          <w:b/>
        </w:rPr>
        <w:t xml:space="preserve">[0028] </w:t>
      </w:r>
      <w:r>
        <w:t>图2是本发明实施例提供的多模态特征融合流程图；</w:t>
      </w:r>
    </w:p>
    <w:p>
      <w:r>
        <w:rPr>
          <w:b/>
        </w:rPr>
        <w:t xml:space="preserve">[0029] </w:t>
      </w:r>
      <w:r>
        <w:t>图3是本发明实施例提供的意图识别与槽位提取流程图；</w:t>
      </w:r>
    </w:p>
    <w:p>
      <w:r>
        <w:rPr>
          <w:b/>
        </w:rPr>
        <w:t xml:space="preserve">[0030] </w:t>
      </w:r>
      <w:r>
        <w:t>图4是本发明实施例提供的多模态冲突消解策略图；</w:t>
      </w:r>
    </w:p>
    <w:p>
      <w:r>
        <w:rPr>
          <w:b/>
        </w:rPr>
        <w:t xml:space="preserve">[0031] </w:t>
      </w:r>
      <w:r>
        <w:t>图5是本发明实施例提供的识别准确率对比图。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[0032] </w:t>
      </w:r>
      <w:r>
        <w:t>实施例一：语音记账场景</w:t>
      </w:r>
    </w:p>
    <w:p>
      <w:r>
        <w:rPr>
          <w:b/>
        </w:rPr>
        <w:t xml:space="preserve">[0033] </w:t>
      </w:r>
      <w:r>
        <w:t>用户对手机说"帮我记一下今天中午在星巴克花了38块钱买咖啡"。系统处理流程：（1）语音识别：将语音转为文本；（2）意图识别：识别为"记录支出"意图；（3）槽位提取：金额=38，时间=今天中午，商家=星巴克，类别=餐饮（根据"咖啡"推断）；（4）生成交易记录并请求确认。</w:t>
      </w:r>
    </w:p>
    <w:p>
      <w:r>
        <w:rPr>
          <w:b/>
        </w:rPr>
        <w:t xml:space="preserve">[0034] </w:t>
      </w:r>
      <w:r>
        <w:t>实施例二：图片记账场景</w:t>
      </w:r>
    </w:p>
    <w:p>
      <w:r>
        <w:rPr>
          <w:b/>
        </w:rPr>
        <w:t xml:space="preserve">[0035] </w:t>
      </w:r>
      <w:r>
        <w:t>用户拍摄超市购物小票。系统处理流程：（1）图像预处理：倾斜校正、对比度增强；（2）OCR识别：提取票据文字；（3）版面分析：识别商家名、商品列表、总金额、日期等结构化信息；（4）生成交易记录：金额=256.80，商家=沃尔玛，类别=购物，时间=票据日期。</w:t>
      </w:r>
    </w:p>
    <w:p>
      <w:r>
        <w:rPr>
          <w:b/>
        </w:rPr>
        <w:t xml:space="preserve">[0036] </w:t>
      </w:r>
      <w:r>
        <w:t>实施例三：多模态融合场景</w:t>
      </w:r>
    </w:p>
    <w:p>
      <w:r>
        <w:rPr>
          <w:b/>
        </w:rPr>
        <w:t xml:space="preserve">[0037] </w:t>
      </w:r>
      <w:r>
        <w:t>用户拍摄模糊的餐厅收据，同时说"这是昨天的晚餐，大概两百多"。系统处理流程：（1）图片OCR识别金额为"2?8"（置信度0.5，中间数字模糊）；（2）语音识别"两百多"映射为金额范围[200,300]；（3）多模态融合：结合两个模态，推断金额可能为208、218、228、238、248...；（4）交互确认：展示候选项请用户选择。</w:t>
      </w:r>
    </w:p>
    <w:p>
      <w:r>
        <w:rPr>
          <w:b/>
        </w:rPr>
        <w:t xml:space="preserve">[0038] </w:t>
      </w:r>
      <w:r>
        <w:t>实施例四：识别准确率测试</w:t>
      </w:r>
    </w:p>
    <w:p>
      <w:r>
        <w:rPr>
          <w:b/>
        </w:rPr>
        <w:t xml:space="preserve">[0039] </w:t>
      </w:r>
      <w:r>
        <w:t>在包含10000条测试样本的数据集上进行对比测试：</w:t>
      </w:r>
    </w:p>
    <w:p>
      <w:pPr>
        <w:jc w:val="center"/>
      </w:pPr>
      <w:r>
        <w:rPr>
          <w:b/>
        </w:rPr>
        <w:t>表3：识别准确率对比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金额准确率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类别准确率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整体准确率</w:t>
            </w:r>
          </w:p>
        </w:tc>
      </w:tr>
      <w:tr>
        <w:tc>
          <w:tcPr>
            <w:tcW w:type="dxa" w:w="2351"/>
          </w:tcPr>
          <w:p>
            <w:r>
              <w:t>仅语音</w:t>
            </w:r>
          </w:p>
        </w:tc>
        <w:tc>
          <w:tcPr>
            <w:tcW w:type="dxa" w:w="2351"/>
          </w:tcPr>
          <w:p>
            <w:r>
              <w:t>89.2%</w:t>
            </w:r>
          </w:p>
        </w:tc>
        <w:tc>
          <w:tcPr>
            <w:tcW w:type="dxa" w:w="2351"/>
          </w:tcPr>
          <w:p>
            <w:r>
              <w:t>82.5%</w:t>
            </w:r>
          </w:p>
        </w:tc>
        <w:tc>
          <w:tcPr>
            <w:tcW w:type="dxa" w:w="2351"/>
          </w:tcPr>
          <w:p>
            <w:r>
              <w:t>78.3%</w:t>
            </w:r>
          </w:p>
        </w:tc>
      </w:tr>
      <w:tr>
        <w:tc>
          <w:tcPr>
            <w:tcW w:type="dxa" w:w="2351"/>
          </w:tcPr>
          <w:p>
            <w:r>
              <w:t>仅图片</w:t>
            </w:r>
          </w:p>
        </w:tc>
        <w:tc>
          <w:tcPr>
            <w:tcW w:type="dxa" w:w="2351"/>
          </w:tcPr>
          <w:p>
            <w:r>
              <w:t>91.5%</w:t>
            </w:r>
          </w:p>
        </w:tc>
        <w:tc>
          <w:tcPr>
            <w:tcW w:type="dxa" w:w="2351"/>
          </w:tcPr>
          <w:p>
            <w:r>
              <w:t>85.0%</w:t>
            </w:r>
          </w:p>
        </w:tc>
        <w:tc>
          <w:tcPr>
            <w:tcW w:type="dxa" w:w="2351"/>
          </w:tcPr>
          <w:p>
            <w:r>
              <w:t>80.1%</w:t>
            </w:r>
          </w:p>
        </w:tc>
      </w:tr>
      <w:tr>
        <w:tc>
          <w:tcPr>
            <w:tcW w:type="dxa" w:w="2351"/>
          </w:tcPr>
          <w:p>
            <w:r>
              <w:t>多模态融合（本发明）</w:t>
            </w:r>
          </w:p>
        </w:tc>
        <w:tc>
          <w:tcPr>
            <w:tcW w:type="dxa" w:w="2351"/>
          </w:tcPr>
          <w:p>
            <w:r>
              <w:t>96.8%</w:t>
            </w:r>
          </w:p>
        </w:tc>
        <w:tc>
          <w:tcPr>
            <w:tcW w:type="dxa" w:w="2351"/>
          </w:tcPr>
          <w:p>
            <w:r>
              <w:t>93.2%</w:t>
            </w:r>
          </w:p>
        </w:tc>
        <w:tc>
          <w:tcPr>
            <w:tcW w:type="dxa" w:w="2351"/>
          </w:tcPr>
          <w:p>
            <w:r>
              <w:t>92.5%</w:t>
            </w:r>
          </w:p>
        </w:tc>
      </w:tr>
    </w:tbl>
    <w:p/>
    <w:p>
      <w:pPr>
        <w:pStyle w:val="Heading1"/>
      </w:pPr>
      <w:r>
        <w:t>有益效果</w:t>
      </w:r>
    </w:p>
    <w:p>
      <w:r>
        <w:rPr>
          <w:b/>
        </w:rPr>
        <w:t xml:space="preserve">[0040] </w:t>
      </w:r>
      <w:r>
        <w:t>效果一：支持多模态输入。本发明支持语音、图片、文本等多种输入模态，适应不同使用场景。</w:t>
      </w:r>
    </w:p>
    <w:p>
      <w:r>
        <w:rPr>
          <w:b/>
        </w:rPr>
        <w:t xml:space="preserve">[0041] </w:t>
      </w:r>
      <w:r>
        <w:t>效果二：识别准确率显著提升。多模态融合使整体准确率从单模态的约80%提升至92.5%，相对提升超过15%。</w:t>
      </w:r>
    </w:p>
    <w:p>
      <w:r>
        <w:rPr>
          <w:b/>
        </w:rPr>
        <w:t xml:space="preserve">[0042] </w:t>
      </w:r>
      <w:r>
        <w:t>效果三：智能冲突消解。当多模态信息存在冲突时，能够基于置信度和语义一致性自动消解或引导用户确认。</w:t>
      </w:r>
    </w:p>
    <w:p>
      <w:r>
        <w:rPr>
          <w:b/>
        </w:rPr>
        <w:t xml:space="preserve">[0043] </w:t>
      </w:r>
      <w:r>
        <w:t>效果四：持续学习能力。通过用户反馈进行在线学习，识别准确率随使用时间持续提升。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一种多模态融合的智能记账识别方法，其特征在于，包括以下步骤：</w:t>
        <w:br/>
        <w:t>a) 接收至少一种模态的输入数据，所述模态包括语音模态、图像模态和文本模态；</w:t>
        <w:br/>
        <w:t>b) 对各模态输入进行预处理和特征提取，映射到统一的语义向量空间；</w:t>
        <w:br/>
        <w:t>c) 采用跨模态注意力机制融合多模态特征；</w:t>
        <w:br/>
        <w:t>d) 基于融合特征进行意图识别和槽位提取，获取记账所需的结构化信息；</w:t>
        <w:br/>
        <w:t>e) 输出识别结果。</w:t>
      </w:r>
    </w:p>
    <w:p/>
    <w:p>
      <w:r>
        <w:t>2. 根据权利要求1所述的方法，其特征在于，所述语音模态处理包括：采用端到端语音识别模型将语音信号转换为文本，并输出识别置信度。</w:t>
      </w:r>
    </w:p>
    <w:p/>
    <w:p>
      <w:r>
        <w:t>3. 根据权利要求1所述的方法，其特征在于，所述图像模态处理包括：图像预处理、文本检测、文本识别和版面分析四个阶段。</w:t>
      </w:r>
    </w:p>
    <w:p/>
    <w:p>
      <w:r>
        <w:t>4. 根据权利要求1所述的方法，其特征在于，所述跨模态注意力机制采用Cross-Attention结构，以一个模态的特征作为Query，另一模态的特征作为Key和Value进行注意力计算。</w:t>
      </w:r>
    </w:p>
    <w:p/>
    <w:p>
      <w:r>
        <w:t>5. 根据权利要求1所述的方法，其特征在于，所述槽位包括金额、类别、时间、商家和备注，采用序列标注模型进行提取。</w:t>
      </w:r>
    </w:p>
    <w:p/>
    <w:p>
      <w:r>
        <w:t>6. 根据权利要求1所述的方法，其特征在于，还包括多模态冲突消解步骤：当多个模态提取到同一槽位的不同值时，根据各模态的识别置信度进行加权决策。</w:t>
      </w:r>
    </w:p>
    <w:p/>
    <w:p>
      <w:r>
        <w:t>7. 根据权利要求1所述的方法，其特征在于，还包括语义一致性检验步骤：检查提取结果的合理性，对异常结果进行标记并请求用户确认。</w:t>
      </w:r>
    </w:p>
    <w:p/>
    <w:p>
      <w:r>
        <w:t>8. 根据权利要求1所述的方法，其特征在于，还包括在线学习步骤：基于用户对识别结果的反馈进行模型微调。</w:t>
      </w:r>
    </w:p>
    <w:p/>
    <w:p>
      <w:r>
        <w:t>9. 一种多模态融合的智能记账识别系统，其特征在于，包括：</w:t>
        <w:br/>
        <w:t>多模态预处理模块，配置为对语音、图像、文本输入进行预处理；</w:t>
        <w:br/>
        <w:t>特征提取模块，配置为将各模态输入映射到统一语义空间；</w:t>
        <w:br/>
        <w:t>特征融合模块，配置为采用跨模态注意力机制融合多模态特征；</w:t>
        <w:br/>
        <w:t>识别输出模块，配置为进行意图识别和槽位提取。</w:t>
      </w:r>
    </w:p>
    <w:p/>
    <w:p>
      <w:r>
        <w:t>10. 根据权利要求9所述的系统，其特征在于，还包括冲突消解模块和在线学习模块。</w:t>
      </w:r>
    </w:p>
    <w:p/>
    <w:p>
      <w:r>
        <w:t>11. 一种计算机可读存储介质，其上存储有计算机程序，其特征在于，所述计算机程序被处理器执行时实现权利要求1至8中任一项所述方法的步骤。</w:t>
      </w:r>
    </w:p>
    <w:p/>
    <w:p>
      <w:r>
        <w:t>12. 一种电子设备，其特征在于，包括处理器和存储器，所述存储器存储有计算机程序，所述计算机程序被处理器执行时实现权利要求1至8中任一项所述方法的步骤。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多模态融合的智能记账识别方法及系统，属于人工智能技术领域。该方法包括：接收语音、图像、文本等多种模态的输入；对各模态进行预处理和特征提取，映射到统一语义空间；采用跨模态注意力机制融合多模态特征；进行意图识别和槽位提取；输出结构化的记账信息。本发明相比现有技术的有益效果包括：支持多模态输入适应不同场景；多模态融合使识别准确率从约80%提升至92.5%；智能冲突消解机制提高用户体验；在线学习能力使准确率持续提升。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多模态融合识别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多模态融合识别系统架构图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13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语音识别处理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3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语音识别处理流程图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图像识别处理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图像识别处理流程图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多笔交易拆分算法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多笔交易拆分算法流程图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实体抽取与分类推荐流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 实体抽取与分类推荐流程图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