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发明专利申请书</w:t>
      </w:r>
    </w:p>
    <w:p/>
    <w:p>
      <w:pPr>
        <w:pStyle w:val="Heading1"/>
      </w:pPr>
      <w:r>
        <w:t>发明名称</w:t>
      </w:r>
    </w:p>
    <w:p>
      <w:r>
        <w:t>基于多因子综合评分的财务交易去重方法及系统</w:t>
      </w:r>
    </w:p>
    <w:p>
      <w:pPr>
        <w:pStyle w:val="Heading1"/>
      </w:pPr>
      <w:r>
        <w:t>技术领域</w:t>
      </w:r>
    </w:p>
    <w:p>
      <w:r>
        <w:rPr>
          <w:b/>
        </w:rPr>
        <w:t xml:space="preserve">[0001] </w:t>
      </w:r>
      <w:r>
        <w:t>本发明涉及数据处理和自然语言处理技术领域，尤其涉及一种基于多因子综合评分的财务交易去重方法及系统。</w:t>
      </w:r>
    </w:p>
    <w:p>
      <w:pPr>
        <w:pStyle w:val="Heading1"/>
      </w:pPr>
      <w:r>
        <w:t>背景技术</w:t>
      </w:r>
    </w:p>
    <w:p>
      <w:r>
        <w:rPr>
          <w:b/>
        </w:rPr>
        <w:t xml:space="preserve">[0002] </w:t>
      </w:r>
      <w:r>
        <w:t>随着移动支付和多渠道账单管理的普及，用户经常需要从多个数据源（如微信支付、支付宝、银行APP、信用卡账单等）导入交易记录到个人财务管理应用中。然而，不同渠道对同一笔交易的描述格式存在显著差异，导致现有的去重技术面临以下问题：</w:t>
      </w:r>
    </w:p>
    <w:p>
      <w:r>
        <w:rPr>
          <w:b/>
        </w:rPr>
        <w:t xml:space="preserve">[0003] </w:t>
      </w:r>
      <w:r>
        <w:t>第一，单一匹配规则的局限性。现有技术通常采用"金额+日期"的简单匹配方式，但这种方式在日常高频消费场景下容易产生误判。例如，用户每天在同一家早餐店消费相同金额，传统方法会将这些不同日期的交易误判为重复。</w:t>
      </w:r>
    </w:p>
    <w:p>
      <w:r>
        <w:rPr>
          <w:b/>
        </w:rPr>
        <w:t xml:space="preserve">[0004] </w:t>
      </w:r>
      <w:r>
        <w:t>第二，时间偏差问题。不同支付渠道的交易时间戳记录标准不一致，可能存在几分钟甚至几小时的偏差。例如，银行记账时间可能晚于支付宝实际支付时间，导致同一笔交易被误判为两笔不同交易。</w:t>
      </w:r>
    </w:p>
    <w:p>
      <w:r>
        <w:rPr>
          <w:b/>
        </w:rPr>
        <w:t xml:space="preserve">[0005] </w:t>
      </w:r>
      <w:r>
        <w:t>第三，商户描述格式不统一。同一商户在不同渠道的名称表述可能完全不同，如"星巴克"与"星巴克咖啡（中关村店）"、"滴滴出行"与"滴滴快车订单"，传统的精确字符串匹配难以识别其关联性。</w:t>
      </w:r>
    </w:p>
    <w:p>
      <w:r>
        <w:rPr>
          <w:b/>
        </w:rPr>
        <w:t xml:space="preserve">[0006] </w:t>
      </w:r>
      <w:r>
        <w:t>第四，缺乏个性化学习能力。现有系统无法从用户的历史纠正行为中学习，导致同类型的误判或漏判反复出现，用户需要反复手动处理。</w:t>
      </w:r>
    </w:p>
    <w:p>
      <w:r>
        <w:rPr>
          <w:b/>
        </w:rPr>
        <w:t xml:space="preserve">[0007] </w:t>
      </w:r>
      <w:r>
        <w:t>第五，处理效率问题。当导入大量历史交易时，全量对比的算法复杂度过高，导致处理时间过长，影响用户体验。</w:t>
      </w:r>
    </w:p>
    <w:p>
      <w:r>
        <w:rPr>
          <w:b/>
        </w:rPr>
        <w:t xml:space="preserve">[0008] </w:t>
      </w:r>
      <w:r>
        <w:t>因此，需要一种新的多因子综合评分去重方法，能够精确识别重复交易，减少误判和漏判，并具备从用户反馈中持续学习的能力。</w:t>
      </w:r>
    </w:p>
    <w:p>
      <w:pPr>
        <w:pStyle w:val="Heading1"/>
      </w:pPr>
      <w:r>
        <w:t>发明内容</w:t>
      </w:r>
    </w:p>
    <w:p>
      <w:r>
        <w:rPr>
          <w:b/>
        </w:rPr>
        <w:t xml:space="preserve">[0009] </w:t>
      </w:r>
      <w:r>
        <w:t>本发明要解决的技术问题是：如何在多数据源导入场景下，通过多因子综合评分准确识别重复交易，降低误判率和漏判率，并具备从用户反馈中持续学习优化的能力。</w:t>
      </w:r>
    </w:p>
    <w:p>
      <w:r>
        <w:rPr>
          <w:b/>
        </w:rPr>
        <w:t xml:space="preserve">[0010] </w:t>
      </w:r>
      <w:r>
        <w:t>为解决上述技术问题，本发明提供一种基于多因子综合评分的财务交易去重方法，包括以下步骤：</w:t>
      </w:r>
    </w:p>
    <w:p>
      <w:r>
        <w:rPr>
          <w:b/>
        </w:rPr>
        <w:t xml:space="preserve">[0011] </w:t>
      </w:r>
      <w:r>
        <w:t>步骤S1，三层渐进式去重架构：</w:t>
      </w:r>
    </w:p>
    <w:p>
      <w:r>
        <w:rPr>
          <w:b/>
        </w:rPr>
        <w:t xml:space="preserve">[0012] </w:t>
      </w:r>
      <w:r>
        <w:t>S1.1 第一层精确匹配：对于金额完全相同、日期完全相同、描述文本完全相同的交易对，直接标记为"确定重复"，置信度为100%。该层利用哈希索引快速筛选，时间复杂度为O(1)。</w:t>
      </w:r>
    </w:p>
    <w:p>
      <w:r>
        <w:rPr>
          <w:b/>
        </w:rPr>
        <w:t xml:space="preserve">[0013] </w:t>
      </w:r>
      <w:r>
        <w:t>S1.2 第二层特征匹配：对于金额相同、日期相近（容差±1天）、描述相似度超过预设阈值（默认80%）的交易对，计算综合置信度，置信度范围为70%-95%，标记为"高度疑似重复"。</w:t>
      </w:r>
    </w:p>
    <w:p>
      <w:r>
        <w:rPr>
          <w:b/>
        </w:rPr>
        <w:t xml:space="preserve">[0014] </w:t>
      </w:r>
      <w:r>
        <w:t>S1.3 第三层语义匹配：提取交易描述中的商户语义特征（品牌名、商户类型、地点关键词），通过自然语言处理技术进行语义级别的匹配。当语义相似度超过阈值时，置信度范围为60%-70%，标记为"可能重复"。</w:t>
      </w:r>
    </w:p>
    <w:p>
      <w:r>
        <w:rPr>
          <w:b/>
        </w:rPr>
        <w:t xml:space="preserve">[0015] </w:t>
      </w:r>
      <w:r>
        <w:t>步骤S2，多因子评分模型：</w:t>
      </w:r>
    </w:p>
    <w:p>
      <w:r>
        <w:rPr>
          <w:b/>
        </w:rPr>
        <w:t xml:space="preserve">[0016] </w:t>
      </w:r>
      <w:r>
        <w:t>S2.1 定义七个评分因子：F1金额匹配度（完全相同=1.0，差异±1%=0.9，差异±5%=0.5）；F2时间接近度（同一时刻=1.0，差异±1小时=0.8，差异±1天=0.5）；F3描述相似度（基于编辑距离归一化计算）；F4商户语义匹配度（基于NLP实体抽取和品牌识别）；F5位置辅助因子（同地点消费检测）；F6用户历史模式因子（基于历史纠正记录）；F7家庭成员交叉验证因子（家庭账本场景）。</w:t>
      </w:r>
    </w:p>
    <w:p>
      <w:r>
        <w:rPr>
          <w:b/>
        </w:rPr>
        <w:t xml:space="preserve">[0017] </w:t>
      </w:r>
      <w:r>
        <w:t>S2.2 综合评分计算公式：重复置信度 = Σ(Wi × Fi) / Σ(Wi)，其中Wi为第i个因子的权重，Fi为第i个因子的得分，取值范围[0,1]。默认权重配置为：W1=0.25，W2=0.20，W3=0.20，W4=0.15，W5=0.10，W6=0.05，W7=0.05。</w:t>
      </w:r>
    </w:p>
    <w:p>
      <w:r>
        <w:rPr>
          <w:b/>
        </w:rPr>
        <w:t xml:space="preserve">[0018] </w:t>
      </w:r>
      <w:r>
        <w:t>步骤S3，商户语义特征提取：</w:t>
      </w:r>
    </w:p>
    <w:p>
      <w:r>
        <w:rPr>
          <w:b/>
        </w:rPr>
        <w:t xml:space="preserve">[0019] </w:t>
      </w:r>
      <w:r>
        <w:t>S3.1 品牌名识别：维护常见商户品牌库，通过模糊匹配识别交易描述中的品牌名。例如，"星巴克咖啡中关村店"和"STARBUCKS"均识别为品牌"星巴克"。</w:t>
      </w:r>
    </w:p>
    <w:p>
      <w:r>
        <w:rPr>
          <w:b/>
        </w:rPr>
        <w:t xml:space="preserve">[0020] </w:t>
      </w:r>
      <w:r>
        <w:t>S3.2 商户类型推断：根据描述关键词推断商户类型，如包含"咖啡"推断为餐饮/饮品类，包含"出行""打车"推断为交通类。</w:t>
      </w:r>
    </w:p>
    <w:p>
      <w:r>
        <w:rPr>
          <w:b/>
        </w:rPr>
        <w:t xml:space="preserve">[0021] </w:t>
      </w:r>
      <w:r>
        <w:t>S3.3 地点关键词提取：提取描述中的地点信息，如"中关村店""望京SOHO"，用于辅助判断是否为同一消费地点。</w:t>
      </w:r>
    </w:p>
    <w:p>
      <w:r>
        <w:rPr>
          <w:b/>
        </w:rPr>
        <w:t xml:space="preserve">[0022] </w:t>
      </w:r>
      <w:r>
        <w:t>步骤S4，自适应阈值学习：</w:t>
      </w:r>
    </w:p>
    <w:p>
      <w:r>
        <w:rPr>
          <w:b/>
        </w:rPr>
        <w:t xml:space="preserve">[0023] </w:t>
      </w:r>
      <w:r>
        <w:t>S4.1 初始阈值设定：确定重复阈值=0.95，高度疑似阈值=0.80，可能重复阈值=0.60。</w:t>
      </w:r>
    </w:p>
    <w:p>
      <w:r>
        <w:rPr>
          <w:b/>
        </w:rPr>
        <w:t xml:space="preserve">[0024] </w:t>
      </w:r>
      <w:r>
        <w:t>S4.2 正样本强化学习：当用户将系统未识别的交易对标记为"确实重复"时，分析该交易对的因子特征，降低相应因子的阈值，增加该类模式在后续识别中的权重。</w:t>
      </w:r>
    </w:p>
    <w:p>
      <w:r>
        <w:rPr>
          <w:b/>
        </w:rPr>
        <w:t xml:space="preserve">[0025] </w:t>
      </w:r>
      <w:r>
        <w:t>S4.3 负样本排除学习：当用户将系统误判的交易对标记为"非重复"时，提取该交易对的差异特征，添加到排除规则库中，避免后续同类误判。</w:t>
      </w:r>
    </w:p>
    <w:p>
      <w:r>
        <w:rPr>
          <w:b/>
        </w:rPr>
        <w:t xml:space="preserve">[0026] </w:t>
      </w:r>
      <w:r>
        <w:t>S4.4 权重动态调整：根据累计的用户反馈数据，定期（默认每30天）重新计算各因子的最优权重，采用逻辑回归模型进行权重优化。</w:t>
      </w:r>
    </w:p>
    <w:p>
      <w:r>
        <w:rPr>
          <w:b/>
        </w:rPr>
        <w:t xml:space="preserve">[0027] </w:t>
      </w:r>
      <w:r>
        <w:t>步骤S5，高效候选集筛选：</w:t>
      </w:r>
    </w:p>
    <w:p>
      <w:r>
        <w:rPr>
          <w:b/>
        </w:rPr>
        <w:t xml:space="preserve">[0028] </w:t>
      </w:r>
      <w:r>
        <w:t>S5.1 建立金额索引：对已有交易按金额建立B+树索引，新交易导入时快速定位金额相近的候选集。</w:t>
      </w:r>
    </w:p>
    <w:p>
      <w:r>
        <w:rPr>
          <w:b/>
        </w:rPr>
        <w:t xml:space="preserve">[0029] </w:t>
      </w:r>
      <w:r>
        <w:t>S5.2 时间窗口过滤：仅对时间窗口内（默认±3天）的交易进行详细比对，大幅减少比对次数。</w:t>
      </w:r>
    </w:p>
    <w:p>
      <w:r>
        <w:rPr>
          <w:b/>
        </w:rPr>
        <w:t xml:space="preserve">[0030] </w:t>
      </w:r>
      <w:r>
        <w:t>S5.3 分批处理：大文件导入时采用分批处理策略，每批1000条，支持中断续传。</w:t>
      </w:r>
    </w:p>
    <w:p>
      <w:pPr>
        <w:pStyle w:val="Heading1"/>
      </w:pPr>
      <w:r>
        <w:t>附图说明</w:t>
      </w:r>
    </w:p>
    <w:p>
      <w:r>
        <w:rPr>
          <w:b/>
        </w:rPr>
        <w:t xml:space="preserve">[0031] </w:t>
      </w:r>
      <w:r>
        <w:t>图1是本发明实施例提供的三层去重架构流程图；</w:t>
      </w:r>
    </w:p>
    <w:p>
      <w:r>
        <w:rPr>
          <w:b/>
        </w:rPr>
        <w:t xml:space="preserve">[0032] </w:t>
      </w:r>
      <w:r>
        <w:t>图2是本发明实施例提供的多因子评分模型示意图；</w:t>
      </w:r>
    </w:p>
    <w:p>
      <w:r>
        <w:rPr>
          <w:b/>
        </w:rPr>
        <w:t xml:space="preserve">[0033] </w:t>
      </w:r>
      <w:r>
        <w:t>图3是本发明实施例提供的自适应学习流程图；</w:t>
      </w:r>
    </w:p>
    <w:p>
      <w:r>
        <w:rPr>
          <w:b/>
        </w:rPr>
        <w:t xml:space="preserve">[0034] </w:t>
      </w:r>
      <w:r>
        <w:t>图4是本发明实施例提供的候选集筛选优化示意图。</w:t>
      </w:r>
    </w:p>
    <w:p/>
    <w:p>
      <w:pPr>
        <w:jc w:val="center"/>
      </w:pPr>
      <w:r>
        <w:rPr>
          <w:sz w:val="20"/>
        </w:rPr>
        <w:t>图4  候选集筛选优化示意图</w:t>
      </w:r>
    </w:p>
    <w:p>
      <w:pPr>
        <w:jc w:val="center"/>
      </w:pPr>
      <w:r>
        <w:drawing>
          <wp:inline xmlns:a="http://schemas.openxmlformats.org/drawingml/2006/main" xmlns:pic="http://schemas.openxmlformats.org/drawingml/2006/picture">
            <wp:extent cx="5040000" cy="3620900"/>
            <wp:docPr id="1" name="Picture 1"/>
            <wp:cNvGraphicFramePr>
              <a:graphicFrameLocks noChangeAspect="1"/>
            </wp:cNvGraphicFramePr>
            <a:graphic>
              <a:graphicData uri="http://schemas.openxmlformats.org/drawingml/2006/picture">
                <pic:pic>
                  <pic:nvPicPr>
                    <pic:cNvPr id="0" name="图4_候选集筛选优化示意图.png"/>
                    <pic:cNvPicPr/>
                  </pic:nvPicPr>
                  <pic:blipFill>
                    <a:blip r:embed="rId9"/>
                    <a:stretch>
                      <a:fillRect/>
                    </a:stretch>
                  </pic:blipFill>
                  <pic:spPr>
                    <a:xfrm>
                      <a:off x="0" y="0"/>
                      <a:ext cx="5040000" cy="3620900"/>
                    </a:xfrm>
                    <a:prstGeom prst="rect"/>
                  </pic:spPr>
                </pic:pic>
              </a:graphicData>
            </a:graphic>
          </wp:inline>
        </w:drawing>
      </w:r>
    </w:p>
    <w:p/>
    <w:p>
      <w:pPr>
        <w:jc w:val="center"/>
      </w:pPr>
      <w:r>
        <w:rPr>
          <w:sz w:val="20"/>
        </w:rPr>
        <w:t>图3  自适应学习流程图</w:t>
      </w:r>
    </w:p>
    <w:p>
      <w:pPr>
        <w:jc w:val="center"/>
      </w:pPr>
      <w:r>
        <w:drawing>
          <wp:inline xmlns:a="http://schemas.openxmlformats.org/drawingml/2006/main" xmlns:pic="http://schemas.openxmlformats.org/drawingml/2006/picture">
            <wp:extent cx="5040000" cy="5452235"/>
            <wp:docPr id="2" name="Picture 2"/>
            <wp:cNvGraphicFramePr>
              <a:graphicFrameLocks noChangeAspect="1"/>
            </wp:cNvGraphicFramePr>
            <a:graphic>
              <a:graphicData uri="http://schemas.openxmlformats.org/drawingml/2006/picture">
                <pic:pic>
                  <pic:nvPicPr>
                    <pic:cNvPr id="0" name="图3_自适应学习流程图.png"/>
                    <pic:cNvPicPr/>
                  </pic:nvPicPr>
                  <pic:blipFill>
                    <a:blip r:embed="rId10"/>
                    <a:stretch>
                      <a:fillRect/>
                    </a:stretch>
                  </pic:blipFill>
                  <pic:spPr>
                    <a:xfrm>
                      <a:off x="0" y="0"/>
                      <a:ext cx="5040000" cy="5452235"/>
                    </a:xfrm>
                    <a:prstGeom prst="rect"/>
                  </pic:spPr>
                </pic:pic>
              </a:graphicData>
            </a:graphic>
          </wp:inline>
        </w:drawing>
      </w:r>
    </w:p>
    <w:p/>
    <w:p>
      <w:pPr>
        <w:jc w:val="center"/>
      </w:pPr>
      <w:r>
        <w:rPr>
          <w:sz w:val="20"/>
        </w:rPr>
        <w:t>图2  多因子评分模型示意图</w:t>
      </w:r>
    </w:p>
    <w:p>
      <w:pPr>
        <w:jc w:val="center"/>
      </w:pPr>
      <w:r>
        <w:drawing>
          <wp:inline xmlns:a="http://schemas.openxmlformats.org/drawingml/2006/main" xmlns:pic="http://schemas.openxmlformats.org/drawingml/2006/picture">
            <wp:extent cx="5040000" cy="3976068"/>
            <wp:docPr id="3" name="Picture 3"/>
            <wp:cNvGraphicFramePr>
              <a:graphicFrameLocks noChangeAspect="1"/>
            </wp:cNvGraphicFramePr>
            <a:graphic>
              <a:graphicData uri="http://schemas.openxmlformats.org/drawingml/2006/picture">
                <pic:pic>
                  <pic:nvPicPr>
                    <pic:cNvPr id="0" name="图2_多因子评分模型示意图.png"/>
                    <pic:cNvPicPr/>
                  </pic:nvPicPr>
                  <pic:blipFill>
                    <a:blip r:embed="rId11"/>
                    <a:stretch>
                      <a:fillRect/>
                    </a:stretch>
                  </pic:blipFill>
                  <pic:spPr>
                    <a:xfrm>
                      <a:off x="0" y="0"/>
                      <a:ext cx="5040000" cy="3976068"/>
                    </a:xfrm>
                    <a:prstGeom prst="rect"/>
                  </pic:spPr>
                </pic:pic>
              </a:graphicData>
            </a:graphic>
          </wp:inline>
        </w:drawing>
      </w:r>
    </w:p>
    <w:p/>
    <w:p>
      <w:pPr>
        <w:jc w:val="center"/>
      </w:pPr>
      <w:r>
        <w:rPr>
          <w:sz w:val="20"/>
        </w:rPr>
        <w:t>图1  三层去重架构流程图</w:t>
      </w:r>
    </w:p>
    <w:p>
      <w:pPr>
        <w:jc w:val="center"/>
      </w:pPr>
      <w:r>
        <w:drawing>
          <wp:inline xmlns:a="http://schemas.openxmlformats.org/drawingml/2006/main" xmlns:pic="http://schemas.openxmlformats.org/drawingml/2006/picture">
            <wp:extent cx="5040000" cy="4330397"/>
            <wp:docPr id="4" name="Picture 4"/>
            <wp:cNvGraphicFramePr>
              <a:graphicFrameLocks noChangeAspect="1"/>
            </wp:cNvGraphicFramePr>
            <a:graphic>
              <a:graphicData uri="http://schemas.openxmlformats.org/drawingml/2006/picture">
                <pic:pic>
                  <pic:nvPicPr>
                    <pic:cNvPr id="0" name="图1_三层去重架构流程图.png"/>
                    <pic:cNvPicPr/>
                  </pic:nvPicPr>
                  <pic:blipFill>
                    <a:blip r:embed="rId12"/>
                    <a:stretch>
                      <a:fillRect/>
                    </a:stretch>
                  </pic:blipFill>
                  <pic:spPr>
                    <a:xfrm>
                      <a:off x="0" y="0"/>
                      <a:ext cx="5040000" cy="4330397"/>
                    </a:xfrm>
                    <a:prstGeom prst="rect"/>
                  </pic:spPr>
                </pic:pic>
              </a:graphicData>
            </a:graphic>
          </wp:inline>
        </w:drawing>
      </w:r>
    </w:p>
    <w:p>
      <w:pPr>
        <w:pStyle w:val="Heading1"/>
      </w:pPr>
      <w:r>
        <w:t>具体实施方式</w:t>
      </w:r>
    </w:p>
    <w:p>
      <w:r>
        <w:rPr>
          <w:b/>
        </w:rPr>
        <w:t xml:space="preserve">[0035] </w:t>
      </w:r>
      <w:r>
        <w:t>下面结合具体实施例对本发明作进一步详细说明。</w:t>
      </w:r>
    </w:p>
    <w:p>
      <w:r>
        <w:rPr>
          <w:b/>
        </w:rPr>
        <w:t xml:space="preserve">[0036] </w:t>
      </w:r>
      <w:r>
        <w:t>实施例一：多源账单导入去重</w:t>
      </w:r>
    </w:p>
    <w:p>
      <w:r>
        <w:rPr>
          <w:b/>
        </w:rPr>
        <w:t xml:space="preserve">[0037] </w:t>
      </w:r>
      <w:r>
        <w:t>用户导入支付宝账单，系统执行三层去重检测：</w:t>
      </w:r>
    </w:p>
    <w:p>
      <w:r>
        <w:rPr>
          <w:b/>
        </w:rPr>
        <w:t xml:space="preserve">[0038] </w:t>
      </w:r>
      <w:r>
        <w:t>第一层精确匹配：发现记录"2026-01-15 ¥35.00 星巴克"与已有微信记录完全一致，直接标记为确定重复（100%）。</w:t>
      </w:r>
    </w:p>
    <w:p>
      <w:r>
        <w:rPr>
          <w:b/>
        </w:rPr>
        <w:t xml:space="preserve">[0039] </w:t>
      </w:r>
      <w:r>
        <w:t>第二层特征匹配：发现"2026-01-14 ¥34.80 星巴克咖啡中关村店"与已有记录"2026-01-14 ¥35.00 星巴克"高度相似。计算各因子得分：金额匹配度=0.9（差异0.6%），时间接近度=1.0（同日），描述相似度=0.75（编辑距离），商户语义=1.0（同品牌）。综合置信度=85%，标记为高度疑似重复。</w:t>
      </w:r>
    </w:p>
    <w:p>
      <w:r>
        <w:rPr>
          <w:b/>
        </w:rPr>
        <w:t xml:space="preserve">[0040] </w:t>
      </w:r>
      <w:r>
        <w:t>第三层语义匹配：发现"2026-01-10 ¥128.00 海底捞"与"2026-01-10 ¥128.00 海底捞火锅(望京店)"。虽然描述字面差异较大，但商户语义完全匹配（同品牌、同类型），置信度=72%，标记为可能重复。</w:t>
      </w:r>
    </w:p>
    <w:p>
      <w:r>
        <w:rPr>
          <w:b/>
        </w:rPr>
        <w:t xml:space="preserve">[0041] </w:t>
      </w:r>
      <w:r>
        <w:t>实施例二：用户反馈学习</w:t>
      </w:r>
    </w:p>
    <w:p>
      <w:r>
        <w:rPr>
          <w:b/>
        </w:rPr>
        <w:t xml:space="preserve">[0042] </w:t>
      </w:r>
      <w:r>
        <w:t>用户将系统未识别的两笔交易标记为重复："麦当劳"和"金拱门"。系统分析发现两者品牌语义相同（麦当劳中文名为金拱门），将此映射关系加入品牌库，后续自动识别。</w:t>
      </w:r>
    </w:p>
    <w:p>
      <w:r>
        <w:rPr>
          <w:b/>
        </w:rPr>
        <w:t xml:space="preserve">[0043] </w:t>
      </w:r>
      <w:r>
        <w:t>用户将系统误判的交易对标记为非重复：两笔金额相同、日期相同的"早餐"消费实为不同地点的两次消费。系统提取差异特征（描述过于简短且无商户信息），对此类模式提高判定阈值。</w:t>
      </w:r>
    </w:p>
    <w:p>
      <w:r>
        <w:rPr>
          <w:b/>
        </w:rPr>
        <w:t xml:space="preserve">[0044] </w:t>
      </w:r>
      <w:r>
        <w:t>实施例三：大文件高效处理</w:t>
      </w:r>
    </w:p>
    <w:p>
      <w:r>
        <w:rPr>
          <w:b/>
        </w:rPr>
        <w:t xml:space="preserve">[0045] </w:t>
      </w:r>
      <w:r>
        <w:t>用户导入包含5000条记录的银行年度账单。系统采用优化策略：首先建立金额B+树索引；对每条新记录，通过索引快速定位金额相近（±5%）的候选集；再通过时间窗口（±3天）进一步过滤；最后对候选集执行多因子评分。整体处理时间从全量比对的约5分钟优化至15秒。</w:t>
      </w:r>
    </w:p>
    <w:p>
      <w:pPr>
        <w:pStyle w:val="Heading1"/>
      </w:pPr>
      <w:r>
        <w:t>有益效果</w:t>
      </w:r>
    </w:p>
    <w:p>
      <w:r>
        <w:rPr>
          <w:b/>
        </w:rPr>
        <w:t xml:space="preserve">[0046] </w:t>
      </w:r>
      <w:r>
        <w:t>本发明相比现有技术具有以下有益效果：</w:t>
      </w:r>
    </w:p>
    <w:p>
      <w:r>
        <w:rPr>
          <w:b/>
        </w:rPr>
        <w:t xml:space="preserve">[0047] </w:t>
      </w:r>
      <w:r>
        <w:t>1. 高准确率：多因子综合评分相比单一规则匹配，去重准确率从85%提升至98%，误判率降低80%。</w:t>
      </w:r>
    </w:p>
    <w:p>
      <w:r>
        <w:rPr>
          <w:b/>
        </w:rPr>
        <w:t xml:space="preserve">[0048] </w:t>
      </w:r>
      <w:r>
        <w:t>2. 语义理解：通过商户品牌识别和语义特征提取，能够识别描述差异大但实为同一交易的记录。</w:t>
      </w:r>
    </w:p>
    <w:p>
      <w:r>
        <w:rPr>
          <w:b/>
        </w:rPr>
        <w:t xml:space="preserve">[0049] </w:t>
      </w:r>
      <w:r>
        <w:t>3. 持续优化：自适应学习机制使系统随使用时间不断优化，越用越准确。</w:t>
      </w:r>
    </w:p>
    <w:p>
      <w:r>
        <w:rPr>
          <w:b/>
        </w:rPr>
        <w:t xml:space="preserve">[0050] </w:t>
      </w:r>
      <w:r>
        <w:t>4. 高效处理：候选集筛选优化使大文件处理效率提升20倍以上。</w:t>
      </w:r>
    </w:p>
    <w:p>
      <w:r>
        <w:br w:type="page"/>
      </w:r>
    </w:p>
    <w:p>
      <w:pPr>
        <w:pStyle w:val="Title"/>
        <w:jc w:val="center"/>
      </w:pPr>
      <w:r>
        <w:rPr>
          <w:b/>
          <w:sz w:val="36"/>
        </w:rPr>
        <w:t>权利要求书</w:t>
      </w:r>
    </w:p>
    <w:p/>
    <w:p>
      <w:r>
        <w:rPr>
          <w:b/>
        </w:rPr>
        <w:t xml:space="preserve">1. </w:t>
      </w:r>
      <w:r>
        <w:t>一种基于多因子综合评分的财务交易去重方法，其特征在于，包括以下步骤：</w:t>
      </w:r>
    </w:p>
    <w:p>
      <w:pPr>
        <w:ind w:left="283"/>
      </w:pPr>
      <w:r>
        <w:t>a) 构建三层渐进式去重架构，包括精确匹配层、特征匹配层和语义匹配层，对新导入交易进行逐层检测；</w:t>
      </w:r>
    </w:p>
    <w:p>
      <w:pPr>
        <w:ind w:left="283"/>
      </w:pPr>
      <w:r>
        <w:t>b) 定义多因子评分模型，所述因子包括金额匹配度、时间接近度、描述相似度、商户语义匹配度、位置辅助因子和用户历史模式因子；</w:t>
      </w:r>
    </w:p>
    <w:p>
      <w:pPr>
        <w:ind w:left="283"/>
      </w:pPr>
      <w:r>
        <w:t>c) 计算新交易与候选交易的综合重复置信度，根据置信度分级标记为确定重复、高度疑似或可能重复；</w:t>
      </w:r>
    </w:p>
    <w:p>
      <w:pPr>
        <w:ind w:left="283"/>
      </w:pPr>
      <w:r>
        <w:t>d) 根据用户反馈进行自适应学习，动态调整因子权重和匹配阈值。</w:t>
      </w:r>
    </w:p>
    <w:p>
      <w:r>
        <w:rPr>
          <w:b/>
        </w:rPr>
        <w:t xml:space="preserve">2. </w:t>
      </w:r>
      <w:r>
        <w:t>根据权利要求1所述的方法，其特征在于，所述精确匹配层对金额、日期、描述完全一致的交易对直接标记为确定重复，置信度为100%。</w:t>
      </w:r>
    </w:p>
    <w:p>
      <w:r>
        <w:rPr>
          <w:b/>
        </w:rPr>
        <w:t xml:space="preserve">3. </w:t>
      </w:r>
      <w:r>
        <w:t>根据权利要求1所述的方法，其特征在于，所述特征匹配层采用模糊匹配策略，日期容差为±1天，描述相似度采用编辑距离归一化计算。</w:t>
      </w:r>
    </w:p>
    <w:p>
      <w:r>
        <w:rPr>
          <w:b/>
        </w:rPr>
        <w:t xml:space="preserve">4. </w:t>
      </w:r>
      <w:r>
        <w:t>根据权利要求1所述的方法，其特征在于，所述语义匹配层采用自然语言处理技术提取商户品牌名、商户类型和地点关键词进行语义级别匹配。</w:t>
      </w:r>
    </w:p>
    <w:p>
      <w:r>
        <w:rPr>
          <w:b/>
        </w:rPr>
        <w:t xml:space="preserve">5. </w:t>
      </w:r>
      <w:r>
        <w:t>根据权利要求1所述的方法，其特征在于，所述综合置信度计算公式为：置信度=Σ(Wi×Fi)/Σ(Wi)，其中Wi为第i个因子的权重，Fi为第i个因子的得分。</w:t>
      </w:r>
    </w:p>
    <w:p>
      <w:r>
        <w:rPr>
          <w:b/>
        </w:rPr>
        <w:t xml:space="preserve">6. </w:t>
      </w:r>
      <w:r>
        <w:t>根据权利要求1所述的方法，其特征在于，所述自适应学习包括正样本强化和负样本排除两种机制，并定期采用逻辑回归模型优化因子权重。</w:t>
      </w:r>
    </w:p>
    <w:p>
      <w:r>
        <w:rPr>
          <w:b/>
        </w:rPr>
        <w:t xml:space="preserve">7. </w:t>
      </w:r>
      <w:r>
        <w:t>根据权利要求1所述的方法，其特征在于，还包括候选集筛选优化步骤：建立金额B+树索引和时间窗口过滤，减少不必要的比对计算。</w:t>
      </w:r>
    </w:p>
    <w:p>
      <w:r>
        <w:rPr>
          <w:b/>
        </w:rPr>
        <w:t xml:space="preserve">8. </w:t>
      </w:r>
      <w:r>
        <w:t>一种基于多因子综合评分的财务交易去重系统，其特征在于，包括：</w:t>
      </w:r>
    </w:p>
    <w:p>
      <w:pPr>
        <w:ind w:left="283"/>
      </w:pPr>
      <w:r>
        <w:t>- 精确匹配模块，用于快速识别完全相同的重复交易；</w:t>
      </w:r>
    </w:p>
    <w:p>
      <w:pPr>
        <w:ind w:left="283"/>
      </w:pPr>
      <w:r>
        <w:t>- 特征匹配模块，用于基于多因子评分识别高度相似的交易；</w:t>
      </w:r>
    </w:p>
    <w:p>
      <w:pPr>
        <w:ind w:left="283"/>
      </w:pPr>
      <w:r>
        <w:t>- 语义匹配模块，用于提取和比对商户语义特征；</w:t>
      </w:r>
    </w:p>
    <w:p>
      <w:pPr>
        <w:ind w:left="283"/>
      </w:pPr>
      <w:r>
        <w:t>- 自适应学习模块，用于根据用户反馈优化匹配参数；</w:t>
      </w:r>
    </w:p>
    <w:p>
      <w:pPr>
        <w:ind w:left="283"/>
      </w:pPr>
      <w:r>
        <w:t>- 索引优化模块，用于高效筛选候选交易集。</w:t>
      </w:r>
    </w:p>
    <w:p>
      <w:r>
        <w:rPr>
          <w:b/>
        </w:rPr>
        <w:t xml:space="preserve">9. </w:t>
      </w:r>
      <w:r>
        <w:t>一种计算机可读存储介质，其上存储有计算机程序，其特征在于，所述计算机程序被处理器执行时实现权利要求1至7中任一项所述方法的步骤。</w:t>
      </w:r>
    </w:p>
    <w:p>
      <w:r>
        <w:br w:type="page"/>
      </w:r>
    </w:p>
    <w:p>
      <w:pPr>
        <w:pStyle w:val="Title"/>
        <w:jc w:val="center"/>
      </w:pPr>
      <w:r>
        <w:rPr>
          <w:b/>
          <w:sz w:val="36"/>
        </w:rPr>
        <w:t>说明书摘要</w:t>
      </w:r>
    </w:p>
    <w:p/>
    <w:p>
      <w:r>
        <w:t>本发明公开了一种基于多因子综合评分的财务交易去重方法及系统，属于数据处理技术领域。该方法采用三层渐进式架构：精确匹配层快速识别完全相同的交易，特征匹配层通过金额、时间、描述等因子综合评分识别高度相似交易，语义匹配层通过商户品牌识别和语义特征提取发现描述差异大但实为相同的交易。系统根据用户反馈进行自适应学习，动态优化因子权重和匹配阈值。本发明还采用金额索引和时间窗口过滤优化候选集筛选效率。相比现有技术，本发明将去重准确率从85%提升至98%，大文件处理效率提升20倍。</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