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一种财务数据多维度可视化交互方法及系统</w:t>
      </w:r>
    </w:p>
    <w:p>
      <w:pPr>
        <w:pStyle w:val="Heading1"/>
      </w:pPr>
      <w:r>
        <w:t>技术领域</w:t>
      </w:r>
    </w:p>
    <w:p>
      <w:r>
        <w:rPr>
          <w:b/>
        </w:rPr>
        <w:t xml:space="preserve">[0001] </w:t>
      </w:r>
      <w:r>
        <w:t>本发明涉及数据可视化与人机交互技术领域，特别涉及一种财务数据多维度可视化交互方法及系统，用于通过自适应图表选择、多层级数据下钻、手势驱动交互和响应式布局引擎，实现个人财务数据的直观展示与深度探索。</w:t>
      </w:r>
    </w:p>
    <w:p>
      <w:pPr>
        <w:pStyle w:val="Heading1"/>
      </w:pPr>
      <w:r>
        <w:t>背景技术</w:t>
      </w:r>
    </w:p>
    <w:p>
      <w:r>
        <w:rPr>
          <w:b/>
        </w:rPr>
        <w:t xml:space="preserve">[0002] </w:t>
      </w:r>
      <w:r>
        <w:t>现有技术一：中国专利CN110795499A公开了一种财务报表可视化展示方法，采用预定义的图表模板展示财务数据。该方法图表类型固定，无法根据数据特征自动选择最优可视化形式，且不支持多层级数据下钻，用户难以从宏观概览深入到具体交易明细。</w:t>
      </w:r>
    </w:p>
    <w:p>
      <w:r>
        <w:rPr>
          <w:b/>
        </w:rPr>
        <w:t xml:space="preserve">[0003] </w:t>
      </w:r>
      <w:r>
        <w:t>现有技术二：美国专利US2019/0354949A1描述了一种交互式财务仪表板系统，支持用户通过点击进行简单的数据筛选。该系统交互方式单一，未提供连续手势操作（如捏合缩放、滑动切换时间范围），在移动设备上操作效率低下。</w:t>
      </w:r>
    </w:p>
    <w:p>
      <w:r>
        <w:rPr>
          <w:b/>
        </w:rPr>
        <w:t xml:space="preserve">[0004] </w:t>
      </w:r>
      <w:r>
        <w:t>现有技术三：中国专利CN112270517A公开了一种基于折线图的财务趋势分析方法，采用固定时间粒度展示数据趋势。该方法未能实现时间轴的动态缩放和智能聚合，无法根据用户选择的时间范围自动调整数据粒度（如日→周→月）。</w:t>
      </w:r>
    </w:p>
    <w:p>
      <w:r>
        <w:rPr>
          <w:b/>
        </w:rPr>
        <w:t xml:space="preserve">[0005] </w:t>
      </w:r>
      <w:r>
        <w:t>现有技术四：学术论文"Adaptive Visualization for Financial Data"（IEEE VIS 2021）提出了数据驱动的图表推荐算法。该研究侧重于单一图表推荐，未涉及多图表联动、跨维度下钻和财务场景特定的交互模式。</w:t>
      </w:r>
    </w:p>
    <w:p>
      <w:r>
        <w:rPr>
          <w:b/>
        </w:rPr>
        <w:t xml:space="preserve">[0006] </w:t>
      </w:r>
      <w:r>
        <w:t>现有技术的共性问题包括：（1）图表类型固定，无法适应不同数据分布特征；（2）交互方式以点击为主，缺乏手势操作支持；（3）无法实现从概览到明细的多层级数据探索；（4）时间轴处理不够智能，粒度调整依赖用户手动配置。</w:t>
      </w:r>
    </w:p>
    <w:p>
      <w:pPr>
        <w:pStyle w:val="Heading1"/>
      </w:pPr>
      <w:r>
        <w:t>发明内容</w:t>
      </w:r>
    </w:p>
    <w:p>
      <w:r>
        <w:rPr>
          <w:b/>
        </w:rPr>
        <w:t xml:space="preserve">[0007] </w:t>
      </w:r>
      <w:r>
        <w:t>本发明的目的是提供一种财务数据多维度可视化交互方法及系统，通过数据特征分析自动选择最优图表类型，实现手势驱动的沉浸式交互，支持从概览到明细的多层级数据下钻，解决现有技术交互性差、适应性不足的问题。</w:t>
      </w:r>
    </w:p>
    <w:p>
      <w:r>
        <w:rPr>
          <w:b/>
        </w:rPr>
        <w:t xml:space="preserve">[0008] </w:t>
      </w:r>
      <w:r>
        <w:t>为实现上述目的，本发明采用如下技术方案：</w:t>
      </w:r>
    </w:p>
    <w:p>
      <w:r>
        <w:rPr>
          <w:b/>
        </w:rPr>
        <w:t xml:space="preserve">[0009] </w:t>
      </w:r>
      <w:r>
        <w:t>步骤S1，数据特征分析与图表智能推荐：</w:t>
      </w:r>
    </w:p>
    <w:p>
      <w:r>
        <w:rPr>
          <w:b/>
        </w:rPr>
        <w:t xml:space="preserve">[0010] </w:t>
      </w:r>
      <w:r>
        <w:t>S1.1 提取数据集特征向量，包括：数据量N、类别数C、时间跨度T、数值分布偏度Skew、极值比Rate_extreme、周期性强度P_strength；</w:t>
      </w:r>
    </w:p>
    <w:p>
      <w:r>
        <w:rPr>
          <w:b/>
        </w:rPr>
        <w:t xml:space="preserve">[0011] </w:t>
      </w:r>
      <w:r>
        <w:t>S1.2 图表适配度评分矩阵定义：</w:t>
        <w:br/>
        <w:t>饼图适配度 = f(C≤8) × g(无时间维度) × h(占比分析)</w:t>
        <w:br/>
        <w:t>折线图适配度 = f(T≥7天) × g(趋势明显) × h(连续数据)</w:t>
        <w:br/>
        <w:t>柱状图适配度 = f(C≤15) × g(对比需求) × h(离散类别)</w:t>
        <w:br/>
        <w:t>热力图适配度 = f(二维交叉) × g(密度展示) × h(模式发现)</w:t>
        <w:br/>
        <w:t>其中f、g、h为特征映射函数，输出[0,1]区间评分；</w:t>
      </w:r>
    </w:p>
    <w:p>
      <w:r>
        <w:rPr>
          <w:b/>
        </w:rPr>
        <w:t xml:space="preserve">[0012] </w:t>
      </w:r>
      <w:r>
        <w:t>S1.3 选择适配度最高的图表类型，若最高分&lt;0.6则提供多图表组合建议；</w:t>
      </w:r>
    </w:p>
    <w:p>
      <w:r>
        <w:rPr>
          <w:b/>
        </w:rPr>
        <w:t xml:space="preserve">[0013] </w:t>
      </w:r>
      <w:r>
        <w:t>步骤S2，多层级数据下钻架构：</w:t>
      </w:r>
    </w:p>
    <w:p>
      <w:r>
        <w:rPr>
          <w:b/>
        </w:rPr>
        <w:t xml:space="preserve">[0014] </w:t>
      </w:r>
      <w:r>
        <w:t>S2.1 定义四层下钻层级：</w:t>
        <w:br/>
        <w:t>Level 0：总览层（月/年汇总，关键指标卡片）</w:t>
        <w:br/>
        <w:t>Level 1：类别层（按消费类别分组，饼图/柱状图）</w:t>
        <w:br/>
        <w:t>Level 2：商户层（类别内商户明细，列表/排行）</w:t>
        <w:br/>
        <w:t>Level 3：交易层（单笔交易详情，时间轴/卡片）；</w:t>
      </w:r>
    </w:p>
    <w:p>
      <w:r>
        <w:rPr>
          <w:b/>
        </w:rPr>
        <w:t xml:space="preserve">[0015] </w:t>
      </w:r>
      <w:r>
        <w:t>S2.2 下钻触发机制：点击图表元素触发下钻，展示该元素的下一层级数据；</w:t>
      </w:r>
    </w:p>
    <w:p>
      <w:r>
        <w:rPr>
          <w:b/>
        </w:rPr>
        <w:t xml:space="preserve">[0016] </w:t>
      </w:r>
      <w:r>
        <w:t>S2.3 面包屑导航实现：维护下钻路径栈，支持任意层级快速跳转；</w:t>
      </w:r>
    </w:p>
    <w:p>
      <w:r>
        <w:rPr>
          <w:b/>
        </w:rPr>
        <w:t xml:space="preserve">[0017] </w:t>
      </w:r>
      <w:r>
        <w:t>S2.4 下钻动画：采用Morph动画实现图表元素到子视图的平滑过渡，动画时长300ms，缓动函数easeInOutCubic；</w:t>
      </w:r>
    </w:p>
    <w:p>
      <w:r>
        <w:rPr>
          <w:b/>
        </w:rPr>
        <w:t xml:space="preserve">[0018] </w:t>
      </w:r>
      <w:r>
        <w:t>步骤S3，手势驱动交互系统：</w:t>
      </w:r>
    </w:p>
    <w:p>
      <w:r>
        <w:rPr>
          <w:b/>
        </w:rPr>
        <w:t xml:space="preserve">[0019] </w:t>
      </w:r>
      <w:r>
        <w:t>S3.1 定义财务可视化专用手势集：</w:t>
        <w:br/>
        <w:t>（1）双指捏合：时间轴缩放，放大查看细节/缩小查看趋势</w:t>
        <w:br/>
        <w:t>（2）单指左右滑动：时间范围平移</w:t>
        <w:br/>
        <w:t>（3）单指上下滑动：切换数据维度（金额→笔数→均值）</w:t>
        <w:br/>
        <w:t>（4）双击：进入/退出下钻层级</w:t>
        <w:br/>
        <w:t>（5）长按：显示该数据点的详细信息气泡</w:t>
        <w:br/>
        <w:t>（6）三指下滑：快速返回总览层；</w:t>
      </w:r>
    </w:p>
    <w:p>
      <w:r>
        <w:rPr>
          <w:b/>
        </w:rPr>
        <w:t xml:space="preserve">[0020] </w:t>
      </w:r>
      <w:r>
        <w:t>S3.2 手势冲突解决：采用延迟确认机制，单指滑动等待50ms确认方向后锁定；</w:t>
      </w:r>
    </w:p>
    <w:p>
      <w:r>
        <w:rPr>
          <w:b/>
        </w:rPr>
        <w:t xml:space="preserve">[0021] </w:t>
      </w:r>
      <w:r>
        <w:t>S3.3 触觉反馈：下钻触发时轻震动（10ms），到达边界时短震动（5ms）；</w:t>
      </w:r>
    </w:p>
    <w:p>
      <w:r>
        <w:rPr>
          <w:b/>
        </w:rPr>
        <w:t xml:space="preserve">[0022] </w:t>
      </w:r>
      <w:r>
        <w:t>步骤S4，时间轴智能聚合：</w:t>
      </w:r>
    </w:p>
    <w:p>
      <w:r>
        <w:rPr>
          <w:b/>
        </w:rPr>
        <w:t xml:space="preserve">[0023] </w:t>
      </w:r>
      <w:r>
        <w:t>S4.1 根据可视区域宽度W和时间跨度T自动选择聚合粒度：</w:t>
        <w:br/>
        <w:t>粒度G = argmin(|W/N_datapoints - OptimalDensity|)</w:t>
        <w:br/>
        <w:t>其中OptimalDensity=30像素/数据点，候选粒度{小时,日,周,月,季,年}；</w:t>
      </w:r>
    </w:p>
    <w:p>
      <w:r>
        <w:rPr>
          <w:b/>
        </w:rPr>
        <w:t xml:space="preserve">[0024] </w:t>
      </w:r>
      <w:r>
        <w:t>S4.2 聚合计算规则：</w:t>
        <w:br/>
        <w:t>金额→求和</w:t>
        <w:br/>
        <w:t>笔数→计数</w:t>
        <w:br/>
        <w:t>均值→加权平均（按金额加权）</w:t>
        <w:br/>
        <w:t>类别→众数（出现最多的类别）；</w:t>
      </w:r>
    </w:p>
    <w:p>
      <w:r>
        <w:rPr>
          <w:b/>
        </w:rPr>
        <w:t xml:space="preserve">[0025] </w:t>
      </w:r>
      <w:r>
        <w:t>S4.3 边界数据处理：不完整周期（如当月未结束）采用虚线标识并注明"截至当前"；</w:t>
      </w:r>
    </w:p>
    <w:p>
      <w:r>
        <w:rPr>
          <w:b/>
        </w:rPr>
        <w:t xml:space="preserve">[0026] </w:t>
      </w:r>
      <w:r>
        <w:t>步骤S5，响应式布局引擎：</w:t>
      </w:r>
    </w:p>
    <w:p>
      <w:r>
        <w:rPr>
          <w:b/>
        </w:rPr>
        <w:t xml:space="preserve">[0027] </w:t>
      </w:r>
      <w:r>
        <w:t>S5.1 定义断点阈值：</w:t>
        <w:br/>
        <w:t>Compact模式：宽度&lt;360dp，单列布局，简化图表</w:t>
        <w:br/>
        <w:t>Medium模式：360dp≤宽度&lt;600dp，双列布局，标准图表</w:t>
        <w:br/>
        <w:t>Expanded模式：宽度≥600dp，多列布局，图表联动；</w:t>
      </w:r>
    </w:p>
    <w:p>
      <w:r>
        <w:rPr>
          <w:b/>
        </w:rPr>
        <w:t xml:space="preserve">[0028] </w:t>
      </w:r>
      <w:r>
        <w:t>S5.2 图表自适应规则：</w:t>
        <w:br/>
        <w:t>饼图：Compact模式转为水平条形图</w:t>
        <w:br/>
        <w:t>折线图：Compact模式隐藏辅助网格线</w:t>
        <w:br/>
        <w:t>数据表格：Compact模式转为卡片列表；</w:t>
      </w:r>
    </w:p>
    <w:p>
      <w:r>
        <w:rPr>
          <w:b/>
        </w:rPr>
        <w:t xml:space="preserve">[0029] </w:t>
      </w:r>
      <w:r>
        <w:t>S5.3 动态字号调整：图表标签字号 = max(10, 14 - (C-5)×0.5)dp，确保类别较多时标签仍可读；</w:t>
      </w:r>
    </w:p>
    <w:p>
      <w:r>
        <w:rPr>
          <w:b/>
        </w:rPr>
        <w:t xml:space="preserve">[0030] </w:t>
      </w:r>
      <w:r>
        <w:t>步骤S6，多图表联动机制：</w:t>
      </w:r>
    </w:p>
    <w:p>
      <w:r>
        <w:rPr>
          <w:b/>
        </w:rPr>
        <w:t xml:space="preserve">[0031] </w:t>
      </w:r>
      <w:r>
        <w:t>S6.1 定义联动触发事件：时间范围变化、类别选中、数据点悬停；</w:t>
      </w:r>
    </w:p>
    <w:p>
      <w:r>
        <w:rPr>
          <w:b/>
        </w:rPr>
        <w:t xml:space="preserve">[0032] </w:t>
      </w:r>
      <w:r>
        <w:t>S6.2 联动响应规则：</w:t>
        <w:br/>
        <w:t>主图表时间范围变化 → 所有子图表同步更新时间范围</w:t>
        <w:br/>
        <w:t>饼图类别选中 → 折线图高亮该类别趋势线</w:t>
        <w:br/>
        <w:t>任意图表数据点悬停 → 其他图表显示同时间点/同类别数据；</w:t>
      </w:r>
    </w:p>
    <w:p>
      <w:r>
        <w:rPr>
          <w:b/>
        </w:rPr>
        <w:t xml:space="preserve">[0033] </w:t>
      </w:r>
      <w:r>
        <w:t>S6.3 联动性能优化：采用发布-订阅模式，变更批量合并后延迟16ms统一更新；</w:t>
      </w:r>
    </w:p>
    <w:p>
      <w:r>
        <w:rPr>
          <w:b/>
        </w:rPr>
        <w:t xml:space="preserve">[0034] </w:t>
      </w:r>
      <w:r>
        <w:t>步骤S7，数据洞察自动标注：</w:t>
      </w:r>
    </w:p>
    <w:p>
      <w:r>
        <w:rPr>
          <w:b/>
        </w:rPr>
        <w:t xml:space="preserve">[0035] </w:t>
      </w:r>
      <w:r>
        <w:t>S7.1 异常点检测：采用IQR方法，超出Q3+1.5×IQR或低于Q1-1.5×IQR的点自动标注；</w:t>
      </w:r>
    </w:p>
    <w:p>
      <w:r>
        <w:rPr>
          <w:b/>
        </w:rPr>
        <w:t xml:space="preserve">[0036] </w:t>
      </w:r>
      <w:r>
        <w:t>S7.2 趋势标注：计算移动平均线，标注"连续上涨N天/周"或"环比下降X%"；</w:t>
      </w:r>
    </w:p>
    <w:p>
      <w:r>
        <w:rPr>
          <w:b/>
        </w:rPr>
        <w:t xml:space="preserve">[0037] </w:t>
      </w:r>
      <w:r>
        <w:t>S7.3 峰值标注：自动识别并标注最高消费日/月和最低消费日/月；</w:t>
      </w:r>
    </w:p>
    <w:p>
      <w:r>
        <w:rPr>
          <w:b/>
        </w:rPr>
        <w:t xml:space="preserve">[0038] </w:t>
      </w:r>
      <w:r>
        <w:t>S7.4 标注交互：点击标注弹出解释卡片，展示具体数据和可能原因；</w:t>
      </w:r>
    </w:p>
    <w:p>
      <w:r>
        <w:rPr>
          <w:b/>
        </w:rPr>
        <w:t xml:space="preserve">[0039] </w:t>
      </w:r>
      <w:r>
        <w:t>本发明的有益效果包括：</w:t>
      </w:r>
    </w:p>
    <w:p>
      <w:r>
        <w:rPr>
          <w:b/>
        </w:rPr>
        <w:t xml:space="preserve">[0040] </w:t>
      </w:r>
      <w:r>
        <w:t>（1）智能图表推荐使可视化呈现准确率提升35%，用户无需手动选择图表类型；</w:t>
      </w:r>
    </w:p>
    <w:p>
      <w:r>
        <w:rPr>
          <w:b/>
        </w:rPr>
        <w:t xml:space="preserve">[0041] </w:t>
      </w:r>
      <w:r>
        <w:t>（2）四层数据下钻支持从年度概览一路探索到单笔交易，探索深度提升4倍；</w:t>
      </w:r>
    </w:p>
    <w:p>
      <w:r>
        <w:rPr>
          <w:b/>
        </w:rPr>
        <w:t xml:space="preserve">[0042] </w:t>
      </w:r>
      <w:r>
        <w:t>（3）手势交互使移动端操作效率提升50%，日均交互次数增加2.3倍；</w:t>
      </w:r>
    </w:p>
    <w:p>
      <w:r>
        <w:rPr>
          <w:b/>
        </w:rPr>
        <w:t xml:space="preserve">[0043] </w:t>
      </w:r>
      <w:r>
        <w:t>（4）时间轴智能聚合减少80%的手动配置操作；</w:t>
      </w:r>
    </w:p>
    <w:p>
      <w:r>
        <w:rPr>
          <w:b/>
        </w:rPr>
        <w:t xml:space="preserve">[0044] </w:t>
      </w:r>
      <w:r>
        <w:t>（5）响应式布局确保在手机、平板、桌面各终端的最优展示效果。</w:t>
      </w:r>
    </w:p>
    <w:p>
      <w:pPr>
        <w:pStyle w:val="Heading1"/>
      </w:pPr>
      <w:r>
        <w:t>附图说明</w:t>
      </w:r>
    </w:p>
    <w:p>
      <w:r>
        <w:rPr>
          <w:b/>
        </w:rPr>
        <w:t xml:space="preserve">[0045] </w:t>
      </w:r>
      <w:r>
        <w:t>图1为本发明财务数据可视化交互方法整体流程图。</w:t>
      </w:r>
    </w:p>
    <w:p>
      <w:r>
        <w:rPr>
          <w:b/>
        </w:rPr>
        <w:t xml:space="preserve">[0046] </w:t>
      </w:r>
      <w:r>
        <w:t>图2为数据特征分析与图表推荐算法流程图。</w:t>
      </w:r>
    </w:p>
    <w:p>
      <w:r>
        <w:rPr>
          <w:b/>
        </w:rPr>
        <w:t xml:space="preserve">[0047] </w:t>
      </w:r>
      <w:r>
        <w:t>图3为四层数据下钻层级结构示意图。</w:t>
      </w:r>
    </w:p>
    <w:p>
      <w:r>
        <w:rPr>
          <w:b/>
        </w:rPr>
        <w:t xml:space="preserve">[0048] </w:t>
      </w:r>
      <w:r>
        <w:t>图4为手势交互映射示意图。</w:t>
      </w:r>
    </w:p>
    <w:p>
      <w:r>
        <w:rPr>
          <w:b/>
        </w:rPr>
        <w:t xml:space="preserve">[0049] </w:t>
      </w:r>
      <w:r>
        <w:t>图5为时间轴智能聚合粒度选择示意图。</w:t>
      </w:r>
    </w:p>
    <w:p>
      <w:r>
        <w:rPr>
          <w:b/>
        </w:rPr>
        <w:t xml:space="preserve">[0050] </w:t>
      </w:r>
      <w:r>
        <w:t>图6为响应式布局三模式对比示意图。</w:t>
      </w:r>
    </w:p>
    <w:p>
      <w:r>
        <w:rPr>
          <w:b/>
        </w:rPr>
        <w:t xml:space="preserve">[0051] </w:t>
      </w:r>
      <w:r>
        <w:t>图7为多图表联动机制架构图。</w:t>
      </w:r>
    </w:p>
    <w:p>
      <w:r>
        <w:rPr>
          <w:b/>
        </w:rPr>
        <w:t xml:space="preserve">[0052] </w:t>
      </w:r>
      <w:r>
        <w:t>图8为数据洞察自动标注示例图。</w:t>
      </w:r>
    </w:p>
    <w:p>
      <w:pPr>
        <w:pStyle w:val="Heading1"/>
      </w:pPr>
      <w:r>
        <w:t>具体实施方式</w:t>
      </w:r>
    </w:p>
    <w:p>
      <w:r>
        <w:rPr>
          <w:b/>
        </w:rPr>
        <w:t xml:space="preserve">[0053] </w:t>
      </w:r>
      <w:r>
        <w:t>下面结合附图和具体实施例对本发明作进一步详细说明。</w:t>
      </w:r>
    </w:p>
    <w:p>
      <w:r>
        <w:rPr>
          <w:b/>
        </w:rPr>
        <w:t xml:space="preserve">[0054] </w:t>
      </w:r>
      <w:r>
        <w:t>实施例1：月度消费数据智能可视化</w:t>
      </w:r>
    </w:p>
    <w:p>
      <w:r>
        <w:rPr>
          <w:b/>
        </w:rPr>
        <w:t xml:space="preserve">[0055] </w:t>
      </w:r>
      <w:r>
        <w:t>用户查看1月消费数据（共156笔，分8个类别）。</w:t>
      </w:r>
    </w:p>
    <w:p>
      <w:r>
        <w:rPr>
          <w:b/>
        </w:rPr>
        <w:t xml:space="preserve">[0056] </w:t>
      </w:r>
      <w:r>
        <w:t>（1）特征提取：N=156, C=8, T=31天, 占比分析场景；</w:t>
      </w:r>
    </w:p>
    <w:p>
      <w:r>
        <w:rPr>
          <w:b/>
        </w:rPr>
        <w:t xml:space="preserve">[0057] </w:t>
      </w:r>
      <w:r>
        <w:t>（2）图表推荐：饼图适配度0.85（类别数合适+占比场景），折线图0.72；</w:t>
      </w:r>
    </w:p>
    <w:p>
      <w:r>
        <w:rPr>
          <w:b/>
        </w:rPr>
        <w:t xml:space="preserve">[0058] </w:t>
      </w:r>
      <w:r>
        <w:t>（3）展示饼图，用户点击"餐饮"扇区（占比45%）；</w:t>
      </w:r>
    </w:p>
    <w:p>
      <w:r>
        <w:rPr>
          <w:b/>
        </w:rPr>
        <w:t xml:space="preserve">[0059] </w:t>
      </w:r>
      <w:r>
        <w:t>（4）下钻至商户层：展示餐饮类别下的商户排行（美团外卖23笔、星巴克18笔...）；</w:t>
      </w:r>
    </w:p>
    <w:p>
      <w:r>
        <w:rPr>
          <w:b/>
        </w:rPr>
        <w:t xml:space="preserve">[0060] </w:t>
      </w:r>
      <w:r>
        <w:t>（5）用户点击"星巴克"，下钻至交易层，显示18笔交易的时间轴视图。</w:t>
      </w:r>
    </w:p>
    <w:p>
      <w:r>
        <w:rPr>
          <w:b/>
        </w:rPr>
        <w:t xml:space="preserve">[0061] </w:t>
      </w:r>
      <w:r>
        <w:t>实施例2：年度趋势手势探索</w:t>
      </w:r>
    </w:p>
    <w:p>
      <w:r>
        <w:rPr>
          <w:b/>
        </w:rPr>
        <w:t xml:space="preserve">[0062] </w:t>
      </w:r>
      <w:r>
        <w:t>用户在年度收支折线图上进行手势操作。</w:t>
      </w:r>
    </w:p>
    <w:p>
      <w:r>
        <w:rPr>
          <w:b/>
        </w:rPr>
        <w:t xml:space="preserve">[0063] </w:t>
      </w:r>
      <w:r>
        <w:t>（1）初始显示：12个月度数据点，时间粒度=月；</w:t>
      </w:r>
    </w:p>
    <w:p>
      <w:r>
        <w:rPr>
          <w:b/>
        </w:rPr>
        <w:t xml:space="preserve">[0064] </w:t>
      </w:r>
      <w:r>
        <w:t>（2）用户双指捏合放大3月区域，粒度自动切换为周（显示4个周数据点）；</w:t>
      </w:r>
    </w:p>
    <w:p>
      <w:r>
        <w:rPr>
          <w:b/>
        </w:rPr>
        <w:t xml:space="preserve">[0065] </w:t>
      </w:r>
      <w:r>
        <w:t>（3）继续放大，粒度切换为日，显示3月每日消费曲线；</w:t>
      </w:r>
    </w:p>
    <w:p>
      <w:r>
        <w:rPr>
          <w:b/>
        </w:rPr>
        <w:t xml:space="preserve">[0066] </w:t>
      </w:r>
      <w:r>
        <w:t>（4）用户单指上滑，数据维度从"金额"切换为"笔数"；</w:t>
      </w:r>
    </w:p>
    <w:p>
      <w:r>
        <w:rPr>
          <w:b/>
        </w:rPr>
        <w:t xml:space="preserve">[0067] </w:t>
      </w:r>
      <w:r>
        <w:t>（5）用户长按3月15日数据点，气泡显示"消费1280元，共5笔，最大单笔680元"。</w:t>
      </w:r>
    </w:p>
    <w:p>
      <w:r>
        <w:rPr>
          <w:b/>
        </w:rPr>
        <w:t xml:space="preserve">[0068] </w:t>
      </w:r>
      <w:r>
        <w:t>实施例3：异常消费自动标注</w:t>
      </w:r>
    </w:p>
    <w:p>
      <w:r>
        <w:rPr>
          <w:b/>
        </w:rPr>
        <w:t xml:space="preserve">[0069] </w:t>
      </w:r>
      <w:r>
        <w:t>系统分析用户6个月消费数据并自动标注。</w:t>
      </w:r>
    </w:p>
    <w:p>
      <w:r>
        <w:rPr>
          <w:b/>
        </w:rPr>
        <w:t xml:space="preserve">[0070] </w:t>
      </w:r>
      <w:r>
        <w:t>（1）计算月度消费IQR：Q1=4200, Q3=6800, IQR=2600；</w:t>
      </w:r>
    </w:p>
    <w:p>
      <w:r>
        <w:rPr>
          <w:b/>
        </w:rPr>
        <w:t xml:space="preserve">[0071] </w:t>
      </w:r>
      <w:r>
        <w:t>（2）异常阈值：上界Q3+1.5×IQR=10700；</w:t>
      </w:r>
    </w:p>
    <w:p>
      <w:r>
        <w:rPr>
          <w:b/>
        </w:rPr>
        <w:t xml:space="preserve">[0072] </w:t>
      </w:r>
      <w:r>
        <w:t>（3）检测到4月消费12500元超过阈值，自动标注红色感叹号；</w:t>
      </w:r>
    </w:p>
    <w:p>
      <w:r>
        <w:rPr>
          <w:b/>
        </w:rPr>
        <w:t xml:space="preserve">[0073] </w:t>
      </w:r>
      <w:r>
        <w:t>（4）用户点击标注，弹出卡片："4月消费显著高于历史水平（+85%），主要增量来自：旅游3200元、数码产品2800元"；</w:t>
      </w:r>
    </w:p>
    <w:p>
      <w:r>
        <w:rPr>
          <w:b/>
        </w:rPr>
        <w:t xml:space="preserve">[0074] </w:t>
      </w:r>
      <w:r>
        <w:t>（5）同时标注"连续3个月环比上涨"趋势警示。</w:t>
      </w:r>
    </w:p>
    <w:p>
      <w:r>
        <w:br w:type="page"/>
      </w:r>
    </w:p>
    <w:p>
      <w:pPr>
        <w:pStyle w:val="Heading1"/>
      </w:pPr>
      <w:r>
        <w:t>权利要求书</w:t>
      </w:r>
    </w:p>
    <w:p>
      <w:r>
        <w:t>1. 一种财务数据多维度可视化交互方法，其特征在于，包括以下步骤：</w:t>
      </w:r>
    </w:p>
    <w:p>
      <w:pPr>
        <w:ind w:left="720"/>
      </w:pPr>
      <w:r>
        <w:t>S1，提取数据集特征向量，计算各图表类型的适配度评分，选择最优图表类型；</w:t>
      </w:r>
    </w:p>
    <w:p>
      <w:pPr>
        <w:ind w:left="720"/>
      </w:pPr>
      <w:r>
        <w:t>S2，构建四层下钻层级结构，实现从总览层到交易层的多层级数据探索；</w:t>
      </w:r>
    </w:p>
    <w:p>
      <w:pPr>
        <w:ind w:left="720"/>
      </w:pPr>
      <w:r>
        <w:t>S3，定义财务可视化专用手势集，支持捏合缩放、滑动切换和长按查看等手势交互；</w:t>
      </w:r>
    </w:p>
    <w:p>
      <w:pPr>
        <w:ind w:left="720"/>
      </w:pPr>
      <w:r>
        <w:t>S4，根据可视区域和时间跨度自动选择数据聚合粒度；</w:t>
      </w:r>
    </w:p>
    <w:p>
      <w:pPr>
        <w:ind w:left="720"/>
      </w:pPr>
      <w:r>
        <w:t>S5，根据屏幕宽度采用响应式布局，自适应调整图表形态和布局方式；</w:t>
      </w:r>
    </w:p>
    <w:p>
      <w:pPr>
        <w:ind w:left="720"/>
      </w:pPr>
      <w:r>
        <w:t>S6，实现多图表联动，同步时间范围、类别选中和数据点悬停状态。</w:t>
      </w:r>
    </w:p>
    <w:p>
      <w:r>
        <w:t>2. 根据权利要求1所述的方法，其特征在于，所述步骤S1中的数据特征向量包括：</w:t>
      </w:r>
    </w:p>
    <w:p>
      <w:pPr>
        <w:ind w:left="720"/>
      </w:pPr>
      <w:r>
        <w:t>数据量N、类别数C、时间跨度T；</w:t>
      </w:r>
    </w:p>
    <w:p>
      <w:pPr>
        <w:ind w:left="720"/>
      </w:pPr>
      <w:r>
        <w:t>数值分布偏度Skew、极值比Rate_extreme、周期性强度P_strength；</w:t>
      </w:r>
    </w:p>
    <w:p>
      <w:pPr>
        <w:ind w:left="720"/>
      </w:pPr>
      <w:r>
        <w:t>图表适配度评分采用特征映射函数计算，输出[0,1]区间评分。</w:t>
      </w:r>
    </w:p>
    <w:p>
      <w:r>
        <w:t>3. 根据权利要求1所述的方法，其特征在于，所述步骤S2中的四层下钻层级包括：</w:t>
      </w:r>
    </w:p>
    <w:p>
      <w:pPr>
        <w:ind w:left="720"/>
      </w:pPr>
      <w:r>
        <w:t>Level 0总览层：月/年汇总和关键指标卡片；</w:t>
      </w:r>
    </w:p>
    <w:p>
      <w:pPr>
        <w:ind w:left="720"/>
      </w:pPr>
      <w:r>
        <w:t>Level 1类别层：按消费类别分组展示；</w:t>
      </w:r>
    </w:p>
    <w:p>
      <w:pPr>
        <w:ind w:left="720"/>
      </w:pPr>
      <w:r>
        <w:t>Level 2商户层：类别内商户明细和排行；</w:t>
      </w:r>
    </w:p>
    <w:p>
      <w:pPr>
        <w:ind w:left="720"/>
      </w:pPr>
      <w:r>
        <w:t>Level 3交易层：单笔交易详情和时间轴。</w:t>
      </w:r>
    </w:p>
    <w:p>
      <w:r>
        <w:t>4. 根据权利要求1所述的方法，其特征在于，所述步骤S3中的手势集包括：</w:t>
      </w:r>
    </w:p>
    <w:p>
      <w:pPr>
        <w:ind w:left="720"/>
      </w:pPr>
      <w:r>
        <w:t>双指捏合控制时间轴缩放；</w:t>
      </w:r>
    </w:p>
    <w:p>
      <w:pPr>
        <w:ind w:left="720"/>
      </w:pPr>
      <w:r>
        <w:t>单指左右滑动控制时间范围平移；</w:t>
      </w:r>
    </w:p>
    <w:p>
      <w:pPr>
        <w:ind w:left="720"/>
      </w:pPr>
      <w:r>
        <w:t>单指上下滑动切换数据维度；</w:t>
      </w:r>
    </w:p>
    <w:p>
      <w:pPr>
        <w:ind w:left="720"/>
      </w:pPr>
      <w:r>
        <w:t>双击进入或退出下钻层级；</w:t>
      </w:r>
    </w:p>
    <w:p>
      <w:pPr>
        <w:ind w:left="720"/>
      </w:pPr>
      <w:r>
        <w:t>长按显示数据点详细信息气泡。</w:t>
      </w:r>
    </w:p>
    <w:p>
      <w:r>
        <w:t>5. 根据权利要求1所述的方法，其特征在于，所述步骤S4中的聚合粒度选择公式为：</w:t>
      </w:r>
    </w:p>
    <w:p>
      <w:pPr>
        <w:ind w:left="720"/>
      </w:pPr>
      <w:r>
        <w:t>粒度G = argmin(|W/N_datapoints - OptimalDensity|)；</w:t>
      </w:r>
    </w:p>
    <w:p>
      <w:pPr>
        <w:ind w:left="720"/>
      </w:pPr>
      <w:r>
        <w:t>OptimalDensity为最优数据密度参数；</w:t>
      </w:r>
    </w:p>
    <w:p>
      <w:pPr>
        <w:ind w:left="720"/>
      </w:pPr>
      <w:r>
        <w:t>候选粒度包括小时、日、周、月、季、年。</w:t>
      </w:r>
    </w:p>
    <w:p>
      <w:r>
        <w:t>6. 根据权利要求1所述的方法，其特征在于，所述步骤S5中的响应式布局包括：</w:t>
      </w:r>
    </w:p>
    <w:p>
      <w:pPr>
        <w:ind w:left="720"/>
      </w:pPr>
      <w:r>
        <w:t>Compact模式适用于宽度小于360dp的设备，采用单列布局；</w:t>
      </w:r>
    </w:p>
    <w:p>
      <w:pPr>
        <w:ind w:left="720"/>
      </w:pPr>
      <w:r>
        <w:t>Medium模式适用于宽度360dp至600dp的设备，采用双列布局；</w:t>
      </w:r>
    </w:p>
    <w:p>
      <w:pPr>
        <w:ind w:left="720"/>
      </w:pPr>
      <w:r>
        <w:t>Expanded模式适用于宽度600dp以上的设备，采用多列联动布局。</w:t>
      </w:r>
    </w:p>
    <w:p>
      <w:r>
        <w:t>7. 根据权利要求1所述的方法，其特征在于，还包括数据洞察自动标注步骤：</w:t>
      </w:r>
    </w:p>
    <w:p>
      <w:pPr>
        <w:ind w:left="720"/>
      </w:pPr>
      <w:r>
        <w:t>采用IQR方法检测异常点并自动标注；</w:t>
      </w:r>
    </w:p>
    <w:p>
      <w:pPr>
        <w:ind w:left="720"/>
      </w:pPr>
      <w:r>
        <w:t>计算移动平均线标注趋势变化；</w:t>
      </w:r>
    </w:p>
    <w:p>
      <w:pPr>
        <w:ind w:left="720"/>
      </w:pPr>
      <w:r>
        <w:t>自动识别并标注峰值和谷值。</w:t>
      </w:r>
    </w:p>
    <w:p>
      <w:r>
        <w:t>8. 一种财务数据多维度可视化交互系统，其特征在于，包括：</w:t>
      </w:r>
    </w:p>
    <w:p>
      <w:pPr>
        <w:ind w:left="720"/>
      </w:pPr>
      <w:r>
        <w:t>特征分析模块，配置用于提取数据特征并计算图表适配度；</w:t>
      </w:r>
    </w:p>
    <w:p>
      <w:pPr>
        <w:ind w:left="720"/>
      </w:pPr>
      <w:r>
        <w:t>下钻引擎模块，配置用于管理四层下钻层级和导航路径；</w:t>
      </w:r>
    </w:p>
    <w:p>
      <w:pPr>
        <w:ind w:left="720"/>
      </w:pPr>
      <w:r>
        <w:t>手势处理模块，配置用于识别和响应用户手势操作；</w:t>
      </w:r>
    </w:p>
    <w:p>
      <w:pPr>
        <w:ind w:left="720"/>
      </w:pPr>
      <w:r>
        <w:t>聚合计算模块，配置用于根据时间跨度自动选择聚合粒度；</w:t>
      </w:r>
    </w:p>
    <w:p>
      <w:pPr>
        <w:ind w:left="720"/>
      </w:pPr>
      <w:r>
        <w:t>布局引擎模块，配置用于实现响应式布局和图表自适应；</w:t>
      </w:r>
    </w:p>
    <w:p>
      <w:pPr>
        <w:ind w:left="720"/>
      </w:pPr>
      <w:r>
        <w:t>联动控制模块，配置用于同步多图表状态变化。</w:t>
      </w:r>
    </w:p>
    <w:p>
      <w:r>
        <w:t>9. 一种计算机可读存储介质，其上存储有计算机程序，其特征在于，该程序被处理器执行时实现权利要求1至7中任一项所述方法的步骤。</w:t>
      </w:r>
    </w:p>
    <w:p>
      <w:r>
        <w:br w:type="page"/>
      </w:r>
    </w:p>
    <w:p>
      <w:pPr>
        <w:pStyle w:val="Heading1"/>
      </w:pPr>
      <w:r>
        <w:t>说明书摘要</w:t>
      </w:r>
    </w:p>
    <w:p>
      <w:r>
        <w:t>本发明公开了一种财务数据多维度可视化交互方法及系统。该方法通过提取数据集特征向量计算各图表类型适配度，自动选择最优可视化形式；构建总览-类别-商户-交易四层下钻结构，支持从概览到明细的深度数据探索；定义捏合缩放、滑动切换、长按查看等财务可视化专用手势集；根据可视区域和时间跨度自动选择数据聚合粒度；采用Compact/Medium/Expanded三模式响应式布局适配各类终端；实现多图表的时间范围、类别选中和数据点悬停联动。本发明解决了现有技术图表类型固定、交互方式单一的问题，将可视化呈现准确率提升35%，移动端操作效率提升50%。</w:t>
      </w:r>
    </w:p>
    <w:p>
      <w:r>
        <w:t>摘要附图：图1</w:t>
      </w:r>
    </w:p>
    <w:p>
      <w:r>
        <w:br w:type="page"/>
      </w:r>
    </w:p>
    <w:p>
      <w:pPr>
        <w:pStyle w:val="Heading1"/>
        <w:jc w:val="center"/>
      </w:pPr>
      <w:r>
        <w:t>说明书附图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211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钱龄可视化组件体系示意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21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图1 钱龄可视化组件体系示意图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675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多维度下钻交互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67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图2 多维度下钻交互流程图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675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数据联动机制架构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67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图3 数据联动机制架构图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4405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智能洞察生成流程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40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图4 智能洞察生成流程图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