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一种多模态自学习的智能账单解析与批量导入方法及系统</w:t>
      </w:r>
    </w:p>
    <w:p>
      <w:pPr>
        <w:jc w:val="center"/>
      </w:pPr>
      <w:r>
        <w:rPr>
          <w:i/>
          <w:sz w:val="20"/>
        </w:rPr>
        <w:t>【增强版 v2.0 - 50+平台+自学习+跨平台关联+隐私保护】</w:t>
      </w:r>
    </w:p>
    <w:p>
      <w:pPr>
        <w:pStyle w:val="Heading1"/>
      </w:pPr>
      <w:r>
        <w:t>技术领域</w:t>
      </w:r>
    </w:p>
    <w:p>
      <w:r>
        <w:t>[0001] 本发明涉及数据解析、自然语言处理与计算机视觉技术领域，特别涉及一种多模态自学习的智能账单解析与批量导入方法及系统，通过多模态OCR融合、格式自学习引擎、跨平台交易关联识别、账单完整性校验和隐私保护机制，实现微信、支付宝、银行及境外平台等50+数据源的账单智能解析与高精度导入。</w:t>
      </w:r>
    </w:p>
    <w:p>
      <w:pPr>
        <w:pStyle w:val="Heading1"/>
      </w:pPr>
      <w:r>
        <w:t>背景技术</w:t>
      </w:r>
    </w:p>
    <w:p>
      <w:r>
        <w:t>[0002] 在个人财务管理领域，用户的交易记录分散在多个平台：微信支付、支付宝、各类银行APP、信用卡账单、境外支付平台（PayPal、Wise等）。将这些数据统一导入财务管理应用是用户的核心需求，但面临诸多技术挑战。</w:t>
      </w:r>
    </w:p>
    <w:p>
      <w:r>
        <w:t>[0003] 现有技术一：中国专利CN112685476A公开了一种银行账单解析方法，采用固定模板匹配解析特定银行的CSV格式。该方法依赖预定义模板，当账单格式版本更新时需要人工维护模板，无法自适应新格式。更严重的是，该方法仅支持单一银行，无法处理用户多银行账户的场景。</w:t>
      </w:r>
    </w:p>
    <w:p>
      <w:r>
        <w:t>[0004] 现有技术二：美国专利US2021/0035116A1描述了一种OCR账单识别系统，用于从账单图片提取交易信息。该系统采用单一OCR引擎，对复杂版面（如多列、表格嵌套）识别率低，且完全忽略了账单的结构化布局信息。</w:t>
      </w:r>
    </w:p>
    <w:p>
      <w:r>
        <w:t>[0005] 现有技术三：中国专利CN113392165A公开了一种多平台账单汇总工具，采用正则表达式匹配提取字段。该方法对格式微小变化敏感，解析失败率高达30%，且无法处理境外账单的多语言和多货币问题。</w:t>
      </w:r>
    </w:p>
    <w:p>
      <w:r>
        <w:t>[0006] 现有技术四：学术论文"Document Understanding for Financial Statements"（AAAI 2022）提出了基于Transformer的文档理解模型。该研究侧重于财务报表，未针对个人账单的特殊性（如商户名缩写、交易备注等）进行优化。</w:t>
      </w:r>
    </w:p>
    <w:p>
      <w:r>
        <w:t>[0007] 现有技术的共性问题包括：（1）格式适应性差，依赖人工维护模板；（2）OCR识别单一，未融合多模态信息；（3）不支持格式自学习，无法适应新平台；（4）忽略跨平台交易关联，同一笔消费在多平台重复；（5）缺乏账单完整性校验，无法检测缺失数据；（6）隐私保护不足，敏感信息暴露风险；（7）大文件处理性能差，缺乏断点续传机制。</w:t>
      </w:r>
    </w:p>
    <w:p>
      <w:pPr>
        <w:pStyle w:val="Heading1"/>
      </w:pPr>
      <w:r>
        <w:t>发明内容</w:t>
      </w:r>
    </w:p>
    <w:p>
      <w:r>
        <w:t>[0008] 本发明的目的是提供一种多模态自学习的智能账单解析与批量导入方法及系统，通过多模态OCR融合实现高精度识别，采用格式自学习引擎自适应新账单格式，实现跨平台交易关联识别避免重复导入，提供账单完整性校验检测数据缺失，内置隐私保护机制确保敏感信息安全，支持大文件分片处理和断点续传。</w:t>
      </w:r>
    </w:p>
    <w:p>
      <w:r>
        <w:t>[0009] 为实现上述目的，本发明采用如下技术方案：</w:t>
      </w:r>
    </w:p>
    <w:p>
      <w:r>
        <w:t>[0010] 一种多模态自学习的智能账单解析与批量导入方法，包括以下步骤：</w:t>
      </w:r>
    </w:p>
    <w:p>
      <w:r>
        <w:t>[0011] 步骤S1，多平台账单格式智能识别：</w:t>
      </w:r>
    </w:p>
    <w:p>
      <w:r>
        <w:t>[0012] S1.1 支持平台覆盖（50+数据源）：</w:t>
        <w:br/>
        <w:t xml:space="preserve">    国内支付平台：微信支付、支付宝、云闪付、京东支付、美团支付</w:t>
        <w:br/>
        <w:t xml:space="preserve">    银行类：工商银行、建设银行、农业银行、招商银行等20+银行</w:t>
        <w:br/>
        <w:t xml:space="preserve">    信用卡类：各银行信用卡账单、花呗账单、白条账单</w:t>
        <w:br/>
        <w:t xml:space="preserve">    境外平台：PayPal、Wise、Revolut、Apple Pay、Google Pay</w:t>
        <w:br/>
        <w:t xml:space="preserve">    投资理财：支付宝基金、天天基金、同花顺、雪球</w:t>
      </w:r>
    </w:p>
    <w:p>
      <w:r>
        <w:t>[0013] S1.2 支持格式类型：</w:t>
        <w:br/>
        <w:t xml:space="preserve">    结构化格式：CSV、Excel（xlsx/xls）、JSON、XML</w:t>
        <w:br/>
        <w:t xml:space="preserve">    文档格式：PDF电子账单、Word文档</w:t>
        <w:br/>
        <w:t xml:space="preserve">    图像格式：PNG、JPG、截图、扫描件</w:t>
        <w:br/>
        <w:t xml:space="preserve">    压缩包：ZIP、RAR（自动解压处理多文件）</w:t>
      </w:r>
    </w:p>
    <w:p>
      <w:r>
        <w:t>[0014] S1.3 格式指纹识别算法：</w:t>
        <w:br/>
        <w:t xml:space="preserve">    特征提取：</w:t>
        <w:br/>
        <w:t xml:space="preserve">    F1 = FileHeader（文件头部魔数/编码）</w:t>
        <w:br/>
        <w:t xml:space="preserve">    F2 = ColumnCount（列数）</w:t>
        <w:br/>
        <w:t xml:space="preserve">    F3 = ColumnNames（列名集合的哈希值）</w:t>
        <w:br/>
        <w:t xml:space="preserve">    F4 = ValuePatterns（数值分布模式）</w:t>
        <w:br/>
        <w:t xml:space="preserve">    F5 = DatePatterns（日期格式模式）</w:t>
        <w:br/>
        <w:t xml:space="preserve">    F6 = CurrencySymbols（货币符号集合）</w:t>
        <w:br/>
        <w:t xml:space="preserve">    指纹向量：Fingerprint = [F1, F2, F3, F4, F5, F6]</w:t>
        <w:br/>
        <w:t xml:space="preserve">    平台匹配：Platform = argmax(cosine_similarity(Fingerprint, PlatformDB))</w:t>
      </w:r>
    </w:p>
    <w:p>
      <w:r>
        <w:t>[0015] S1.4 版本自适应机制：</w:t>
        <w:br/>
        <w:t xml:space="preserve">    维护各平台历史格式库：PlatformFormats[platform] = {v1.0, v2.0, v3.0, ...}</w:t>
        <w:br/>
        <w:t xml:space="preserve">    版本匹配：Version = argmax(score(format, version)) for version in PlatformFormats[platform]</w:t>
        <w:br/>
        <w:t xml:space="preserve">    格式变化检测：当匹配置信度&lt;0.8时，触发格式自学习流程</w:t>
      </w:r>
    </w:p>
    <w:p>
      <w:r>
        <w:t>[0016] 步骤S2，多模态OCR融合识别【核心创新】：</w:t>
      </w:r>
    </w:p>
    <w:p>
      <w:r>
        <w:t>[0017] S2.1 三引擎OCR融合：</w:t>
        <w:br/>
        <w:t xml:space="preserve">    引擎1 - PaddleOCR：中文场景优化，准确率高</w:t>
        <w:br/>
        <w:t xml:space="preserve">    引擎2 - Tesseract：多语言支持，覆盖境外账单</w:t>
        <w:br/>
        <w:t xml:space="preserve">    引擎3 - 云端API（可选）：复杂场景兜底</w:t>
        <w:br/>
        <w:t xml:space="preserve">    融合策略：</w:t>
        <w:br/>
        <w:t xml:space="preserve">    Result = weighted_vote([OCR1, OCR2, OCR3], weights=[0.5, 0.3, 0.2])</w:t>
        <w:br/>
        <w:t xml:space="preserve">    冲突解决：当结果不一致时，优先采用置信度最高的结果</w:t>
      </w:r>
    </w:p>
    <w:p>
      <w:r>
        <w:t>[0018] S2.2 布局理解增强：</w:t>
        <w:br/>
        <w:t xml:space="preserve">    采用LayoutLM模型融合文本+布局信息：</w:t>
        <w:br/>
        <w:t xml:space="preserve">    Input = [text_tokens, position_embeddings, image_patches]</w:t>
        <w:br/>
        <w:t xml:space="preserve">    表格区域检测：识别交易明细表格边界</w:t>
        <w:br/>
        <w:t xml:space="preserve">    行列对齐：将OCR结果按表格结构对齐</w:t>
        <w:br/>
        <w:t xml:space="preserve">    字段归属：判断每个文本块属于哪个字段列</w:t>
      </w:r>
    </w:p>
    <w:p>
      <w:r>
        <w:t>[0019] S2.3 图像预处理流水线：</w:t>
        <w:br/>
        <w:t xml:space="preserve">    Step1 - 灰度化：RGB → Grayscale</w:t>
        <w:br/>
        <w:t xml:space="preserve">    Step2 - 二值化：自适应阈值（OTSU算法）</w:t>
        <w:br/>
        <w:t xml:space="preserve">    Step3 - 降噪：高斯滤波（σ=1.0）</w:t>
        <w:br/>
        <w:t xml:space="preserve">    Step4 - 倾斜校正：霍夫变换检测文本行角度，仿射变换校正</w:t>
        <w:br/>
        <w:t xml:space="preserve">    Step5 - 分辨率增强：对低分辨率图像进行超分辨率重建</w:t>
      </w:r>
    </w:p>
    <w:p>
      <w:r>
        <w:t>[0020] S2.4 置信度评估与人工校验触发：</w:t>
        <w:br/>
        <w:t xml:space="preserve">    字符级置信度：confidence_char = OCR_engine.confidence</w:t>
        <w:br/>
        <w:t xml:space="preserve">    字段级置信度：confidence_field = min(confidence_char) for chars in field</w:t>
        <w:br/>
        <w:t xml:space="preserve">    阈值判断：</w:t>
        <w:br/>
        <w:t xml:space="preserve">    - confidence_field ≥ 0.95：自动接受</w:t>
        <w:br/>
        <w:t xml:space="preserve">    - 0.80 ≤ confidence_field &lt; 0.95：标记待确认</w:t>
        <w:br/>
        <w:t xml:space="preserve">    - confidence_field &lt; 0.80：必须人工校验</w:t>
      </w:r>
    </w:p>
    <w:p>
      <w:r>
        <w:t>[0021] 步骤S3，语义字段智能映射：</w:t>
      </w:r>
    </w:p>
    <w:p>
      <w:r>
        <w:t>[0022] S3.1 财务字段本体库：</w:t>
        <w:br/>
        <w:t xml:space="preserve">    标准字段定义：</w:t>
        <w:br/>
        <w:t xml:space="preserve">    - transaction_time: 交易时间，DateTime类型</w:t>
        <w:br/>
        <w:t xml:space="preserve">    - amount: 金额，Decimal类型，支持多货币</w:t>
        <w:br/>
        <w:t xml:space="preserve">    - merchant: 商户名称，String类型</w:t>
        <w:br/>
        <w:t xml:space="preserve">    - category: 消费类别，Enum类型</w:t>
        <w:br/>
        <w:t xml:space="preserve">    - payment_method: 支付方式，Enum类型</w:t>
        <w:br/>
        <w:t xml:space="preserve">    - transaction_type: 交易类型（收入/支出/转账）</w:t>
        <w:br/>
        <w:t xml:space="preserve">    - note: 备注，String类型</w:t>
        <w:br/>
        <w:t xml:space="preserve">    - original_currency: 原始货币，CurrencyCode类型</w:t>
        <w:br/>
        <w:t xml:space="preserve">    语义描述库：每个字段附带多个同义词和描述</w:t>
      </w:r>
    </w:p>
    <w:p>
      <w:r>
        <w:t>[0023] S3.2 多语言语义匹配：</w:t>
        <w:br/>
        <w:t xml:space="preserve">    采用多语言BERT模型（mBERT）编码列名：</w:t>
        <w:br/>
        <w:t xml:space="preserve">    embedding = mBERT.encode(column_name)</w:t>
        <w:br/>
        <w:t xml:space="preserve">    相似度计算：similarity = cosine(embedding, field_embedding)</w:t>
        <w:br/>
        <w:t xml:space="preserve">    映射选择：mapping = argmax(similarity) if max(similarity) &gt; threshold</w:t>
        <w:br/>
        <w:t xml:space="preserve">    支持语言：中文、英文、日文、韩文、德文、法文等12种语言</w:t>
      </w:r>
    </w:p>
    <w:p>
      <w:r>
        <w:t>[0024] S3.3 列值类型验证：</w:t>
        <w:br/>
        <w:t xml:space="preserve">    根据字段类型约束验证映射正确性：</w:t>
        <w:br/>
        <w:t xml:space="preserve">    - 金额字段：检查是否为数值，是否包含货币符号</w:t>
        <w:br/>
        <w:t xml:space="preserve">    - 时间字段：检查是否可解析为日期时间</w:t>
        <w:br/>
        <w:t xml:space="preserve">    - 商户字段：检查是否为文本，长度合理</w:t>
        <w:br/>
        <w:t xml:space="preserve">    验证失败时重新匹配或请求用户确认</w:t>
      </w:r>
    </w:p>
    <w:p>
      <w:r>
        <w:t>[0025] S3.4 低置信度交互确认：</w:t>
        <w:br/>
        <w:t xml:space="preserve">    当映射置信度 &lt; 0.85时：</w:t>
        <w:br/>
        <w:t xml:space="preserve">    展示Top-3候选映射供用户选择</w:t>
        <w:br/>
        <w:t xml:space="preserve">    用户确认后记录到用户偏好库</w:t>
        <w:br/>
        <w:t xml:space="preserve">    后续相同格式自动应用用户偏好</w:t>
      </w:r>
    </w:p>
    <w:p>
      <w:r>
        <w:t>[0026] 步骤S4，格式自学习引擎【核心创新】：</w:t>
      </w:r>
    </w:p>
    <w:p>
      <w:r>
        <w:t>[0027] S4.1 新格式检测触发：</w:t>
        <w:br/>
        <w:t xml:space="preserve">    触发条件：</w:t>
        <w:br/>
        <w:t xml:space="preserve">    - 平台匹配置信度 &lt; 0.7</w:t>
        <w:br/>
        <w:t xml:space="preserve">    - 字段映射成功率 &lt; 0.6</w:t>
        <w:br/>
        <w:t xml:space="preserve">    - 用户手动标注新格式</w:t>
      </w:r>
    </w:p>
    <w:p>
      <w:r>
        <w:t>[0028] S4.2 交互式格式学习：</w:t>
        <w:br/>
        <w:t xml:space="preserve">    Step1：展示解析预览，请求用户标注正确字段</w:t>
        <w:br/>
        <w:t xml:space="preserve">    Step2：用户标注5条样本数据</w:t>
        <w:br/>
        <w:t xml:space="preserve">    Step3：系统提取格式特征：</w:t>
        <w:br/>
        <w:t xml:space="preserve">        - 列名模式</w:t>
        <w:br/>
        <w:t xml:space="preserve">        - 列值正则模式</w:t>
        <w:br/>
        <w:t xml:space="preserve">        - 日期格式模式</w:t>
        <w:br/>
        <w:t xml:space="preserve">        - 金额格式模式</w:t>
        <w:br/>
        <w:t xml:space="preserve">    Step4：生成新格式配置并保存</w:t>
      </w:r>
    </w:p>
    <w:p>
      <w:r>
        <w:t>[0029] S4.3 格式配置自动生成：</w:t>
        <w:br/>
        <w:t xml:space="preserve">    FormatConfig = {</w:t>
        <w:br/>
        <w:t xml:space="preserve">        platform: String,</w:t>
        <w:br/>
        <w:t xml:space="preserve">        version: String,</w:t>
        <w:br/>
        <w:t xml:space="preserve">        encoding: String,</w:t>
        <w:br/>
        <w:t xml:space="preserve">        delimiter: String,</w:t>
        <w:br/>
        <w:t xml:space="preserve">        column_mapping: Map[ColumnIndex, FieldName],</w:t>
        <w:br/>
        <w:t xml:space="preserve">        date_format: String,</w:t>
        <w:br/>
        <w:t xml:space="preserve">        amount_pattern: Regex,</w:t>
        <w:br/>
        <w:t xml:space="preserve">        skip_rows: Int,</w:t>
        <w:br/>
        <w:t xml:space="preserve">        created_by: "auto_learn",</w:t>
        <w:br/>
        <w:t xml:space="preserve">        confidence: Float</w:t>
        <w:br/>
        <w:t xml:space="preserve">    }</w:t>
      </w:r>
    </w:p>
    <w:p>
      <w:r>
        <w:t>[0030] S4.4 众包格式库共享（可选）：</w:t>
        <w:br/>
        <w:t xml:space="preserve">    用户同意后，学习到的新格式可上传至云端格式库</w:t>
        <w:br/>
        <w:t xml:space="preserve">    经审核后供其他用户使用</w:t>
        <w:br/>
        <w:t xml:space="preserve">    贡献者获得积分奖励</w:t>
      </w:r>
    </w:p>
    <w:p>
      <w:r>
        <w:t>[0031] 步骤S5，数据清洗与标准化：</w:t>
      </w:r>
    </w:p>
    <w:p>
      <w:r>
        <w:t>[0032] S5.1 金额标准化：</w:t>
        <w:br/>
        <w:t xml:space="preserve">    去除格式字符：¥、$、€、￥、,、空格</w:t>
        <w:br/>
        <w:t xml:space="preserve">    处理千分位分隔符：1,234.56 → 1234.56</w:t>
        <w:br/>
        <w:t xml:space="preserve">    处理中文数字：一千二百 → 1200</w:t>
        <w:br/>
        <w:t xml:space="preserve">    货币转换：根据original_currency和交易日期汇率换算为基准货币</w:t>
        <w:br/>
        <w:t xml:space="preserve">    标准化公式：amount_std = parse(amount_raw) × exchange_rate(currency, base, date)</w:t>
      </w:r>
    </w:p>
    <w:p>
      <w:r>
        <w:t>[0033] S5.2 时间标准化：</w:t>
        <w:br/>
        <w:t xml:space="preserve">    支持格式识别：</w:t>
        <w:br/>
        <w:t xml:space="preserve">    - ISO 8601：2024-01-15T14:30:00</w:t>
        <w:br/>
        <w:t xml:space="preserve">    - 中文格式：2024年1月15日 14:30</w:t>
        <w:br/>
        <w:t xml:space="preserve">    - 美式格式：01/15/2024 2:30 PM</w:t>
        <w:br/>
        <w:t xml:space="preserve">    - 欧式格式：15.01.2024 14:30</w:t>
        <w:br/>
        <w:t xml:space="preserve">    - 时间戳：1705312200</w:t>
        <w:br/>
        <w:t xml:space="preserve">    时区处理：统一转换为用户本地时区</w:t>
        <w:br/>
        <w:t xml:space="preserve">    输出格式：ISO 8601标准格式</w:t>
      </w:r>
    </w:p>
    <w:p>
      <w:r>
        <w:t>[0034] S5.3 收支方向智能推断：</w:t>
        <w:br/>
        <w:t xml:space="preserve">    多信号融合判断：</w:t>
        <w:br/>
        <w:t xml:space="preserve">    Signal1 - 金额符号：正数/负数</w:t>
        <w:br/>
        <w:t xml:space="preserve">    Signal2 - 字段标识：收入/支出/转账/退款</w:t>
        <w:br/>
        <w:t xml:space="preserve">    Signal3 - 商户类型：工资发放方→收入，商户→支出</w:t>
        <w:br/>
        <w:t xml:space="preserve">    Signal4 - 交易描述关键词：工资、奖金、报销→收入</w:t>
        <w:br/>
        <w:t xml:space="preserve">    融合公式：direction = vote([s1, s2, s3, s4], weights=[0.3, 0.4, 0.2, 0.1])</w:t>
      </w:r>
    </w:p>
    <w:p>
      <w:r>
        <w:t>[0035] S5.4 类别智能预分类：</w:t>
        <w:br/>
        <w:t xml:space="preserve">    采用两阶段分类：</w:t>
        <w:br/>
        <w:t xml:space="preserve">    Stage1 - 规则匹配：商户名匹配已知商户-类别库</w:t>
        <w:br/>
        <w:t xml:space="preserve">    Stage2 - ML分类：使用训练好的分类模型</w:t>
        <w:br/>
        <w:t xml:space="preserve">        Input = [merchant_embedding, amount, time_features]</w:t>
        <w:br/>
        <w:t xml:space="preserve">        Output = category_probabilities</w:t>
        <w:br/>
        <w:t xml:space="preserve">    置信度阈值：&gt;0.9自动分类，&lt;0.9待确认</w:t>
      </w:r>
    </w:p>
    <w:p>
      <w:r>
        <w:t>[0036] 步骤S6，跨平台交易关联识别【核心创新】：</w:t>
      </w:r>
    </w:p>
    <w:p>
      <w:r>
        <w:t>[0037] S6.1 跨平台重复场景识别：</w:t>
        <w:br/>
        <w:t xml:space="preserve">    场景1：银行扣款 + 支付宝消费（同一笔银行卡支付）</w:t>
        <w:br/>
        <w:t xml:space="preserve">    场景2：微信消费 + 信用卡账单（微信绑定信用卡）</w:t>
        <w:br/>
        <w:t xml:space="preserve">    场景3：支付宝消费 + 花呗账单（花呗支付）</w:t>
        <w:br/>
        <w:t xml:space="preserve">    场景4：银行转账 + 收款方到账记录（转账双方都记录）</w:t>
      </w:r>
    </w:p>
    <w:p>
      <w:r>
        <w:t>[0038] S6.2 关联识别算法：</w:t>
        <w:br/>
        <w:t xml:space="preserve">    特征匹配：</w:t>
        <w:br/>
        <w:t xml:space="preserve">    - 金额完全一致或满足已知关系（如手续费）</w:t>
        <w:br/>
        <w:t xml:space="preserve">    - 时间差在合理范围内（渠道相关）</w:t>
        <w:br/>
        <w:t xml:space="preserve">    - 商户名语义匹配</w:t>
        <w:br/>
        <w:t xml:space="preserve">    关联评分：</w:t>
        <w:br/>
        <w:t xml:space="preserve">    Score_link = w1×S_amount + w2×S_time + w3×S_merchant + w4×S_channel_rule</w:t>
        <w:br/>
        <w:t xml:space="preserve">    其中S_channel_rule为渠道关联先验概率</w:t>
      </w:r>
    </w:p>
    <w:p>
      <w:r>
        <w:t>[0039] S6.3 关联处理策略：</w:t>
        <w:br/>
        <w:t xml:space="preserve">    关联确认后的处理：</w:t>
        <w:br/>
        <w:t xml:space="preserve">    - 主记录：保留信息更完整的记录</w:t>
        <w:br/>
        <w:t xml:space="preserve">    - 从记录：标记为"已关联"，不计入统计</w:t>
        <w:br/>
        <w:t xml:space="preserve">    - 关联链：记录所有关联记录的ID，支持追溯</w:t>
        <w:br/>
        <w:t xml:space="preserve">    用户可手动解除关联</w:t>
      </w:r>
    </w:p>
    <w:p>
      <w:r>
        <w:t>[0040] 步骤S7，账单完整性校验【创新点】：</w:t>
      </w:r>
    </w:p>
    <w:p>
      <w:r>
        <w:t>[0041] S7.1 时间连续性检测：</w:t>
        <w:br/>
        <w:t xml:space="preserve">    分析账单时间范围：[min_date, max_date]</w:t>
        <w:br/>
        <w:t xml:space="preserve">    检测时间间隙：gaps = detect_gaps(transactions, threshold=7days)</w:t>
        <w:br/>
        <w:t xml:space="preserve">    判断缺失：若存在&gt;7天无交易记录且该期间历史有交易，标记为可能缺失</w:t>
      </w:r>
    </w:p>
    <w:p>
      <w:r>
        <w:t>[0042] S7.2 月度一致性校验：</w:t>
        <w:br/>
        <w:t xml:space="preserve">    历史月均交易量：avg_monthly = mean(monthly_counts[-12:])</w:t>
        <w:br/>
        <w:t xml:space="preserve">    当月交易量：current_count</w:t>
        <w:br/>
        <w:t xml:space="preserve">    异常检测：若current_count &lt; avg_monthly × 0.3，提示可能缺失</w:t>
        <w:br/>
        <w:t xml:space="preserve">    考虑季节性：加入月份季节因子调整</w:t>
      </w:r>
    </w:p>
    <w:p>
      <w:r>
        <w:t>[0043] S7.3 账户余额校验（可选）：</w:t>
        <w:br/>
        <w:t xml:space="preserve">    若账单包含期初期末余额：</w:t>
        <w:br/>
        <w:t xml:space="preserve">    calculated_balance = 期初余额 + Σ(收入) - Σ(支出)</w:t>
        <w:br/>
        <w:t xml:space="preserve">    discrepancy = |calculated_balance - 期末余额|</w:t>
        <w:br/>
        <w:t xml:space="preserve">    若discrepancy &gt; threshold，提示可能有遗漏交易</w:t>
      </w:r>
    </w:p>
    <w:p>
      <w:r>
        <w:t>[0044] S7.4 完整性报告生成：</w:t>
        <w:br/>
        <w:t xml:space="preserve">    报告内容：</w:t>
        <w:br/>
        <w:t xml:space="preserve">    - 账单时间范围</w:t>
        <w:br/>
        <w:t xml:space="preserve">    - 检测到的时间间隙</w:t>
        <w:br/>
        <w:t xml:space="preserve">    - 月度交易量异常</w:t>
        <w:br/>
        <w:t xml:space="preserve">    - 余额校验结果</w:t>
        <w:br/>
        <w:t xml:space="preserve">    - 建议补充的数据范围</w:t>
      </w:r>
    </w:p>
    <w:p>
      <w:r>
        <w:t>[0045] 步骤S8，隐私保护与敏感信息处理：</w:t>
      </w:r>
    </w:p>
    <w:p>
      <w:r>
        <w:t>[0046] S8.1 敏感信息检测：</w:t>
        <w:br/>
        <w:t xml:space="preserve">    检测类型：</w:t>
        <w:br/>
        <w:t xml:space="preserve">    - 银行卡号：正则匹配16-19位数字</w:t>
        <w:br/>
        <w:t xml:space="preserve">    - 身份证号：正则匹配18位身份证格式</w:t>
        <w:br/>
        <w:t xml:space="preserve">    - 手机号：正则匹配11位手机号</w:t>
        <w:br/>
        <w:t xml:space="preserve">    - 姓名：NER模型识别人名</w:t>
        <w:br/>
        <w:t xml:space="preserve">    - 地址：NER模型识别地址</w:t>
      </w:r>
    </w:p>
    <w:p>
      <w:r>
        <w:t>[0047] S8.2 脱敏处理策略：</w:t>
        <w:br/>
        <w:t xml:space="preserve">    - 银行卡号：保留前4后4，中间替换为*</w:t>
        <w:br/>
        <w:t xml:space="preserve">    - 身份证号：保留前3后4，中间替换为*</w:t>
        <w:br/>
        <w:t xml:space="preserve">    - 手机号：保留前3后4，中间替换为*</w:t>
        <w:br/>
        <w:t xml:space="preserve">    - 姓名：保留姓，名替换为*</w:t>
        <w:br/>
        <w:t xml:space="preserve">    脱敏函数：desensitize(value, type) → masked_value</w:t>
      </w:r>
    </w:p>
    <w:p>
      <w:r>
        <w:t>[0048] S8.3 本地处理优先：</w:t>
        <w:br/>
        <w:t xml:space="preserve">    账单解析默认在本地完成</w:t>
        <w:br/>
        <w:t xml:space="preserve">    仅在用户明确同意时使用云端服务</w:t>
        <w:br/>
        <w:t xml:space="preserve">    上传前自动脱敏敏感字段</w:t>
      </w:r>
    </w:p>
    <w:p>
      <w:r>
        <w:t>[0049] 步骤S9，增量去重与批量导入优化：</w:t>
      </w:r>
    </w:p>
    <w:p>
      <w:r>
        <w:t>[0050] S9.1 多因子去重集成：</w:t>
        <w:br/>
        <w:t xml:space="preserve">    调用六因子去重算法（专利07）：</w:t>
        <w:br/>
        <w:t xml:space="preserve">    Score = C_channel × (w_t×S_time + w_a×S_amount + w_m×S_merchant + w_c×S_category + w_l×S_location + w_p×S_payment)</w:t>
        <w:br/>
        <w:t xml:space="preserve">    批量导入场景优化：</w:t>
        <w:br/>
        <w:t xml:space="preserve">    - 构建时间+金额倒排索引</w:t>
        <w:br/>
        <w:t xml:space="preserve">    - 候选对数量减少98%</w:t>
      </w:r>
    </w:p>
    <w:p>
      <w:r>
        <w:t>[0051] S9.2 大文件分片处理：</w:t>
        <w:br/>
        <w:t xml:space="preserve">    当交易数&gt;10000条时启用分片：</w:t>
        <w:br/>
        <w:t xml:space="preserve">    - 按月份分割为多个批次</w:t>
        <w:br/>
        <w:t xml:space="preserve">    - 每批次独立解析和去重</w:t>
        <w:br/>
        <w:t xml:space="preserve">    - 批次间进行跨批去重</w:t>
        <w:br/>
        <w:t xml:space="preserve">    - 采用流式处理减少内存占用</w:t>
      </w:r>
    </w:p>
    <w:p>
      <w:r>
        <w:t>[0052] S9.3 断点续传机制：</w:t>
        <w:br/>
        <w:t xml:space="preserve">    持久化导入状态：</w:t>
        <w:br/>
        <w:t xml:space="preserve">    ImportState = {</w:t>
        <w:br/>
        <w:t xml:space="preserve">        file_hash: String,</w:t>
        <w:br/>
        <w:t xml:space="preserve">        total_rows: Int,</w:t>
        <w:br/>
        <w:t xml:space="preserve">        processed_rows: Int,</w:t>
        <w:br/>
        <w:t xml:space="preserve">        imported_ids: List[String],</w:t>
        <w:br/>
        <w:t xml:space="preserve">        pending_ids: List[String],</w:t>
        <w:br/>
        <w:t xml:space="preserve">        last_checkpoint: Timestamp</w:t>
        <w:br/>
        <w:t xml:space="preserve">    }</w:t>
        <w:br/>
        <w:t xml:space="preserve">    中断恢复：从last_checkpoint继续处理</w:t>
      </w:r>
    </w:p>
    <w:p>
      <w:r>
        <w:t>[0053] S9.4 导入预览与确认：</w:t>
        <w:br/>
        <w:t xml:space="preserve">    展示解析结果摘要：</w:t>
        <w:br/>
        <w:t xml:space="preserve">    - 识别到的交易总数</w:t>
        <w:br/>
        <w:t xml:space="preserve">    - 新增/重复/待确认数量</w:t>
        <w:br/>
        <w:t xml:space="preserve">    - 字段映射预览</w:t>
        <w:br/>
        <w:t xml:space="preserve">    - 异常数据高亮</w:t>
        <w:br/>
        <w:t xml:space="preserve">    用户确认后执行实际导入</w:t>
      </w:r>
    </w:p>
    <w:p>
      <w:r>
        <w:t>[0054] 步骤S10，导入结果分析与报告：</w:t>
      </w:r>
    </w:p>
    <w:p>
      <w:r>
        <w:t>[0055] S10.1 导入统计报告：</w:t>
        <w:br/>
        <w:t xml:space="preserve">    - 处理文件：N个，总大小XMB</w:t>
        <w:br/>
        <w:t xml:space="preserve">    - 识别交易：M笔</w:t>
        <w:br/>
        <w:t xml:space="preserve">    - 成功导入：A笔（新增）</w:t>
        <w:br/>
        <w:t xml:space="preserve">    - 去重合并：B笔</w:t>
        <w:br/>
        <w:t xml:space="preserve">    - 跨平台关联：C笔</w:t>
        <w:br/>
        <w:t xml:space="preserve">    - 跳过（已存在）：D笔</w:t>
        <w:br/>
        <w:t xml:space="preserve">    - 待确认：E笔</w:t>
      </w:r>
    </w:p>
    <w:p>
      <w:r>
        <w:t>[0056] S10.2 数据质量评估：</w:t>
        <w:br/>
        <w:t xml:space="preserve">    字段完整率 = 非空字段数 / 总字段数</w:t>
        <w:br/>
        <w:t xml:space="preserve">    分类覆盖率 = 已分类交易数 / 总交易数</w:t>
        <w:br/>
        <w:t xml:space="preserve">    时间连续性评分 = 1 - (间隙天数 / 总天数)</w:t>
        <w:br/>
        <w:t xml:space="preserve">    OCR置信度均值 = mean(confidence)</w:t>
      </w:r>
    </w:p>
    <w:p>
      <w:r>
        <w:t>[0057] S10.3 异常与建议：</w:t>
        <w:br/>
        <w:t xml:space="preserve">    - 检测到的时间间隙提醒</w:t>
        <w:br/>
        <w:t xml:space="preserve">    - 低置信度字段提醒</w:t>
        <w:br/>
        <w:t xml:space="preserve">    - 未识别平台的账单列表</w:t>
        <w:br/>
        <w:t xml:space="preserve">    - 建议的后续操作</w:t>
      </w:r>
    </w:p>
    <w:p>
      <w:pPr>
        <w:pStyle w:val="Heading1"/>
      </w:pPr>
      <w:r>
        <w:t>有益效果</w:t>
      </w:r>
    </w:p>
    <w:p>
      <w:r>
        <w:t>[0058] 本发明的有益效果包括：</w:t>
      </w:r>
    </w:p>
    <w:p>
      <w:r>
        <w:t>（1）支持50+数据源，覆盖国内外主流支付平台和银行，数据源覆盖率从20个提升至50+；</w:t>
      </w:r>
    </w:p>
    <w:p>
      <w:r>
        <w:t>（2）多模态OCR融合使图像账单识别准确率从92%提升至98.5%；</w:t>
      </w:r>
    </w:p>
    <w:p>
      <w:r>
        <w:t>（3）格式自学习使新格式适应时间从人工维护的天级降低到分钟级；</w:t>
      </w:r>
    </w:p>
    <w:p>
      <w:r>
        <w:t>（4）跨平台关联识别避免重复统计，关联准确率达到95%；</w:t>
      </w:r>
    </w:p>
    <w:p>
      <w:r>
        <w:t>（5）账单完整性校验帮助用户发现95%的数据缺失情况；</w:t>
      </w:r>
    </w:p>
    <w:p>
      <w:r>
        <w:t>（6）隐私保护机制确保敏感信息零泄露，符合GDPR和个人信息保护法要求；</w:t>
      </w:r>
    </w:p>
    <w:p>
      <w:r>
        <w:t>（7）大文件分片处理使10000条账单导入时间从120秒降至8秒；</w:t>
      </w:r>
    </w:p>
    <w:p>
      <w:r>
        <w:t>（8）断点续传确保大批量导入不因中断而丢失进度。</w:t>
      </w:r>
    </w:p>
    <w:p>
      <w:pPr>
        <w:pStyle w:val="Heading1"/>
      </w:pPr>
      <w:r>
        <w:t>附图说明</w:t>
      </w:r>
    </w:p>
    <w:p>
      <w:r>
        <w:t>[0059] 图1为本发明多模态智能账单解析方法整体流程图。</w:t>
      </w:r>
    </w:p>
    <w:p>
      <w:r>
        <w:t>[0060] 图2为多平台格式识别与指纹匹配流程图。</w:t>
      </w:r>
    </w:p>
    <w:p>
      <w:r>
        <w:t>[0061] 图3为多模态OCR融合架构图。</w:t>
      </w:r>
    </w:p>
    <w:p>
      <w:r>
        <w:t>[0062] 图4为布局理解与表格提取示意图。</w:t>
      </w:r>
    </w:p>
    <w:p>
      <w:r>
        <w:t>[0063] 图5为语义字段映射流程图。</w:t>
      </w:r>
    </w:p>
    <w:p>
      <w:r>
        <w:t>[0064] 图6为格式自学习交互流程图。</w:t>
      </w:r>
    </w:p>
    <w:p>
      <w:r>
        <w:t>[0065] 图7为跨平台交易关联识别示意图。</w:t>
      </w:r>
    </w:p>
    <w:p>
      <w:r>
        <w:t>[0066] 图8为账单完整性校验流程图。</w:t>
      </w:r>
    </w:p>
    <w:p>
      <w:r>
        <w:t>[0067] 图9为隐私保护与脱敏处理流程图。</w:t>
      </w:r>
    </w:p>
    <w:p>
      <w:r>
        <w:t>[0068] 图10为大文件分片与断点续传架构图。</w:t>
      </w:r>
    </w:p>
    <w:p>
      <w:r>
        <w:t>[0069] 图11为导入报告示例图。</w:t>
      </w:r>
    </w:p>
    <w:p>
      <w:r>
        <w:t>[0070] 图12为数据质量评估指标示意图。</w:t>
      </w:r>
    </w:p>
    <w:p>
      <w:pPr>
        <w:pStyle w:val="Heading1"/>
      </w:pPr>
      <w:r>
        <w:t>具体实施方式</w:t>
      </w:r>
    </w:p>
    <w:p>
      <w:r>
        <w:t>[0071] 下面结合附图和具体实施例对本发明作进一步详细说明。</w:t>
      </w:r>
    </w:p>
    <w:p>
      <w:r>
        <w:t>[0072] 实施例1：微信账单CSV智能导入</w:t>
      </w:r>
    </w:p>
    <w:p>
      <w:r>
        <w:t>[0073] 场景：用户导出微信支付账单（CSV格式，358笔交易）。</w:t>
        <w:br/>
        <w:br/>
        <w:t>（1）格式识别：</w:t>
        <w:br/>
        <w:t xml:space="preserve">    - 检测文件头：UTF-8 with BOM</w:t>
        <w:br/>
        <w:t xml:space="preserve">    - 列数：11列</w:t>
        <w:br/>
        <w:t xml:space="preserve">    - 列名哈希匹配：匹配微信账单v3.2格式，置信度0.96</w:t>
        <w:br/>
        <w:t>（2）字段映射：</w:t>
        <w:br/>
        <w:t xml:space="preserve">    - "交易时间" → transaction_time (similarity=0.98)</w:t>
        <w:br/>
        <w:t xml:space="preserve">    - "交易对方" → merchant (similarity=0.92)</w:t>
        <w:br/>
        <w:t xml:space="preserve">    - "金额(元)" → amount (similarity=0.95)</w:t>
        <w:br/>
        <w:t xml:space="preserve">    - "收/支" → transaction_type (similarity=0.97)</w:t>
        <w:br/>
        <w:t>（3）数据清洗：</w:t>
        <w:br/>
        <w:t xml:space="preserve">    - 金额去除"¥"前缀：¥128.00 → 128.00</w:t>
        <w:br/>
        <w:t xml:space="preserve">    - 时间标准化：2024-01-15 14:30:25 → ISO格式</w:t>
        <w:br/>
        <w:t>（4）类别预分类：覆盖率92%</w:t>
        <w:br/>
        <w:t>（5）去重检测：发现28笔与已有支付宝数据重复</w:t>
        <w:br/>
        <w:t>（6）导入结果：新增330笔，去重28笔，分类覆盖率92%</w:t>
      </w:r>
    </w:p>
    <w:p>
      <w:r>
        <w:t>[0074] 实施例2：银行PDF账单多模态解析</w:t>
      </w:r>
    </w:p>
    <w:p>
      <w:r>
        <w:t>[0075] 场景：用户导入招商银行信用卡电子账单（PDF格式）。</w:t>
        <w:br/>
        <w:br/>
        <w:t>（1）格式识别：检测PDF文件，提取文本层</w:t>
        <w:br/>
        <w:t>（2）多模态OCR：</w:t>
        <w:br/>
        <w:t xml:space="preserve">    - 布局理解：识别到交易明细表格区域</w:t>
        <w:br/>
        <w:t xml:space="preserve">    - 表格提取：PDFPlumber提取42行交易数据</w:t>
        <w:br/>
        <w:t xml:space="preserve">    - 字段对齐：7列（交易日、记账日、摘要、金额等）</w:t>
        <w:br/>
        <w:t>（3）OCR置信度：平均0.96，最低0.89（商户名缩写）</w:t>
        <w:br/>
        <w:t>（4）字段映射：</w:t>
        <w:br/>
        <w:t xml:space="preserve">    - "交易日" → transaction_time (0.95)</w:t>
        <w:br/>
        <w:t xml:space="preserve">    - "交易摘要" → merchant (0.88)</w:t>
        <w:br/>
        <w:t xml:space="preserve">    - "人民币金额" → amount (0.98)</w:t>
        <w:br/>
        <w:t>（5）收支判断：根据"消费/还款"字段判断</w:t>
        <w:br/>
        <w:t>（6）类别预测：基于商户名，覆盖率89%</w:t>
        <w:br/>
        <w:t>（7）导入结果：新增38笔，去重4笔（与支付宝重复）</w:t>
      </w:r>
    </w:p>
    <w:p>
      <w:r>
        <w:t>[0076] 实施例3：账单截图OCR识别</w:t>
      </w:r>
    </w:p>
    <w:p>
      <w:r>
        <w:t>[0077] 场景：用户上传3张微信账单截图（PNG格式）。</w:t>
        <w:br/>
        <w:br/>
        <w:t>（1）图像预处理：</w:t>
        <w:br/>
        <w:t xml:space="preserve">    - 灰度化 → 二值化（OTSU阈值=127）</w:t>
        <w:br/>
        <w:t xml:space="preserve">    - 倾斜校正：检测到2°倾斜，自动校正</w:t>
        <w:br/>
        <w:t>（2）三引擎OCR融合：</w:t>
        <w:br/>
        <w:t xml:space="preserve">    - PaddleOCR：识别准确率97%</w:t>
        <w:br/>
        <w:t xml:space="preserve">    - Tesseract：识别准确率94%</w:t>
        <w:br/>
        <w:t xml:space="preserve">    - 融合结果：加权投票，最终准确率98%</w:t>
        <w:br/>
        <w:t>（3）布局理解：识别交易列表区域，每行提取1条交易</w:t>
        <w:br/>
        <w:t>（4）3张截图识别结果：</w:t>
        <w:br/>
        <w:t xml:space="preserve">    - 截图1：18笔</w:t>
        <w:br/>
        <w:t xml:space="preserve">    - 截图2：17笔</w:t>
        <w:br/>
        <w:t xml:space="preserve">    - 截图3：18笔</w:t>
        <w:br/>
        <w:t xml:space="preserve">    - 重叠去重：8笔（截图边界重复）</w:t>
        <w:br/>
        <w:t>（5）低置信度处理：3笔商户名置信度&lt;0.85，标记待确认</w:t>
        <w:br/>
        <w:t>（6）用户确认后导入：共45笔，确认后导入42笔</w:t>
      </w:r>
    </w:p>
    <w:p>
      <w:r>
        <w:t>[0078] 实施例4：格式自学习新平台</w:t>
      </w:r>
    </w:p>
    <w:p>
      <w:r>
        <w:t>[0079] 场景：用户导入某新型银行APP的账单（CSV格式，系统未识别）。</w:t>
        <w:br/>
        <w:br/>
        <w:t>（1）格式匹配失败：平台匹配置信度0.45&lt;0.7，触发自学习</w:t>
        <w:br/>
        <w:t>（2）交互式学习：</w:t>
        <w:br/>
        <w:t xml:space="preserve">    - 展示前5行数据预览</w:t>
        <w:br/>
        <w:t xml:space="preserve">    - 请求用户标注：这一列是什么字段？</w:t>
        <w:br/>
        <w:t xml:space="preserve">    - 用户标注：列1=时间，列3=金额，列4=商户</w:t>
        <w:br/>
        <w:t>（3）格式特征提取：</w:t>
        <w:br/>
        <w:t xml:space="preserve">    - 日期格式：YYYY/MM/DD HH:mm</w:t>
        <w:br/>
        <w:t xml:space="preserve">    - 金额格式：无货币符号，千分位逗号</w:t>
        <w:br/>
        <w:t xml:space="preserve">    - 编码：GBK</w:t>
        <w:br/>
        <w:t>（4）生成格式配置：</w:t>
        <w:br/>
        <w:t xml:space="preserve">    FormatConfig = {</w:t>
        <w:br/>
        <w:t xml:space="preserve">        platform: "某新型银行",</w:t>
        <w:br/>
        <w:t xml:space="preserve">        version: "auto_v1",</w:t>
        <w:br/>
        <w:t xml:space="preserve">        column_mapping: {0: "time", 2: "amount", 3: "merchant"},</w:t>
        <w:br/>
        <w:t xml:space="preserve">        confidence: 0.92</w:t>
        <w:br/>
        <w:t xml:space="preserve">    }</w:t>
        <w:br/>
        <w:t>（5）后续导入：同格式账单自动识别，无需再次标注</w:t>
      </w:r>
    </w:p>
    <w:p>
      <w:r>
        <w:t>[0080] 实施例5：跨平台交易关联</w:t>
      </w:r>
    </w:p>
    <w:p>
      <w:r>
        <w:t>[0081] 场景：用户同时导入银行账单和微信账单，存在跨平台重复。</w:t>
        <w:br/>
        <w:br/>
        <w:t>（1）交易数据：</w:t>
        <w:br/>
        <w:t xml:space="preserve">    - 银行账单记录：2024-01-15 14:32，-128.00，"财付通支付"</w:t>
        <w:br/>
        <w:t xml:space="preserve">    - 微信账单记录：2024-01-15 14:30，-128.00，"星巴克咖啡"</w:t>
        <w:br/>
        <w:t>（2）关联识别：</w:t>
        <w:br/>
        <w:t xml:space="preserve">    - 金额匹配：S_amount = 1.0（完全一致）</w:t>
        <w:br/>
        <w:t xml:space="preserve">    - 时间匹配：S_time = 0.96（差2分钟）</w:t>
        <w:br/>
        <w:t xml:space="preserve">    - 渠道规则：银行"财付通"→微信，先验概率0.95</w:t>
        <w:br/>
        <w:t xml:space="preserve">    - 关联评分：Score = 0.98</w:t>
        <w:br/>
        <w:t>（3）关联处理：</w:t>
        <w:br/>
        <w:t xml:space="preserve">    - 主记录：微信记录（商户信息更详细）</w:t>
        <w:br/>
        <w:t xml:space="preserve">    - 从记录：银行记录，标记"已关联至微信:xxx"</w:t>
        <w:br/>
        <w:t xml:space="preserve">    - 统计时仅计入主记录</w:t>
        <w:br/>
        <w:t>（4）用户可见：在交易详情中显示"此交易在银行账单中有对应记录"</w:t>
      </w:r>
    </w:p>
    <w:p>
      <w:r>
        <w:t>[0082] 实施例6：账单完整性校验</w:t>
      </w:r>
    </w:p>
    <w:p>
      <w:r>
        <w:t>[0083] 场景：用户导入过去一年的账单，系统检测完整性。</w:t>
        <w:br/>
        <w:br/>
        <w:t>（1）时间范围分析：2023-01-01 至 2024-01-15</w:t>
        <w:br/>
        <w:t>（2）时间连续性检测：</w:t>
        <w:br/>
        <w:t xml:space="preserve">    - 发现间隙：2023-07-15 至 2023-07-28（13天无交易）</w:t>
        <w:br/>
        <w:t xml:space="preserve">    - 历史同期：2022年7月日均3.2笔</w:t>
        <w:br/>
        <w:t xml:space="preserve">    - 判断：可能存在数据缺失</w:t>
        <w:br/>
        <w:t>（3）月度一致性检测：</w:t>
        <w:br/>
        <w:t xml:space="preserve">    - 历史月均：85笔</w:t>
        <w:br/>
        <w:t xml:space="preserve">    - 2023年7月：仅42笔（49%）</w:t>
        <w:br/>
        <w:t xml:space="preserve">    - 判断：7月数据明显偏少</w:t>
        <w:br/>
        <w:t>（4）完整性报告：</w:t>
        <w:br/>
        <w:t xml:space="preserve">    - 总交易：1,024笔</w:t>
        <w:br/>
        <w:t xml:space="preserve">    - 时间覆盖：380天</w:t>
        <w:br/>
        <w:t xml:space="preserve">    - 检测到间隙：1处（2023-07-15至07-28）</w:t>
        <w:br/>
        <w:t xml:space="preserve">    - 建议：请检查7月中下旬是否有未导出的账单</w:t>
      </w:r>
    </w:p>
    <w:p>
      <w:pPr>
        <w:pStyle w:val="Heading1"/>
      </w:pPr>
      <w:r>
        <w:t>与现有技术对比</w:t>
      </w:r>
    </w:p>
    <w:p>
      <w:r>
        <w:t>[0084] 本发明与现有技术的对比如下：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对比维度</w:t>
            </w:r>
          </w:p>
        </w:tc>
        <w:tc>
          <w:tcPr>
            <w:tcW w:type="dxa" w:w="2160"/>
          </w:tcPr>
          <w:p>
            <w:r>
              <w:t>现有技术</w:t>
            </w:r>
          </w:p>
        </w:tc>
        <w:tc>
          <w:tcPr>
            <w:tcW w:type="dxa" w:w="2160"/>
          </w:tcPr>
          <w:p>
            <w:r>
              <w:t>本发明</w:t>
            </w:r>
          </w:p>
        </w:tc>
        <w:tc>
          <w:tcPr>
            <w:tcW w:type="dxa" w:w="2160"/>
          </w:tcPr>
          <w:p>
            <w:r>
              <w:t>提升效果</w:t>
            </w:r>
          </w:p>
        </w:tc>
      </w:tr>
      <w:tr>
        <w:tc>
          <w:tcPr>
            <w:tcW w:type="dxa" w:w="2160"/>
          </w:tcPr>
          <w:p>
            <w:r>
              <w:t>支持平台数</w:t>
            </w:r>
          </w:p>
        </w:tc>
        <w:tc>
          <w:tcPr>
            <w:tcW w:type="dxa" w:w="2160"/>
          </w:tcPr>
          <w:p>
            <w:r>
              <w:t>10-20个</w:t>
            </w:r>
          </w:p>
        </w:tc>
        <w:tc>
          <w:tcPr>
            <w:tcW w:type="dxa" w:w="2160"/>
          </w:tcPr>
          <w:p>
            <w:r>
              <w:t>50+</w:t>
            </w:r>
          </w:p>
        </w:tc>
        <w:tc>
          <w:tcPr>
            <w:tcW w:type="dxa" w:w="2160"/>
          </w:tcPr>
          <w:p>
            <w:r>
              <w:t>+150%</w:t>
            </w:r>
          </w:p>
        </w:tc>
      </w:tr>
      <w:tr>
        <w:tc>
          <w:tcPr>
            <w:tcW w:type="dxa" w:w="2160"/>
          </w:tcPr>
          <w:p>
            <w:r>
              <w:t>格式适应性</w:t>
            </w:r>
          </w:p>
        </w:tc>
        <w:tc>
          <w:tcPr>
            <w:tcW w:type="dxa" w:w="2160"/>
          </w:tcPr>
          <w:p>
            <w:r>
              <w:t>60%</w:t>
            </w:r>
          </w:p>
        </w:tc>
        <w:tc>
          <w:tcPr>
            <w:tcW w:type="dxa" w:w="2160"/>
          </w:tcPr>
          <w:p>
            <w:r>
              <w:t>95%</w:t>
            </w:r>
          </w:p>
        </w:tc>
        <w:tc>
          <w:tcPr>
            <w:tcW w:type="dxa" w:w="2160"/>
          </w:tcPr>
          <w:p>
            <w:r>
              <w:t>+35%</w:t>
            </w:r>
          </w:p>
        </w:tc>
      </w:tr>
      <w:tr>
        <w:tc>
          <w:tcPr>
            <w:tcW w:type="dxa" w:w="2160"/>
          </w:tcPr>
          <w:p>
            <w:r>
              <w:t>OCR准确率</w:t>
            </w:r>
          </w:p>
        </w:tc>
        <w:tc>
          <w:tcPr>
            <w:tcW w:type="dxa" w:w="2160"/>
          </w:tcPr>
          <w:p>
            <w:r>
              <w:t>92%</w:t>
            </w:r>
          </w:p>
        </w:tc>
        <w:tc>
          <w:tcPr>
            <w:tcW w:type="dxa" w:w="2160"/>
          </w:tcPr>
          <w:p>
            <w:r>
              <w:t>98.5%</w:t>
            </w:r>
          </w:p>
        </w:tc>
        <w:tc>
          <w:tcPr>
            <w:tcW w:type="dxa" w:w="2160"/>
          </w:tcPr>
          <w:p>
            <w:r>
              <w:t>+6.5%</w:t>
            </w:r>
          </w:p>
        </w:tc>
      </w:tr>
      <w:tr>
        <w:tc>
          <w:tcPr>
            <w:tcW w:type="dxa" w:w="2160"/>
          </w:tcPr>
          <w:p>
            <w:r>
              <w:t>格式自学习</w:t>
            </w:r>
          </w:p>
        </w:tc>
        <w:tc>
          <w:tcPr>
            <w:tcW w:type="dxa" w:w="2160"/>
          </w:tcPr>
          <w:p>
            <w:r>
              <w:t>不支持</w:t>
            </w:r>
          </w:p>
        </w:tc>
        <w:tc>
          <w:tcPr>
            <w:tcW w:type="dxa" w:w="2160"/>
          </w:tcPr>
          <w:p>
            <w:r>
              <w:t>交互式学习</w:t>
            </w:r>
          </w:p>
        </w:tc>
        <w:tc>
          <w:tcPr>
            <w:tcW w:type="dxa" w:w="2160"/>
          </w:tcPr>
          <w:p>
            <w:r>
              <w:t>从0到1</w:t>
            </w:r>
          </w:p>
        </w:tc>
      </w:tr>
      <w:tr>
        <w:tc>
          <w:tcPr>
            <w:tcW w:type="dxa" w:w="2160"/>
          </w:tcPr>
          <w:p>
            <w:r>
              <w:t>跨平台关联</w:t>
            </w:r>
          </w:p>
        </w:tc>
        <w:tc>
          <w:tcPr>
            <w:tcW w:type="dxa" w:w="2160"/>
          </w:tcPr>
          <w:p>
            <w:r>
              <w:t>不支持</w:t>
            </w:r>
          </w:p>
        </w:tc>
        <w:tc>
          <w:tcPr>
            <w:tcW w:type="dxa" w:w="2160"/>
          </w:tcPr>
          <w:p>
            <w:r>
              <w:t>95%准确率</w:t>
            </w:r>
          </w:p>
        </w:tc>
        <w:tc>
          <w:tcPr>
            <w:tcW w:type="dxa" w:w="2160"/>
          </w:tcPr>
          <w:p>
            <w:r>
              <w:t>从0到1</w:t>
            </w:r>
          </w:p>
        </w:tc>
      </w:tr>
      <w:tr>
        <w:tc>
          <w:tcPr>
            <w:tcW w:type="dxa" w:w="2160"/>
          </w:tcPr>
          <w:p>
            <w:r>
              <w:t>完整性校验</w:t>
            </w:r>
          </w:p>
        </w:tc>
        <w:tc>
          <w:tcPr>
            <w:tcW w:type="dxa" w:w="2160"/>
          </w:tcPr>
          <w:p>
            <w:r>
              <w:t>不支持</w:t>
            </w:r>
          </w:p>
        </w:tc>
        <w:tc>
          <w:tcPr>
            <w:tcW w:type="dxa" w:w="2160"/>
          </w:tcPr>
          <w:p>
            <w:r>
              <w:t>95%检出率</w:t>
            </w:r>
          </w:p>
        </w:tc>
        <w:tc>
          <w:tcPr>
            <w:tcW w:type="dxa" w:w="2160"/>
          </w:tcPr>
          <w:p>
            <w:r>
              <w:t>从0到1</w:t>
            </w:r>
          </w:p>
        </w:tc>
      </w:tr>
      <w:tr>
        <w:tc>
          <w:tcPr>
            <w:tcW w:type="dxa" w:w="2160"/>
          </w:tcPr>
          <w:p>
            <w:r>
              <w:t>隐私保护</w:t>
            </w:r>
          </w:p>
        </w:tc>
        <w:tc>
          <w:tcPr>
            <w:tcW w:type="dxa" w:w="2160"/>
          </w:tcPr>
          <w:p>
            <w:r>
              <w:t>基础</w:t>
            </w:r>
          </w:p>
        </w:tc>
        <w:tc>
          <w:tcPr>
            <w:tcW w:type="dxa" w:w="2160"/>
          </w:tcPr>
          <w:p>
            <w:r>
              <w:t>检测+脱敏</w:t>
            </w:r>
          </w:p>
        </w:tc>
        <w:tc>
          <w:tcPr>
            <w:tcW w:type="dxa" w:w="2160"/>
          </w:tcPr>
          <w:p>
            <w:r>
              <w:t>合规</w:t>
            </w:r>
          </w:p>
        </w:tc>
      </w:tr>
      <w:tr>
        <w:tc>
          <w:tcPr>
            <w:tcW w:type="dxa" w:w="2160"/>
          </w:tcPr>
          <w:p>
            <w:r>
              <w:t>大文件处理</w:t>
            </w:r>
          </w:p>
        </w:tc>
        <w:tc>
          <w:tcPr>
            <w:tcW w:type="dxa" w:w="2160"/>
          </w:tcPr>
          <w:p>
            <w:r>
              <w:t>120秒/万条</w:t>
            </w:r>
          </w:p>
        </w:tc>
        <w:tc>
          <w:tcPr>
            <w:tcW w:type="dxa" w:w="2160"/>
          </w:tcPr>
          <w:p>
            <w:r>
              <w:t>8秒/万条</w:t>
            </w:r>
          </w:p>
        </w:tc>
        <w:tc>
          <w:tcPr>
            <w:tcW w:type="dxa" w:w="2160"/>
          </w:tcPr>
          <w:p>
            <w:r>
              <w:t>15倍</w:t>
            </w:r>
          </w:p>
        </w:tc>
      </w:tr>
      <w:tr>
        <w:tc>
          <w:tcPr>
            <w:tcW w:type="dxa" w:w="2160"/>
          </w:tcPr>
          <w:p>
            <w:r>
              <w:t>断点续传</w:t>
            </w:r>
          </w:p>
        </w:tc>
        <w:tc>
          <w:tcPr>
            <w:tcW w:type="dxa" w:w="2160"/>
          </w:tcPr>
          <w:p>
            <w:r>
              <w:t>不支持</w:t>
            </w:r>
          </w:p>
        </w:tc>
        <w:tc>
          <w:tcPr>
            <w:tcW w:type="dxa" w:w="2160"/>
          </w:tcPr>
          <w:p>
            <w:r>
              <w:t>支持</w:t>
            </w:r>
          </w:p>
        </w:tc>
        <w:tc>
          <w:tcPr>
            <w:tcW w:type="dxa" w:w="2160"/>
          </w:tcPr>
          <w:p>
            <w:r>
              <w:t>可靠性+</w:t>
            </w:r>
          </w:p>
        </w:tc>
      </w:tr>
      <w:tr>
        <w:tc>
          <w:tcPr>
            <w:tcW w:type="dxa" w:w="2160"/>
          </w:tcPr>
          <w:p>
            <w:r>
              <w:t>多语言</w:t>
            </w:r>
          </w:p>
        </w:tc>
        <w:tc>
          <w:tcPr>
            <w:tcW w:type="dxa" w:w="2160"/>
          </w:tcPr>
          <w:p>
            <w:r>
              <w:t>仅中文</w:t>
            </w:r>
          </w:p>
        </w:tc>
        <w:tc>
          <w:tcPr>
            <w:tcW w:type="dxa" w:w="2160"/>
          </w:tcPr>
          <w:p>
            <w:r>
              <w:t>12种语言</w:t>
            </w:r>
          </w:p>
        </w:tc>
        <w:tc>
          <w:tcPr>
            <w:tcW w:type="dxa" w:w="2160"/>
          </w:tcPr>
          <w:p>
            <w:r>
              <w:t>+11种</w:t>
            </w:r>
          </w:p>
        </w:tc>
      </w:tr>
    </w:tbl>
    <w:p>
      <w:pPr>
        <w:pStyle w:val="Heading1"/>
      </w:pPr>
      <w:r>
        <w:t>权利要求书</w:t>
      </w:r>
    </w:p>
    <w:p>
      <w:r>
        <w:t>1. 一种多模态自学习的智能账单解析与批量导入方法，其特征在于，包括以下步骤：</w:t>
        <w:br/>
        <w:t>S1，基于格式指纹识别账单来源平台和格式版本，支持50+数据源；</w:t>
        <w:br/>
        <w:t>S2，采用多模态OCR融合识别图像账单，结合布局理解提取表格数据；</w:t>
        <w:br/>
        <w:t>S3，采用多语言语义模型实现账单列名与标准财务字段的智能映射；</w:t>
        <w:br/>
        <w:t>S4，当格式匹配失败时启动格式自学习流程，通过交互式标注生成新格式配置；</w:t>
        <w:br/>
        <w:t>S5，对金额、时间、收支方向进行标准化处理，并采用两阶段分类预测消费类别；</w:t>
        <w:br/>
        <w:t>S6，识别跨平台交易关联，避免重复统计；</w:t>
        <w:br/>
        <w:t>S7，校验账单完整性，检测时间间隙和数据缺失；</w:t>
        <w:br/>
        <w:t>S8，检测并脱敏敏感信息，保护用户隐私；</w:t>
        <w:br/>
        <w:t>S9，采用大文件分片和断点续传优化批量导入。</w:t>
      </w:r>
    </w:p>
    <w:p>
      <w:r>
        <w:t>2. 根据权利要求1所述的方法，其特征在于，所述格式指纹包括：</w:t>
        <w:br/>
        <w:t>文件头部特征、列数、列名集合哈希值、数值分布模式、日期格式模式和货币符号集合；</w:t>
        <w:br/>
        <w:t>平台匹配采用余弦相似度计算与已知平台指纹库的匹配度。</w:t>
      </w:r>
    </w:p>
    <w:p>
      <w:r>
        <w:t>3. 根据权利要求1所述的方法，其特征在于，所述多模态OCR融合包括：</w:t>
        <w:br/>
        <w:t>采用多个OCR引擎进行识别，通过加权投票融合结果；</w:t>
        <w:br/>
        <w:t>采用布局理解模型融合文本、位置和图像信息；</w:t>
        <w:br/>
        <w:t>图像预处理包括灰度化、二值化、降噪和倾斜校正。</w:t>
      </w:r>
    </w:p>
    <w:p>
      <w:r>
        <w:t>4. 根据权利要求3所述的方法，其特征在于，所述OCR结果按置信度分级处理：</w:t>
        <w:br/>
        <w:t>置信度大于等于0.95时自动接受；</w:t>
        <w:br/>
        <w:t>置信度在0.80至0.95之间时标记待确认；</w:t>
        <w:br/>
        <w:t>置信度小于0.80时必须人工校验。</w:t>
      </w:r>
    </w:p>
    <w:p>
      <w:r>
        <w:t>5. 根据权利要求1所述的方法，其特征在于，所述语义字段映射包括：</w:t>
        <w:br/>
        <w:t>采用多语言BERT模型编码列名；</w:t>
        <w:br/>
        <w:t>计算与标准字段描述的余弦相似度；</w:t>
        <w:br/>
        <w:t>根据字段类型约束验证映射正确性；</w:t>
        <w:br/>
        <w:t>支持12种语言的账单解析。</w:t>
      </w:r>
    </w:p>
    <w:p>
      <w:r>
        <w:t>6. 根据权利要求1所述的方法，其特征在于，所述格式自学习包括：</w:t>
        <w:br/>
        <w:t>当平台匹配置信度低于阈值时触发学习流程；</w:t>
        <w:br/>
        <w:t>通过交互式界面请求用户标注字段对应关系；</w:t>
        <w:br/>
        <w:t>提取格式特征并生成格式配置；</w:t>
        <w:br/>
        <w:t>可选地将学习结果共享至云端格式库。</w:t>
      </w:r>
    </w:p>
    <w:p>
      <w:r>
        <w:t>7. 根据权利要求1所述的方法，其特征在于，所述数据标准化包括：</w:t>
        <w:br/>
        <w:t>金额标准化：去除货币符号、处理千分位分隔符、支持多货币汇率转换；</w:t>
        <w:br/>
        <w:t>时间标准化：识别多种日期格式并统一转换为ISO 8601格式；</w:t>
        <w:br/>
        <w:t>收支方向推断：融合金额符号、字段标识、商户类型和关键词多信号判断。</w:t>
      </w:r>
    </w:p>
    <w:p>
      <w:r>
        <w:t>8. 根据权利要求7所述的方法，其特征在于，所述类别预分类采用两阶段分类：</w:t>
        <w:br/>
        <w:t>第一阶段规则匹配：商户名匹配已知商户-类别库；</w:t>
        <w:br/>
        <w:t>第二阶段机器学习分类：使用训练好的分类模型预测类别概率。</w:t>
      </w:r>
    </w:p>
    <w:p>
      <w:r>
        <w:t>9. 根据权利要求1所述的方法，其特征在于，所述跨平台交易关联识别包括：</w:t>
        <w:br/>
        <w:t>识别常见跨平台重复场景：银行扣款与第三方支付、信用卡与电子钱包等；</w:t>
        <w:br/>
        <w:t>计算关联评分：融合金额匹配、时间匹配和渠道关联先验概率；</w:t>
        <w:br/>
        <w:t>关联后保留信息更完整的记录作为主记录。</w:t>
      </w:r>
    </w:p>
    <w:p>
      <w:r>
        <w:t>10. 根据权利要求1所述的方法，其特征在于，所述账单完整性校验包括：</w:t>
        <w:br/>
        <w:t>时间连续性检测：识别超过阈值天数的时间间隙；</w:t>
        <w:br/>
        <w:t>月度一致性校验：与历史月均交易量对比检测异常；</w:t>
        <w:br/>
        <w:t>可选的账户余额校验：根据期初期末余额验证交易完整性。</w:t>
      </w:r>
    </w:p>
    <w:p>
      <w:r>
        <w:t>11. 根据权利要求1所述的方法，其特征在于，所述隐私保护包括：</w:t>
        <w:br/>
        <w:t>敏感信息检测：识别银行卡号、身份证号、手机号和姓名；</w:t>
        <w:br/>
        <w:t>脱敏处理：保留部分字符，中间替换为掩码符号；</w:t>
        <w:br/>
        <w:t>本地处理优先：默认在本地完成解析，上传前自动脱敏。</w:t>
      </w:r>
    </w:p>
    <w:p>
      <w:r>
        <w:t>12. 根据权利要求1所述的方法，其特征在于，所述大文件分片处理包括：</w:t>
        <w:br/>
        <w:t>当交易数超过阈值时按月份分割为多个批次；</w:t>
        <w:br/>
        <w:t>每批次独立解析后进行跨批次去重；</w:t>
        <w:br/>
        <w:t>采用流式处理减少内存占用。</w:t>
      </w:r>
    </w:p>
    <w:p>
      <w:r>
        <w:t>13. 根据权利要求12所述的方法，其特征在于，所述断点续传包括：</w:t>
        <w:br/>
        <w:t>持久化导入状态包括文件哈希、处理进度和已导入ID列表；</w:t>
        <w:br/>
        <w:t>中断后从最后检查点继续处理。</w:t>
      </w:r>
    </w:p>
    <w:p>
      <w:r>
        <w:t>14. 根据权利要求1所述的方法，其特征在于，还包括生成导入报告：</w:t>
        <w:br/>
        <w:t>统计新增、去重、关联和跳过的交易数量；</w:t>
        <w:br/>
        <w:t>评估字段完整率、分类覆盖率和时间连续性；</w:t>
        <w:br/>
        <w:t>提示检测到的异常和建议操作。</w:t>
      </w:r>
    </w:p>
    <w:p>
      <w:r>
        <w:t>15. 根据权利要求1所述的方法，其特征在于，支持的账单格式包括：</w:t>
        <w:br/>
        <w:t>结构化格式：CSV、Excel、JSON、XML；</w:t>
        <w:br/>
        <w:t>文档格式：PDF电子账单、Word文档；</w:t>
        <w:br/>
        <w:t>图像格式：PNG、JPG、截图、扫描件；</w:t>
        <w:br/>
        <w:t>压缩包：ZIP、RAR自动解压处理。</w:t>
      </w:r>
    </w:p>
    <w:p>
      <w:r>
        <w:t>16. 一种多模态自学习的智能账单解析与批量导入系统，其特征在于，包括：</w:t>
        <w:br/>
        <w:t>格式识别模块，配置用于基于格式指纹识别账单来源平台和格式版本；</w:t>
        <w:br/>
        <w:t>OCR融合模块，配置用于多引擎OCR识别和布局理解；</w:t>
        <w:br/>
        <w:t>字段映射模块，配置用于多语言语义匹配实现字段映射；</w:t>
        <w:br/>
        <w:t>格式学习模块，配置用于交互式格式自学习；</w:t>
        <w:br/>
        <w:t>数据清洗模块，配置用于金额时间标准化和类别预分类；</w:t>
        <w:br/>
        <w:t>关联识别模块，配置用于跨平台交易关联识别；</w:t>
        <w:br/>
        <w:t>完整性校验模块，配置用于检测账单完整性和数据缺失；</w:t>
        <w:br/>
        <w:t>隐私保护模块，配置用于敏感信息检测和脱敏处理；</w:t>
        <w:br/>
        <w:t>批量导入模块，配置用于分片处理、断点续传和去重合并。</w:t>
      </w:r>
    </w:p>
    <w:p>
      <w:r>
        <w:t>17. 根据权利要求16所述的系统，其特征在于，所述OCR融合模块包括：</w:t>
        <w:br/>
        <w:t>多引擎识别单元，调用多个OCR引擎进行识别；</w:t>
        <w:br/>
        <w:t>结果融合单元，采用加权投票融合多引擎结果；</w:t>
        <w:br/>
        <w:t>布局理解单元，采用LayoutLM模型提取结构化信息；</w:t>
        <w:br/>
        <w:t>图像预处理单元，执行灰度化、二值化和倾斜校正。</w:t>
      </w:r>
    </w:p>
    <w:p>
      <w:r>
        <w:t>18. 根据权利要求16所述的系统，其特征在于，所述格式学习模块包括：</w:t>
        <w:br/>
        <w:t>格式检测单元，判断是否需要触发自学习；</w:t>
        <w:br/>
        <w:t>交互标注单元，展示预览并收集用户标注；</w:t>
        <w:br/>
        <w:t>特征提取单元，从用户标注中提取格式特征；</w:t>
        <w:br/>
        <w:t>配置生成单元，生成并存储新格式配置。</w:t>
      </w:r>
    </w:p>
    <w:p>
      <w:r>
        <w:t>19. 根据权利要求16所述的系统，其特征在于，所述批量导入模块包括：</w:t>
        <w:br/>
        <w:t>分片处理单元，将大文件分割为多个批次；</w:t>
        <w:br/>
        <w:t>状态持久化单元，保存导入进度支持断点续传；</w:t>
        <w:br/>
        <w:t>去重合并单元，调用多因子去重算法；</w:t>
        <w:br/>
        <w:t>预览确认单元，展示解析结果供用户确认。</w:t>
      </w:r>
    </w:p>
    <w:p>
      <w:r>
        <w:t>20. 一种计算机可读存储介质，其上存储有计算机程序，其特征在于，该程序被处理器执行时实现权利要求1至15中任一项所述方法的步骤。</w:t>
      </w:r>
    </w:p>
    <w:p>
      <w:pPr>
        <w:pStyle w:val="Heading1"/>
      </w:pPr>
      <w:r>
        <w:t>说明书摘要</w:t>
      </w:r>
    </w:p>
    <w:p>
      <w:r>
        <w:t>本发明公开了一种多模态自学习的智能账单解析与批量导入方法及系统。该方法包括：基于格式指纹识别50+平台的账单格式；采用多引擎OCR融合和布局理解实现图像账单高精度识别；采用多语言语义模型实现字段智能映射；当格式未知时通过交互式标注实现格式自学习；对金额时间进行标准化并采用两阶段分类预测类别；识别跨平台交易关联避免重复统计；校验账单完整性检测数据缺失；检测并脱敏敏感信息保护隐私；采用大文件分片和断点续传优化批量导入。本发明解决了格式适应性差、不支持自学习、缺乏跨平台关联的问题，支持50+数据源，OCR准确率98.5%，格式自学习分钟级完成。</w:t>
      </w:r>
    </w:p>
    <w:p>
      <w:r>
        <w:t>摘要附图：图1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