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离线优先增量同步方法及系统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本发明涉及数据处理和个人财务管理技术领域，尤其涉及一种离线优先增量同步方法及系统。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随着个人财务管理应用的普及，用户对离线优先增量同步功能的需求日益增长。然而，现有技术存在以下问题：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因此，需要一种新的离线优先增量同步技术方案来解决上述问题。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本发明提供一种离线优先增量同步方法，核心技术特征包括：CRDT冲突解决、增量压缩、断点续传。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在基础使用场景下，本发明的离线优先增量同步方法按照以下步骤执行...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一种离线优先增量同步方法，其特征在于，包括以下步骤：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根据权利要求1所述的方法，其特征在于，所述核心算法采用CRDT冲突解决技术。</w:t>
      </w:r>
    </w:p>
    <w:p/>
    <w:p>
      <w:r>
        <w:t>3. 根据权利要求1所述的方法，其特征在于，还支持增量压缩功能。</w:t>
      </w:r>
    </w:p>
    <w:p/>
    <w:p>
      <w:r>
        <w:t>4. 一种离线优先增量同步系统，其特征在于，包括：数据处理模块、算法执行模块、结果输出模块。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本发明公开了一种离线优先增量同步方法及系统，属于数据处理技术领域。该方法的核心技术特征包括CRDT冲突解决、增量压缩、断点续传。本发明相比现有技术具有准确率高、性能优异、扩展性好等有益效果。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离线优先增量同步架构图：</w:t>
      </w:r>
      <w:r>
        <w:t>展示了本发明实施例1中相关技术方案的具体实现结构和流程。</w:t>
      </w:r>
    </w:p>
    <w:p>
      <w:r>
        <w:rPr>
          <w:b/>
        </w:rPr>
        <w:t>图2 同步冲突解决流程图：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11_图1_离线同步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离线优先增量同步架构图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53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11_图2_冲突解决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同步冲突解决流程图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