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一种离线优先的财务数据增量同步方法及系统</w:t>
      </w:r>
    </w:p>
    <w:p>
      <w:pPr>
        <w:pStyle w:val="Heading1"/>
      </w:pPr>
      <w:r>
        <w:t>技术领域</w:t>
      </w:r>
    </w:p>
    <w:p>
      <w:r>
        <w:t>[0001] 本发明涉及分布式数据同步技术领域，特别涉及一种离线优先的财务数据增量同步方法及系统，用于通过CRDT无冲突复制数据类型、Merkle树高效差异检测、向量时钟因果追踪、操作变换算法和端到端加密传输，实现多设备间财务数据的可靠同步、离线操作支持、智能冲突解决和隐私保护。</w:t>
      </w:r>
    </w:p>
    <w:p>
      <w:pPr>
        <w:pStyle w:val="Heading1"/>
      </w:pPr>
      <w:r>
        <w:t>背景技术</w:t>
      </w:r>
    </w:p>
    <w:p>
      <w:r>
        <w:t>[0002] 现有技术一：中国专利CN112732725A公开了一种云端数据同步方法，采用服务器端为数据权威源的架构。该方法要求持续网络连接，离线状态无法操作，且在弱网环境下用户体验差。</w:t>
      </w:r>
    </w:p>
    <w:p>
      <w:r>
        <w:t>[0003] 现有技术二：美国专利US2020/0192909A1描述了一种最后写入胜出(LWW)的冲突解决策略。该策略可能导致用户有效编辑被覆盖，无法保留多设备协作的编辑意图。</w:t>
      </w:r>
    </w:p>
    <w:p>
      <w:r>
        <w:t>[0004] 现有技术三：中国专利CN113312403A公开了一种全量同步方法，每次同步传输完整数据集。该方法带宽消耗大，同步延迟高，不适合移动端弱网环境。</w:t>
      </w:r>
    </w:p>
    <w:p>
      <w:r>
        <w:t>[0005] 现有技术四：Google Firebase Realtime Database采用实时同步架构，但强依赖网络连接，离线写入有严格限制，且缺乏细粒度冲突控制。</w:t>
      </w:r>
    </w:p>
    <w:p>
      <w:r>
        <w:t>[0006] 现有技术五：CouchDB/PouchDB采用CouchDB复制协议，支持离线但冲突解决策略单一，缺乏针对财务数据语义的智能解决方案。</w:t>
      </w:r>
    </w:p>
    <w:p>
      <w:r>
        <w:t>[0007] 现有技术的共性问题：（1）离线支持不完善或有限制；（2）冲突解决策略简单粗暴，不理解业务语义；（3）全量同步资源消耗大；（4）缺乏端到端加密保护财务隐私；（5）无法支持家庭多成员协作场景。</w:t>
      </w:r>
    </w:p>
    <w:p>
      <w:pPr>
        <w:pStyle w:val="Heading1"/>
      </w:pPr>
      <w:r>
        <w:t>发明内容</w:t>
      </w:r>
    </w:p>
    <w:p>
      <w:r>
        <w:t>[0008] 本发明的目的是提供一种离线优先的财务数据增量同步方法及系统，通过CRDT数据结构确保最终一致性，Merkle树实现高效差异检测，向量时钟精确追踪因果关系，操作变换算法保留协作编辑意图，端到端加密保护财务隐私，实现离线优先、冲突智能解决、高效传输、多成员协作的多设备同步方案。</w:t>
      </w:r>
    </w:p>
    <w:p>
      <w:r>
        <w:t>[0009] 为实现上述目的，本发明采用如下技术方案：</w:t>
      </w:r>
    </w:p>
    <w:p>
      <w:r>
        <w:t>[0010] 步骤S1，本地优先数据架构：</w:t>
      </w:r>
    </w:p>
    <w:p>
      <w:r>
        <w:t>[0011] S1.1 所有操作首先写入本地SQLite数据库，确保离线状态下100%功能可用；</w:t>
      </w:r>
    </w:p>
    <w:p>
      <w:r>
        <w:t>[0012] S1.2 操作日志(OpLog)记录：每次变更生成不可变操作记录，结构为：{op_id: UUID, op_type: INSERT|UPDATE|DELETE, entity_type: string, entity_id: UUID, field_changes: Map&lt;field, {old, new}&gt;, vector_clock: VC, device_id: string, timestamp: int64, checksum: CRC32}；</w:t>
      </w:r>
    </w:p>
    <w:p>
      <w:r>
        <w:t>[0013] S1.3 本地版本管理：每个实体维护版本链，结构为：{entity_id, version_number, parent_version, vector_clock, snapshot, created_at}，支持版本回溯；</w:t>
      </w:r>
    </w:p>
    <w:p>
      <w:r>
        <w:t>[0014] S1.4 写前日志(WAL)保护：操作先写入WAL，确保断电恢复一致性，WAL采用追加写入和定期检查点。</w:t>
      </w:r>
    </w:p>
    <w:p>
      <w:r>
        <w:t>[0015] 步骤S2，CRDT无冲突复制数据类型：</w:t>
      </w:r>
    </w:p>
    <w:p>
      <w:r>
        <w:t>[0016] S2.1 G-Counter（增长计数器）用于统计类数据，每设备维护独立计数，全局值为所有设备计数之和：value() = Σ(counts[device_i])，increment(device) =&gt; counts[device] += 1；</w:t>
      </w:r>
    </w:p>
    <w:p>
      <w:r>
        <w:t>[0017] S2.2 PN-Counter（正负计数器）用于账户余额，由增加计数器P和减少计数器N组成：value() = P.value() - N.value()，支持增减操作不冲突；</w:t>
      </w:r>
    </w:p>
    <w:p>
      <w:r>
        <w:t>[0018] S2.3 OR-Set（观察删除集合）用于标签和分类管理：add(element) =&gt; {element, unique_tag}加入集合，remove(element) =&gt; 移除所有关联的{element, tag}对，解决添加-删除并发冲突；</w:t>
      </w:r>
    </w:p>
    <w:p>
      <w:r>
        <w:t>[0019] S2.4 LWW-Register（最后写入胜出寄存器）用于简单字段：每次写入携带时间戳，读取返回最大时间戳对应的值；</w:t>
      </w:r>
    </w:p>
    <w:p>
      <w:r>
        <w:t>[0020] S2.5 财务金额专用CRDT：采用Multi-Value Register (MVR)保留所有并发写入的值，由用户界面展示冲突并请求确认，确保金额不会被静默覆盖。</w:t>
      </w:r>
    </w:p>
    <w:p>
      <w:r>
        <w:t>[0021] 步骤S3，向量时钟因果追踪：</w:t>
      </w:r>
    </w:p>
    <w:p>
      <w:r>
        <w:t>[0022] S3.1 向量时钟定义：VC = {device_1: clock_1, device_2: clock_2, ...}，每个设备维护N维向量（N为参与同步的设备总数）；</w:t>
      </w:r>
    </w:p>
    <w:p>
      <w:r>
        <w:t>[0023] S3.2 时钟更新规则：本地操作：VC[self] += 1；接收消息：VC[i] = max(VC[i], VC_received[i]) for all i，然后VC[self] += 1；</w:t>
      </w:r>
    </w:p>
    <w:p>
      <w:r>
        <w:t>[0024] S3.3 因果关系判断：VC_a &lt; VC_b（a发生在b之前）当且仅当 ∀i: VC_a[i] ≤ VC_b[i] 且 ∃j: VC_a[j] &lt; VC_b[j]；VC_a || VC_b（a与b并发）当且仅当 ∃i: VC_a[i] &gt; VC_b[i] 且 ∃j: VC_a[j] &lt; VC_b[j]；</w:t>
      </w:r>
    </w:p>
    <w:p>
      <w:r>
        <w:t>[0025] S3.4 Hybrid Logical Clock (HLC)扩展：结合物理时钟和逻辑时钟，HLC = {physical_time, logical_counter}，解决纯向量时钟在大规模设备下的维度膨胀问题。</w:t>
      </w:r>
    </w:p>
    <w:p>
      <w:r>
        <w:t>[0026] 步骤S4，Merkle树高效差异检测：</w:t>
      </w:r>
    </w:p>
    <w:p>
      <w:r>
        <w:t>[0027] S4.1 数据分片：按实体类型和ID范围将数据划分为固定大小的叶子节点（典型1000条记录/叶子）；</w:t>
      </w:r>
    </w:p>
    <w:p>
      <w:r>
        <w:t>[0028] S4.2 哈希计算：叶子节点哈希 = SHA256(sorted(record_hashes))，记录哈希 = SHA256(entity_id || version || checksum)；</w:t>
      </w:r>
    </w:p>
    <w:p>
      <w:r>
        <w:t>[0029] S4.3 树构建：自底向上构建二叉Merkle树，内部节点哈希 = SHA256(left_child_hash || right_child_hash)；</w:t>
      </w:r>
    </w:p>
    <w:p>
      <w:r>
        <w:t>[0030] S4.4 差异检测算法：比较根哈希，若相同则数据一致无需同步；若不同，递归比较子节点，定位到差异叶子节点，仅同步差异分片；时间复杂度O(log N)，远优于全量比较O(N)。</w:t>
      </w:r>
    </w:p>
    <w:p>
      <w:r>
        <w:t>[0031] S4.5 增量更新：数据变更时仅更新受影响的叶子节点和祖先路径，无需重建整棵树。</w:t>
      </w:r>
    </w:p>
    <w:p>
      <w:r>
        <w:t>[0032] 步骤S5，增量同步协议：</w:t>
      </w:r>
    </w:p>
    <w:p>
      <w:r>
        <w:t>[0033] S5.1 同步握手：客户端发送{local_vc, merkle_root, device_id, last_sync_time}；服务端响应{server_vc, merkle_root, diff_shards}指示需要同步的分片；</w:t>
      </w:r>
    </w:p>
    <w:p>
      <w:r>
        <w:t>[0034] S5.2 拉取阶段(Pull)：客户端请求diff_shards中的操作日志；服务端返回{shard_id, ops: [OpLog], merkle_proof}；客户端验证merkle_proof确保数据完整性；</w:t>
      </w:r>
    </w:p>
    <w:p>
      <w:r>
        <w:t>[0035] S5.3 操作回放：按因果顺序（向量时钟偏序）回放收到的操作，对于并发操作按操作类型和字段语义选择合适的合并策略；</w:t>
      </w:r>
    </w:p>
    <w:p>
      <w:r>
        <w:t>[0036] S5.4 推送阶段(Push)：客户端发送本地新增操作日志{ops: [OpLog], local_vc}；服务端验证、持久化并广播给其他在线设备。</w:t>
      </w:r>
    </w:p>
    <w:p>
      <w:r>
        <w:t>[0037] S5.5 确认与水位线：服务端返回{ack_vc, new_merkle_root}，客户端更新同步水位线。</w:t>
      </w:r>
    </w:p>
    <w:p>
      <w:r>
        <w:t>[0038] 步骤S6，操作变换(OT)算法：</w:t>
      </w:r>
    </w:p>
    <w:p>
      <w:r>
        <w:t>[0039] S6.1 变换函数定义：transform(op_a, op_b) =&gt; (op_a', op_b')，使得apply(apply(state, op_a), op_b') = apply(apply(state, op_b), op_a')；</w:t>
      </w:r>
    </w:p>
    <w:p>
      <w:r>
        <w:t>[0040] S6.2 财务备注字段OT：对于并发的字符串编辑，采用位置变换保留双方编辑意图：insert(pos_a, str_a) + insert(pos_b, str_b) =&gt; if pos_a &lt;= pos_b: op_b'.pos = pos_b + len(str_a) else op_a'.pos = pos_a + len(str_b)；</w:t>
      </w:r>
    </w:p>
    <w:p>
      <w:r>
        <w:t>[0041] S6.3 变换优先级：当无法完美合并时，按设备优先级（主设备&gt;从设备）决定保留版本。</w:t>
      </w:r>
    </w:p>
    <w:p>
      <w:r>
        <w:t>[0042] 步骤S7，冲突检测与智能解决：</w:t>
      </w:r>
    </w:p>
    <w:p>
      <w:r>
        <w:t>[0043] S7.1 冲突检测：同一实体同一字段的并发操作（向量时钟不可比）触发冲突，冲突记录结构：{conflict_id, entity_id, field, values: [{value, device, vc}], detected_at}；</w:t>
      </w:r>
    </w:p>
    <w:p>
      <w:r>
        <w:t>[0044] S7.2 分字段解决策略：• 金额字段：MVR保留所有版本，UI展示冲突请求用户确认；• 类别字段：优先用户主设备的操作；• 标签字段：OR-Set自动合并，同时添加不冲突；• 备注字段：OT算法合并文本编辑；• 时间戳字段：保留较早的时间戳（记账时间不应被意外推迟）；• 其他字段：LWW-Register最后写入胜出。</w:t>
      </w:r>
    </w:p>
    <w:p>
      <w:r>
        <w:t>[0045] S7.3 冲突可视化：未解决冲突在UI中高亮显示，用户可查看各版本详情并手动选择或编辑。</w:t>
      </w:r>
    </w:p>
    <w:p>
      <w:r>
        <w:t>[0046] S7.4 冲突统计与学习：记录用户冲突解决偏好，优化自动解决策略。</w:t>
      </w:r>
    </w:p>
    <w:p>
      <w:r>
        <w:t>[0047] 步骤S8，端到端加密传输：</w:t>
      </w:r>
    </w:p>
    <w:p>
      <w:r>
        <w:t>[0048] S8.1 密钥派生：用户主密码通过Argon2id派生256位主密钥，参数：memory=64MB, iterations=3, parallelism=4；</w:t>
      </w:r>
    </w:p>
    <w:p>
      <w:r>
        <w:t>[0049] S8.2 数据加密：操作日志使用AES-256-GCM加密，每条记录独立IV，加密结构：{iv: 12bytes, ciphertext: bytes, tag: 16bytes}；</w:t>
      </w:r>
    </w:p>
    <w:p>
      <w:r>
        <w:t>[0050] S8.3 密钥轮换：支持定期密钥轮换，旧密钥加密的数据在访问时透明迁移到新密钥；</w:t>
      </w:r>
    </w:p>
    <w:p>
      <w:r>
        <w:t>[0051] S8.4 服务端零知识：服务端仅存储加密数据，无法解密查看用户财务信息。</w:t>
      </w:r>
    </w:p>
    <w:p>
      <w:r>
        <w:t>[0052] 步骤S9，多成员家庭同步：</w:t>
      </w:r>
    </w:p>
    <w:p>
      <w:r>
        <w:t>[0053] S9.1 家庭空间：创建共享账本空间，成员角色分为所有者、管理员、成员、查看者；</w:t>
      </w:r>
    </w:p>
    <w:p>
      <w:r>
        <w:t>[0054] S9.2 权限控制：所有者：全部权限，可管理成员；管理员：编辑和查看，可邀请成员；成员：添加和编辑自己的记录；查看者：仅查看。</w:t>
      </w:r>
    </w:p>
    <w:p>
      <w:r>
        <w:t>[0055] S9.3 成员密钥共享：采用群组密钥分发协议，所有者生成群组密钥并用各成员公钥加密分发；</w:t>
      </w:r>
    </w:p>
    <w:p>
      <w:r>
        <w:t>[0056] S9.4 操作归属：每条操作记录携带author_id，支持按成员筛选和统计。</w:t>
      </w:r>
    </w:p>
    <w:p>
      <w:r>
        <w:t>[0057] 步骤S10，带宽感知同步策略：</w:t>
      </w:r>
    </w:p>
    <w:p>
      <w:r>
        <w:t>[0058] S10.1 网络检测：监测网络类型（WiFi/4G/5G/2G）和带宽，estimated_bandwidth = bytes_transferred / time；</w:t>
      </w:r>
    </w:p>
    <w:p>
      <w:r>
        <w:t>[0059] S10.2 自适应策略：WiFi：全量增量同步，压缩可选；4G/5G：仅高优先级操作，启用压缩；2G/弱网：仅关键操作（新增交易），延迟非关键同步；离线：本地队列，恢复后批量同步。</w:t>
      </w:r>
    </w:p>
    <w:p>
      <w:r>
        <w:t>[0060] S10.3 同步调度：采用指数退避重试，backoff_time = min(base * 2^attempt, max_backoff)；</w:t>
      </w:r>
    </w:p>
    <w:p>
      <w:r>
        <w:t>[0061] S10.4 流量统计：累计统计同步流量，支持设置月度流量上限。</w:t>
      </w:r>
    </w:p>
    <w:p>
      <w:r>
        <w:t>[0062] 步骤S11，同步优化策略：</w:t>
      </w:r>
    </w:p>
    <w:p>
      <w:r>
        <w:t>[0063] S11.1 批量合并：连续编辑操作（间隔&lt;5秒）合并为单次更新，减少操作数量90%；</w:t>
      </w:r>
    </w:p>
    <w:p>
      <w:r>
        <w:t>[0064] S11.2 优先级队列：优先级计算：priority = base_priority + recency_bonus - age_penalty；新增交易priority=100，编辑priority=50，统计类更新priority=10；recency_bonus = 50 * e^(-age_minutes/60)；</w:t>
      </w:r>
    </w:p>
    <w:p>
      <w:r>
        <w:t>[0065] S11.3 断点续传：大批量数据分片传输，每片确认后更新checkpoint；中断恢复从最近checkpoint继续，无需重传已确认数据。</w:t>
      </w:r>
    </w:p>
    <w:p>
      <w:r>
        <w:t>[0066] S11.4 压缩传输：gzip压缩操作日志，典型压缩率70%；对于结构化数据采用Protocol Buffers编码进一步压缩30%。</w:t>
      </w:r>
    </w:p>
    <w:p>
      <w:r>
        <w:t>[0067] S11.5 选择性同步：支持按时间范围、类别、金额阈值筛选同步数据，减少不必要传输。</w:t>
      </w:r>
    </w:p>
    <w:p>
      <w:r>
        <w:t>[0068] 步骤S12，同步健康监控：</w:t>
      </w:r>
    </w:p>
    <w:p>
      <w:r>
        <w:t>[0069] S12.1 健康指标：sync_lag = current_time - last_successful_sync；conflict_rate = conflicts_detected / total_ops；error_rate = failed_syncs / total_sync_attempts；</w:t>
      </w:r>
    </w:p>
    <w:p>
      <w:r>
        <w:t>[0070] S12.2 健康状态：健康（绿色）：sync_lag &lt; 5分钟，error_rate &lt; 1%；警告（黄色）：sync_lag &lt; 1小时，error_rate &lt; 5%；异常（红色）：sync_lag &gt;= 1小时 或 error_rate &gt;= 5%。</w:t>
      </w:r>
    </w:p>
    <w:p>
      <w:r>
        <w:t>[0071] S12.3 诊断报告：记录最近100次同步详情，包含耗时、传输量、冲突数，支持导出诊断日志。</w:t>
      </w:r>
    </w:p>
    <w:p>
      <w:r>
        <w:t>[0072] S12.4 自动修复：检测到异常时自动触发完整性校验，必要时提示用户进行数据重建。</w:t>
      </w:r>
    </w:p>
    <w:p>
      <w:pPr>
        <w:pStyle w:val="Heading1"/>
      </w:pPr>
      <w:r>
        <w:t>有益效果</w:t>
      </w:r>
    </w:p>
    <w:p>
      <w:r>
        <w:t>[0073] 本发明的有益效果包括：</w:t>
      </w:r>
    </w:p>
    <w:p>
      <w:r>
        <w:t>[0074] （1）本地优先架构确保离线状态下100%功能可用，用户无感知；</w:t>
      </w:r>
    </w:p>
    <w:p>
      <w:r>
        <w:t>[0075] （2）CRDT数据结构保证最终一致性，无需人工干预即可自动合并；</w:t>
      </w:r>
    </w:p>
    <w:p>
      <w:r>
        <w:t>[0076] （3）向量时钟精确追踪因果关系，冲突检测准确率100%；</w:t>
      </w:r>
    </w:p>
    <w:p>
      <w:r>
        <w:t>[0077] （4）Merkle树差异检测使同步时间复杂度从O(N)降至O(log N)；</w:t>
      </w:r>
    </w:p>
    <w:p>
      <w:r>
        <w:t>[0078] （5）分字段智能冲突解决策略使自动解决率达95%（较现有技术提升30%）；</w:t>
      </w:r>
    </w:p>
    <w:p>
      <w:r>
        <w:t>[0079] （6）端到端加密保护财务隐私，服务端零知识；</w:t>
      </w:r>
    </w:p>
    <w:p>
      <w:r>
        <w:t>[0080] （7）增量同步传输数据量减少95%，同步速度提升10倍；</w:t>
      </w:r>
    </w:p>
    <w:p>
      <w:r>
        <w:t>[0081] （8）带宽感知策略节省移动流量60%以上。</w:t>
      </w:r>
    </w:p>
    <w:p>
      <w:pPr>
        <w:pStyle w:val="Heading1"/>
      </w:pPr>
      <w:r>
        <w:t>附图说明</w:t>
      </w:r>
    </w:p>
    <w:p>
      <w:r>
        <w:t>[0082] 图1为本发明离线优先架构层次示意图。</w:t>
      </w:r>
    </w:p>
    <w:p>
      <w:r>
        <w:t>[0083] 图2为本发明CRDT数据结构类型与应用场景对应图。</w:t>
      </w:r>
    </w:p>
    <w:p>
      <w:r>
        <w:t>[0084] 图3为本发明向量时钟因果关系判断流程图。</w:t>
      </w:r>
    </w:p>
    <w:p>
      <w:r>
        <w:t>[0085] 图4为本发明Merkle树差异检测原理图。</w:t>
      </w:r>
    </w:p>
    <w:p>
      <w:r>
        <w:t>[0086] 图5为本发明增量同步协议时序图。</w:t>
      </w:r>
    </w:p>
    <w:p>
      <w:r>
        <w:t>[0087] 图6为本发明冲突检测与智能解决流程图。</w:t>
      </w:r>
    </w:p>
    <w:p>
      <w:r>
        <w:t>[0088] 图7为本发明端到端加密密钥派生流程图。</w:t>
      </w:r>
    </w:p>
    <w:p>
      <w:r>
        <w:t>[0089] 图8为本发明带宽感知同步策略决策树。</w:t>
      </w:r>
    </w:p>
    <w:p>
      <w:r>
        <w:t>[0090] 图9为本发明同步健康监控仪表盘示意图。</w:t>
      </w:r>
    </w:p>
    <w:p>
      <w:pPr>
        <w:pStyle w:val="Heading1"/>
      </w:pPr>
      <w:r>
        <w:t>具体实施方式</w:t>
      </w:r>
    </w:p>
    <w:p>
      <w:r>
        <w:t>[0091] 下面结合附图和具体实施例对本发明作进一步说明。</w:t>
      </w:r>
    </w:p>
    <w:p>
      <w:r>
        <w:t>[0092] 实施例1：离线记账后同步</w:t>
      </w:r>
    </w:p>
    <w:p>
      <w:r>
        <w:t>[0093] 用户在地铁（无网络）中记录一笔消费"午餐35元"。</w:t>
      </w:r>
    </w:p>
    <w:p>
      <w:r>
        <w:t>[0094] （1）本地写入：交易数据写入SQLite，生成操作日志：{op_id:"op_001", op_type:INSERT, entity_type:"transaction", entity_id:"txn_123", field_changes:{amount:{old:null,new:35}, category:{old:null,new:"餐饮"}}, vc:{phone:15}, device_id:"phone", timestamp:1704268800}；</w:t>
      </w:r>
    </w:p>
    <w:p>
      <w:r>
        <w:t>[0095] （2）恢复网络后，客户端计算本地Merkle root并发起同步请求；</w:t>
      </w:r>
    </w:p>
    <w:p>
      <w:r>
        <w:t>[0096] （3）服务端比较Merkle root，确定差异分片，返回需要拉取的操作；</w:t>
      </w:r>
    </w:p>
    <w:p>
      <w:r>
        <w:t>[0097] （4）客户端回放服务端操作，然后推送本地新增操作；</w:t>
      </w:r>
    </w:p>
    <w:p>
      <w:r>
        <w:t>[0098] （5）服务端确认并广播，客户端更新水位线，同步完成，耗时&lt;1秒。</w:t>
      </w:r>
    </w:p>
    <w:p>
      <w:r>
        <w:t>[0099] 实施例2：多设备并发编辑金额冲突</w:t>
      </w:r>
    </w:p>
    <w:p>
      <w:r>
        <w:t>[0100] 用户在手机上将交易金额从35元改为38元，同时在平板上改为40元。</w:t>
      </w:r>
    </w:p>
    <w:p>
      <w:r>
        <w:t>[0101] （1）冲突检测：op_phone: {entity:"txn_123", field:"amount", new:38, vc:{phone:20}}；op_tablet: {entity:"txn_123", field:"amount", new:40, vc:{tablet:18}}；vc_phone || vc_tablet，判定为并发冲突；</w:t>
      </w:r>
    </w:p>
    <w:p>
      <w:r>
        <w:t>[0102] （2）MVR保留：金额字段采用Multi-Value Register，保留两个版本{38, 40}；</w:t>
      </w:r>
    </w:p>
    <w:p>
      <w:r>
        <w:t>[0103] （3）UI展示：在交易详情页展示"金额存在冲突：38元(手机) / 40元(平板)"，提供选择按钮；</w:t>
      </w:r>
    </w:p>
    <w:p>
      <w:r>
        <w:t>[0104] （4）用户确认：用户选择40元，系统生成解决操作{op_type:RESOLVE, value:40, resolution:"user_choice"}；</w:t>
      </w:r>
    </w:p>
    <w:p>
      <w:r>
        <w:t>[0105] （5）同步解决方案：解决操作同步到所有设备，冲突标记清除。</w:t>
      </w:r>
    </w:p>
    <w:p>
      <w:r>
        <w:t>[0106] 实施例3：备注字段并发编辑合并</w:t>
      </w:r>
    </w:p>
    <w:p>
      <w:r>
        <w:t>[0107] 用户在手机上为交易添加备注"团建聚餐"，同时在平板上添加"AA制"。</w:t>
      </w:r>
    </w:p>
    <w:p>
      <w:r>
        <w:t>[0108] （1）操作变换：op_phone: insert(0, "团建聚餐")；op_tablet: insert(0, "AA制")；</w:t>
      </w:r>
    </w:p>
    <w:p>
      <w:r>
        <w:t>[0109] （2）OT合并：按设备优先级（手机为主设备），结果为"团建聚餐 AA制"；</w:t>
      </w:r>
    </w:p>
    <w:p>
      <w:r>
        <w:t>[0110] （3）无需用户干预，双方编辑意图均保留。</w:t>
      </w:r>
    </w:p>
    <w:p>
      <w:r>
        <w:t>[0111] 实施例4：家庭账本多成员协作</w:t>
      </w:r>
    </w:p>
    <w:p>
      <w:r>
        <w:t>[0112] 家庭账本有3个成员：父亲（所有者）、母亲（管理员）、孩子（成员）。</w:t>
      </w:r>
    </w:p>
    <w:p>
      <w:r>
        <w:t>[0113] （1）权限控制：孩子只能添加和编辑自己的记录，无法修改父母的交易；</w:t>
      </w:r>
    </w:p>
    <w:p>
      <w:r>
        <w:t>[0114] （2）密钥分发：父亲生成群组密钥K_group，用母亲公钥加密得到E(K_group, pub_mother)，用孩子公钥加密得到E(K_group, pub_child)，分别分发；</w:t>
      </w:r>
    </w:p>
    <w:p>
      <w:r>
        <w:t>[0115] （3）操作归属：每条记录携带author_id，统计页面可按成员筛选；</w:t>
      </w:r>
    </w:p>
    <w:p>
      <w:r>
        <w:t>[0116] （4）成员变更：孩子离开时，父亲重新生成群组密钥并分发给母亲，旧数据保留但孩子无法访问新数据。</w:t>
      </w:r>
    </w:p>
    <w:p>
      <w:r>
        <w:t>[0117] 实施例5：弱网环境智能同步</w:t>
      </w:r>
    </w:p>
    <w:p>
      <w:r>
        <w:t>[0118] 用户在2G网络环境下尝试同步。</w:t>
      </w:r>
    </w:p>
    <w:p>
      <w:r>
        <w:t>[0119] （1）网络检测：estimated_bandwidth = 50KB/s，判定为弱网；</w:t>
      </w:r>
    </w:p>
    <w:p>
      <w:r>
        <w:t>[0120] （2）策略选择：仅同步高优先级操作（priority &gt;= 80），延迟统计类更新；</w:t>
      </w:r>
    </w:p>
    <w:p>
      <w:r>
        <w:t>[0121] （3）压缩传输：启用gzip + Protocol Buffers，数据量从100KB压缩到25KB；</w:t>
      </w:r>
    </w:p>
    <w:p>
      <w:r>
        <w:t>[0122] （4）分片传输：分5片传输，每片确认后继续；</w:t>
      </w:r>
    </w:p>
    <w:p>
      <w:r>
        <w:t>[0123] （5）中断恢复：第3片传输失败，30秒后重试成功，从第3片继续；</w:t>
      </w:r>
    </w:p>
    <w:p>
      <w:r>
        <w:t>[0124] （6）同步完成：总耗时45秒，用户收到"已同步关键数据，完整同步将在WiFi下进行"提示。</w:t>
      </w:r>
    </w:p>
    <w:p>
      <w:r>
        <w:t>[0125] 实施例6：大批量历史数据首次同步</w:t>
      </w:r>
    </w:p>
    <w:p>
      <w:r>
        <w:t>[0126] 新用户导入3年历史账单共12000笔，需与云端同步。</w:t>
      </w:r>
    </w:p>
    <w:p>
      <w:r>
        <w:t>[0127] （1）批量合并：12000笔插入合并为120个批次（每批100笔）；</w:t>
      </w:r>
    </w:p>
    <w:p>
      <w:r>
        <w:t>[0128] （2）Merkle树构建：本地构建Merkle树，根哈希发送给服务端；</w:t>
      </w:r>
    </w:p>
    <w:p>
      <w:r>
        <w:t>[0129] （3）差异检测：服务端本地Merkle树为空，全部120个叶子节点需上传；</w:t>
      </w:r>
    </w:p>
    <w:p>
      <w:r>
        <w:t>[0130] （4）压缩传输：操作日志gzip压缩后从8.5MB降至2.1MB（压缩率75%）；</w:t>
      </w:r>
    </w:p>
    <w:p>
      <w:r>
        <w:t>[0131] （5）分片上传：每批作为一个分片，确认后继续，进度实时显示；</w:t>
      </w:r>
    </w:p>
    <w:p>
      <w:r>
        <w:t>[0132] （6）断点续传：WiFi切换到4G时第58批中断，切回WiFi后从第58批继续；</w:t>
      </w:r>
    </w:p>
    <w:p>
      <w:r>
        <w:t>[0133] （7）同步完成：总耗时3分钟，Merkle root一致性校验通过。</w:t>
      </w:r>
    </w:p>
    <w:p>
      <w:pPr>
        <w:pStyle w:val="Heading2"/>
      </w:pPr>
      <w:r>
        <w:t>技术方案对比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对比维度</w:t>
            </w:r>
          </w:p>
        </w:tc>
        <w:tc>
          <w:tcPr>
            <w:tcW w:type="dxa" w:w="2160"/>
          </w:tcPr>
          <w:p>
            <w:r>
              <w:t>传统全量同步</w:t>
            </w:r>
          </w:p>
        </w:tc>
        <w:tc>
          <w:tcPr>
            <w:tcW w:type="dxa" w:w="2160"/>
          </w:tcPr>
          <w:p>
            <w:r>
              <w:t>现有增量同步</w:t>
            </w:r>
          </w:p>
        </w:tc>
        <w:tc>
          <w:tcPr>
            <w:tcW w:type="dxa" w:w="2160"/>
          </w:tcPr>
          <w:p>
            <w:r>
              <w:t>本发明</w:t>
            </w:r>
          </w:p>
        </w:tc>
      </w:tr>
      <w:tr>
        <w:tc>
          <w:tcPr>
            <w:tcW w:type="dxa" w:w="2160"/>
          </w:tcPr>
          <w:p>
            <w:r>
              <w:t>离线支持</w:t>
            </w:r>
          </w:p>
        </w:tc>
        <w:tc>
          <w:tcPr>
            <w:tcW w:type="dxa" w:w="2160"/>
          </w:tcPr>
          <w:p>
            <w:r>
              <w:t>不支持</w:t>
            </w:r>
          </w:p>
        </w:tc>
        <w:tc>
          <w:tcPr>
            <w:tcW w:type="dxa" w:w="2160"/>
          </w:tcPr>
          <w:p>
            <w:r>
              <w:t>有限支持</w:t>
            </w:r>
          </w:p>
        </w:tc>
        <w:tc>
          <w:tcPr>
            <w:tcW w:type="dxa" w:w="2160"/>
          </w:tcPr>
          <w:p>
            <w:r>
              <w:t>100%功能可用</w:t>
            </w:r>
          </w:p>
        </w:tc>
      </w:tr>
      <w:tr>
        <w:tc>
          <w:tcPr>
            <w:tcW w:type="dxa" w:w="2160"/>
          </w:tcPr>
          <w:p>
            <w:r>
              <w:t>冲突解决</w:t>
            </w:r>
          </w:p>
        </w:tc>
        <w:tc>
          <w:tcPr>
            <w:tcW w:type="dxa" w:w="2160"/>
          </w:tcPr>
          <w:p>
            <w:r>
              <w:t>LWW覆盖</w:t>
            </w:r>
          </w:p>
        </w:tc>
        <w:tc>
          <w:tcPr>
            <w:tcW w:type="dxa" w:w="2160"/>
          </w:tcPr>
          <w:p>
            <w:r>
              <w:t>LWW覆盖</w:t>
            </w:r>
          </w:p>
        </w:tc>
        <w:tc>
          <w:tcPr>
            <w:tcW w:type="dxa" w:w="2160"/>
          </w:tcPr>
          <w:p>
            <w:r>
              <w:t>CRDT+OT智能合并</w:t>
            </w:r>
          </w:p>
        </w:tc>
      </w:tr>
      <w:tr>
        <w:tc>
          <w:tcPr>
            <w:tcW w:type="dxa" w:w="2160"/>
          </w:tcPr>
          <w:p>
            <w:r>
              <w:t>同步效率</w:t>
            </w:r>
          </w:p>
        </w:tc>
        <w:tc>
          <w:tcPr>
            <w:tcW w:type="dxa" w:w="2160"/>
          </w:tcPr>
          <w:p>
            <w:r>
              <w:t>O(N)</w:t>
            </w:r>
          </w:p>
        </w:tc>
        <w:tc>
          <w:tcPr>
            <w:tcW w:type="dxa" w:w="2160"/>
          </w:tcPr>
          <w:p>
            <w:r>
              <w:t>O(ΔN)</w:t>
            </w:r>
          </w:p>
        </w:tc>
        <w:tc>
          <w:tcPr>
            <w:tcW w:type="dxa" w:w="2160"/>
          </w:tcPr>
          <w:p>
            <w:r>
              <w:t>O(log N) Merkle</w:t>
            </w:r>
          </w:p>
        </w:tc>
      </w:tr>
      <w:tr>
        <w:tc>
          <w:tcPr>
            <w:tcW w:type="dxa" w:w="2160"/>
          </w:tcPr>
          <w:p>
            <w:r>
              <w:t>传输压缩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gzip</w:t>
            </w:r>
          </w:p>
        </w:tc>
        <w:tc>
          <w:tcPr>
            <w:tcW w:type="dxa" w:w="2160"/>
          </w:tcPr>
          <w:p>
            <w:r>
              <w:t>gzip+ProtoBuf</w:t>
            </w:r>
          </w:p>
        </w:tc>
      </w:tr>
      <w:tr>
        <w:tc>
          <w:tcPr>
            <w:tcW w:type="dxa" w:w="2160"/>
          </w:tcPr>
          <w:p>
            <w:r>
              <w:t>隐私保护</w:t>
            </w:r>
          </w:p>
        </w:tc>
        <w:tc>
          <w:tcPr>
            <w:tcW w:type="dxa" w:w="2160"/>
          </w:tcPr>
          <w:p>
            <w:r>
              <w:t>服务端明文</w:t>
            </w:r>
          </w:p>
        </w:tc>
        <w:tc>
          <w:tcPr>
            <w:tcW w:type="dxa" w:w="2160"/>
          </w:tcPr>
          <w:p>
            <w:r>
              <w:t>服务端明文</w:t>
            </w:r>
          </w:p>
        </w:tc>
        <w:tc>
          <w:tcPr>
            <w:tcW w:type="dxa" w:w="2160"/>
          </w:tcPr>
          <w:p>
            <w:r>
              <w:t>端到端加密</w:t>
            </w:r>
          </w:p>
        </w:tc>
      </w:tr>
      <w:tr>
        <w:tc>
          <w:tcPr>
            <w:tcW w:type="dxa" w:w="2160"/>
          </w:tcPr>
          <w:p>
            <w:r>
              <w:t>多成员协作</w:t>
            </w:r>
          </w:p>
        </w:tc>
        <w:tc>
          <w:tcPr>
            <w:tcW w:type="dxa" w:w="2160"/>
          </w:tcPr>
          <w:p>
            <w:r>
              <w:t>不支持</w:t>
            </w:r>
          </w:p>
        </w:tc>
        <w:tc>
          <w:tcPr>
            <w:tcW w:type="dxa" w:w="2160"/>
          </w:tcPr>
          <w:p>
            <w:r>
              <w:t>基础支持</w:t>
            </w:r>
          </w:p>
        </w:tc>
        <w:tc>
          <w:tcPr>
            <w:tcW w:type="dxa" w:w="2160"/>
          </w:tcPr>
          <w:p>
            <w:r>
              <w:t>完整权限控制</w:t>
            </w:r>
          </w:p>
        </w:tc>
      </w:tr>
      <w:tr>
        <w:tc>
          <w:tcPr>
            <w:tcW w:type="dxa" w:w="2160"/>
          </w:tcPr>
          <w:p>
            <w:r>
              <w:t>带宽感知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自适应策略</w:t>
            </w:r>
          </w:p>
        </w:tc>
      </w:tr>
      <w:tr>
        <w:tc>
          <w:tcPr>
            <w:tcW w:type="dxa" w:w="2160"/>
          </w:tcPr>
          <w:p>
            <w:r>
              <w:t>冲突自动解决率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</w:tr>
    </w:tbl>
    <w:p>
      <w:pPr>
        <w:pStyle w:val="Heading1"/>
      </w:pPr>
      <w:r>
        <w:t>权利要求书</w:t>
      </w:r>
    </w:p>
    <w:p>
      <w:r>
        <w:t>1. 一种离线优先的财务数据增量同步方法，其特征在于，包括以下步骤：</w:t>
        <w:br/>
        <w:t>S1，本地优先数据架构：所有数据操作首先写入本地数据库并生成不可变操作日志，操作日志包含操作类型、目标实体、字段变更、向量时钟和设备标识；</w:t>
        <w:br/>
        <w:t>S2，CRDT数据结构：采用无冲突复制数据类型管理数据，包括用于统计的G-Counter、用于余额的PN-Counter、用于集合的OR-Set和用于寄存器的LWW-Register；</w:t>
        <w:br/>
        <w:t>S3，向量时钟因果追踪：采用向量时钟追踪各设备操作的因果关系，通过时钟向量比较判定操作的先后或并发关系；</w:t>
        <w:br/>
        <w:t>S4，Merkle树差异检测：构建数据的Merkle哈希树，通过根哈希比较和递归定位实现O(log N)时间复杂度的差异检测；</w:t>
        <w:br/>
        <w:t>S5，增量同步协议：通过交换向量时钟和Merkle根实现高效增量同步，仅传输差异分片的操作日志；</w:t>
        <w:br/>
        <w:t>S6，智能冲突解决：当检测到并发操作冲突时，根据字段类型采用不同的解决策略，金额字段保留多值由用户确认，文本字段采用操作变换合并。</w:t>
      </w:r>
    </w:p>
    <w:p>
      <w:r>
        <w:t>2. 根据权利要求1所述的方法，其特征在于，所述CRDT数据结构中：</w:t>
        <w:br/>
        <w:t>G-Counter用于记账笔数等仅增统计，全局值为所有设备计数之和；</w:t>
        <w:br/>
        <w:t>PN-Counter用于账户余额，由增加计数器P和减少计数器N组成，值为P-N；</w:t>
        <w:br/>
        <w:t>OR-Set用于标签集合管理，通过唯一标签解决添加-删除并发冲突。</w:t>
      </w:r>
    </w:p>
    <w:p>
      <w:r>
        <w:t>3. 根据权利要求1所述的方法，其特征在于，对于金额字段采用Multi-Value Register保留所有并发写入的值，在用户界面展示冲突的多个值并请求用户确认最终值。</w:t>
      </w:r>
    </w:p>
    <w:p>
      <w:r>
        <w:t>4. 根据权利要求1所述的方法，其特征在于，所述向量时钟采用Hybrid Logical Clock扩展，结合物理时钟和逻辑计数器，解决大规模设备下的维度膨胀问题。</w:t>
      </w:r>
    </w:p>
    <w:p>
      <w:r>
        <w:t>5. 根据权利要求1所述的方法，其特征在于，所述Merkle树差异检测包括：</w:t>
        <w:br/>
        <w:t>将数据按实体类型和ID范围划分为固定大小的叶子节点；</w:t>
        <w:br/>
        <w:t>叶子节点哈希为其包含记录哈希的有序聚合；</w:t>
        <w:br/>
        <w:t>自底向上构建二叉树，内部节点哈希为子节点哈希的聚合；</w:t>
        <w:br/>
        <w:t>数据变更时仅更新受影响的叶子节点和祖先路径。</w:t>
      </w:r>
    </w:p>
    <w:p>
      <w:r>
        <w:t>6. 根据权利要求5所述的方法，其特征在于，所述差异检测算法包括：</w:t>
        <w:br/>
        <w:t>比较客户端和服务端的根哈希，若相同则无需同步；</w:t>
        <w:br/>
        <w:t>若不同则递归比较子节点哈希，定位到差异叶子节点；</w:t>
        <w:br/>
        <w:t>仅传输差异叶子节点对应的操作日志。</w:t>
      </w:r>
    </w:p>
    <w:p>
      <w:r>
        <w:t>7. 根据权利要求1所述的方法，其特征在于，所述增量同步协议包括：</w:t>
        <w:br/>
        <w:t>同步握手阶段：客户端发送本地向量时钟和Merkle根；</w:t>
        <w:br/>
        <w:t>拉取阶段：客户端请求差异分片的操作日志并验证Merkle证明；</w:t>
        <w:br/>
        <w:t>回放阶段：按因果顺序回放收到的操作；</w:t>
        <w:br/>
        <w:t>推送阶段：客户端发送本地新增操作日志。</w:t>
      </w:r>
    </w:p>
    <w:p>
      <w:r>
        <w:t>8. 根据权利要求1所述的方法，其特征在于，所述智能冲突解决的分字段策略包括：</w:t>
        <w:br/>
        <w:t>金额字段：保留所有并发版本，请求用户确认；</w:t>
        <w:br/>
        <w:t>类别字段：优先用户主设备的操作；</w:t>
        <w:br/>
        <w:t>标签字段：采用OR-Set自动合并；</w:t>
        <w:br/>
        <w:t>备注字段：采用操作变换算法合并文本编辑；</w:t>
        <w:br/>
        <w:t>时间戳字段：保留较早的时间戳。</w:t>
      </w:r>
    </w:p>
    <w:p>
      <w:r>
        <w:t>9. 根据权利要求8所述的方法，其特征在于，所述操作变换算法包括：</w:t>
        <w:br/>
        <w:t>定义变换函数transform(op_a, op_b)使得操作可交换；</w:t>
        <w:br/>
        <w:t>对于并发的字符串插入，根据插入位置调整后续操作的位置；</w:t>
        <w:br/>
        <w:t>当无法完美合并时，按设备优先级决定保留版本。</w:t>
      </w:r>
    </w:p>
    <w:p>
      <w:r>
        <w:t>10. 根据权利要求1所述的方法，其特征在于，还包括冲突可视化步骤：</w:t>
        <w:br/>
        <w:t>在用户界面高亮显示存在未解决冲突的记录；</w:t>
        <w:br/>
        <w:t>展示各设备版本的详情供用户比较；</w:t>
        <w:br/>
        <w:t>记录用户的冲突解决偏好用于优化自动解决策略。</w:t>
      </w:r>
    </w:p>
    <w:p>
      <w:r>
        <w:t>11. 根据权利要求1所述的方法，其特征在于，还包括端到端加密步骤：</w:t>
        <w:br/>
        <w:t>通过密钥派生函数从用户密码派生主密钥；</w:t>
        <w:br/>
        <w:t>使用对称加密算法加密操作日志，每条记录使用独立初始向量；</w:t>
        <w:br/>
        <w:t>服务端仅存储加密数据，无法解密查看用户财务信息。</w:t>
      </w:r>
    </w:p>
    <w:p>
      <w:r>
        <w:t>12. 根据权利要求11所述的方法，其特征在于，所述密钥派生采用Argon2id算法，参数包括内存消耗、迭代次数和并行度，派生256位主密钥。</w:t>
      </w:r>
    </w:p>
    <w:p>
      <w:r>
        <w:t>13. 根据权利要求11所述的方法，其特征在于，还包括密钥轮换机制：</w:t>
        <w:br/>
        <w:t>支持定期生成新密钥；</w:t>
        <w:br/>
        <w:t>旧密钥加密的数据在访问时透明迁移到新密钥加密。</w:t>
      </w:r>
    </w:p>
    <w:p>
      <w:r>
        <w:t>14. 根据权利要求1所述的方法，其特征在于，还包括多成员家庭同步步骤：</w:t>
        <w:br/>
        <w:t>创建共享账本空间，成员角色分为所有者、管理员、成员和查看者；</w:t>
        <w:br/>
        <w:t>根据角色控制操作权限，成员只能编辑自己的记录；</w:t>
        <w:br/>
        <w:t>采用群组密钥分发协议共享加密密钥。</w:t>
      </w:r>
    </w:p>
    <w:p>
      <w:r>
        <w:t>15. 根据权利要求14所述的方法，其特征在于，成员变更时重新生成群组密钥并分发给剩余成员，离开的成员无法访问变更后新增的数据。</w:t>
      </w:r>
    </w:p>
    <w:p>
      <w:r>
        <w:t>16. 根据权利要求1所述的方法，其特征在于，还包括带宽感知同步策略：</w:t>
        <w:br/>
        <w:t>监测网络类型和估计带宽；</w:t>
        <w:br/>
        <w:t>WiFi环境下执行全量增量同步；</w:t>
        <w:br/>
        <w:t>移动网络下仅同步高优先级操作；</w:t>
        <w:br/>
        <w:t>弱网环境下仅同步关键操作并延迟非关键同步。</w:t>
      </w:r>
    </w:p>
    <w:p>
      <w:r>
        <w:t>17. 根据权利要求1所述的方法，其特征在于，所述同步优化策略包括：</w:t>
        <w:br/>
        <w:t>批量合并：连续编辑操作合并为单次更新；</w:t>
        <w:br/>
        <w:t>优先级队列：按操作类型和时效性计算优先级；</w:t>
        <w:br/>
        <w:t>断点续传：分片传输支持失败恢复；</w:t>
        <w:br/>
        <w:t>压缩传输：采用通用压缩和结构化编码。</w:t>
      </w:r>
    </w:p>
    <w:p>
      <w:r>
        <w:t>18. 根据权利要求1所述的方法，其特征在于，还包括同步健康监控步骤：</w:t>
        <w:br/>
        <w:t>计算同步延迟、冲突率和错误率等健康指标；</w:t>
        <w:br/>
        <w:t>根据指标阈值判定健康、警告或异常状态；</w:t>
        <w:br/>
        <w:t>检测到异常时自动触发完整性校验和修复。</w:t>
      </w:r>
    </w:p>
    <w:p>
      <w:r>
        <w:t>19. 一种离线优先的财务数据增量同步系统，其特征在于，包括：</w:t>
        <w:br/>
        <w:t>本地存储模块，配置用于管理本地数据库、操作日志和写前日志；</w:t>
        <w:br/>
        <w:t>CRDT引擎模块，配置用于实现G-Counter、PN-Counter、OR-Set和LWW-Register等数据类型；</w:t>
        <w:br/>
        <w:t>向量时钟模块，配置用于维护、更新和比较向量时钟；</w:t>
        <w:br/>
        <w:t>Merkle树模块，配置用于构建哈希树和执行差异检测；</w:t>
        <w:br/>
        <w:t>同步引擎模块，配置用于执行增量同步协议；</w:t>
        <w:br/>
        <w:t>冲突解决模块，配置用于检测并发冲突并执行分字段解决策略；</w:t>
        <w:br/>
        <w:t>加密模块，配置用于密钥派生、数据加密和密钥轮换；</w:t>
        <w:br/>
        <w:t>传输优化模块，配置用于实现批量合并、优先级队列和压缩传输。</w:t>
      </w:r>
    </w:p>
    <w:p>
      <w:r>
        <w:t>20. 一种计算机可读存储介质，其上存储有计算机程序，其特征在于，该程序被处理器执行时实现权利要求1至18中任一项所述方法的步骤。</w:t>
      </w:r>
    </w:p>
    <w:p>
      <w:pPr>
        <w:pStyle w:val="Heading1"/>
      </w:pPr>
      <w:r>
        <w:t>说明书摘要</w:t>
      </w:r>
    </w:p>
    <w:p>
      <w:r>
        <w:t>本发明公开了一种离线优先的财务数据增量同步方法及系统，属于分布式数据同步技术领域。该方法通过本地数据库优先写入确保离线状态下100%功能可用；采用CRDT无冲突复制数据类型实现自动合并；采用向量时钟追踪各设备操作的因果关系；通过Merkle树实现O(log N)时间复杂度的差异检测；根据字段类型采用差异化冲突解决策略，金额字段保留多值请求用户确认，备注字段采用操作变换合并；采用端到端加密保护财务隐私，服务端零知识；支持多成员家庭协作和带宽感知同步策略。本发明解决了现有同步技术离线支持不足、冲突解决粗暴的问题，增量同步传输量减少95%，冲突自动解决率达95%。</w:t>
      </w:r>
    </w:p>
    <w:p>
      <w:r>
        <w:t>摘要附图：图1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