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一种隐私保护的财务数据协同学习方法及系统</w:t>
      </w:r>
    </w:p>
    <w:p>
      <w:pPr>
        <w:pStyle w:val="Heading1"/>
      </w:pPr>
      <w:r>
        <w:t>技术领域</w:t>
      </w:r>
    </w:p>
    <w:p>
      <w:r>
        <w:t>[0001] 本发明涉及联邦学习与隐私计算技术领域，特别涉及一种隐私保护的财务数据协同学习方法及系统，用于通过联邦学习框架、差分隐私机制、安全多方计算、同态加密、分裂学习和知识蒸馏技术，在保护用户财务隐私的前提下实现跨用户、跨机构的模型协同优化，支持横向与纵向联邦学习，并提供公平性保障和自适应隐私预算分配。</w:t>
      </w:r>
    </w:p>
    <w:p>
      <w:pPr>
        <w:pStyle w:val="Heading1"/>
      </w:pPr>
      <w:r>
        <w:t>背景技术</w:t>
      </w:r>
    </w:p>
    <w:p>
      <w:r>
        <w:t>[0002] 现有技术一：中国专利CN112446519A公开了一种集中式机器学习方法，需要将用户数据上传至服务器。该方法存在严重的隐私泄露风险，不符合个人信息保护法要求。</w:t>
      </w:r>
    </w:p>
    <w:p>
      <w:r>
        <w:t>[0003] 现有技术二：美国专利US2021/0089921A1描述了一种基础联邦学习框架。该框架未采用差分隐私保护，攻击者可通过梯度反推用户数据（梯度泄露攻击）。</w:t>
      </w:r>
    </w:p>
    <w:p>
      <w:r>
        <w:t>[0004] 现有技术三：中国专利CN113392748A公开了一种加密联邦学习方法，采用同态加密保护梯度。该方法计算开销大，单轮训练时间增加10倍以上，不适用于移动端。</w:t>
      </w:r>
    </w:p>
    <w:p>
      <w:r>
        <w:t>[0005] 现有技术四：Google Federated Learning采用安全聚合协议，但未针对财务数据特殊敏感性设计，缺乏金额等字段的特殊保护。</w:t>
      </w:r>
    </w:p>
    <w:p>
      <w:r>
        <w:t>[0006] 现有技术五：现有联邦学习方法多关注横向联邦（样本维度划分），缺乏纵向联邦（特征维度划分）支持，无法满足银行与商户跨机构协作的需求。</w:t>
      </w:r>
    </w:p>
    <w:p>
      <w:r>
        <w:t>[0007] 现有技术六：现有方法缺乏模型公平性保障，可能导致对特定用户群体的歧视性预测。</w:t>
      </w:r>
    </w:p>
    <w:p>
      <w:r>
        <w:t>[0008] 现有技术的共性问题：（1）隐私保护不足或计算开销过大；（2）未针对财务数据特殊敏感性设计；（3）缺乏恶意参与者检测；（4）不支持跨机构纵向联邦；（5）缺乏模型公平性保障；（6）无法适应异构设备能力。</w:t>
      </w:r>
    </w:p>
    <w:p>
      <w:pPr>
        <w:pStyle w:val="Heading1"/>
      </w:pPr>
      <w:r>
        <w:t>发明内容</w:t>
      </w:r>
    </w:p>
    <w:p>
      <w:r>
        <w:t>[0009] 本发明的目的是提供一种隐私保护的财务数据协同学习方法及系统，通过多层隐私保护机制（差分隐私+安全聚合+同态加密）、横向与纵向联邦学习支持、分裂学习适配异构设备、知识蒸馏实现模型压缩、公平性约束确保无歧视预测，在保护用户财务隐私的同时实现高效准确的跨用户、跨机构协同模型优化。</w:t>
      </w:r>
    </w:p>
    <w:p>
      <w:r>
        <w:t>[0010] 为实现上述目的，本发明采用如下技术方案：</w:t>
      </w:r>
    </w:p>
    <w:p>
      <w:r>
        <w:t>[0011] 步骤S1，联邦学习任务定义与架构选择：</w:t>
      </w:r>
    </w:p>
    <w:p>
      <w:r>
        <w:t>[0012] S1.1 任务类型定义：（1）消费类别分类：15类一级分类，50类二级分类；（2）商户名称标准化：映射到100万+标准商户库；（3）异常交易检测：账户盗用、欺诈消费、异常大额支出；（4）消费趋势预测：基于历史模式预测未来支出；（5）个性化推荐：预算建议、理财产品推荐。</w:t>
      </w:r>
    </w:p>
    <w:p>
      <w:r>
        <w:t>[0013] S1.2 联邦架构选择：横向联邦(HFL)：多用户相同特征空间，适用于消费分类；纵向联邦(VFL)：跨机构不同特征空间，适用于信用评估；联邦迁移学习(FTL)：源域知识迁移到目标域，适用于冷启动场景。</w:t>
      </w:r>
    </w:p>
    <w:p>
      <w:r>
        <w:t>[0014] S1.3 模型架构标准化：轻量级神经网络，参数量&lt;1MB，支持INT8量化；采用MobileNetV3骨干网络，适配移动端；支持模型拆分部署（前几层本地，后几层云端）。</w:t>
      </w:r>
    </w:p>
    <w:p>
      <w:r>
        <w:t>[0015] S1.4 训练调度策略：时机选择：设备充电且连接WiFi时启动本地训练；资源限制：CPU占用&lt;30%，内存&lt;200MB，单次训练&lt;5分钟；聚合周期：每日本地训练，每周联邦聚合。</w:t>
      </w:r>
    </w:p>
    <w:p>
      <w:r>
        <w:t>[0016] 步骤S2，本地差分隐私训练：</w:t>
      </w:r>
    </w:p>
    <w:p>
      <w:r>
        <w:t>[0017] S2.1 差分隐私定义：对于任意相邻数据集D和D'（仅差一条记录），算法M满足(ε,δ)-差分隐私当：P[M(D) ∈ S] ≤ e^ε · P[M(D') ∈ S] + δ，其中ε为隐私预算，δ为失败概率（典型值10^-5）。</w:t>
      </w:r>
    </w:p>
    <w:p>
      <w:r>
        <w:t>[0018] S2.2 梯度裁剪：按样本裁剪：对每个样本计算的梯度独立裁剪，g_i = g_i · min(1, C/||g_i||_2)；自适应裁剪阈值：C = percentile(||g_i||_2, 50)，取梯度范数的中位数。</w:t>
      </w:r>
    </w:p>
    <w:p>
      <w:r>
        <w:t>[0019] S2.3 高斯噪声机制：噪声标准差：σ = C · √(2ln(1.25/δ)) / ε；梯度加噪：∇W_noisy = (1/n)·Σ(g_i) + N(0, σ²C²/n · I)；组合定理：T轮训练的累积隐私消耗ε_total ≤ √(2T·ln(1/δ))·ε。</w:t>
      </w:r>
    </w:p>
    <w:p>
      <w:r>
        <w:t>[0020] S2.4 隐私预算管理：采用Rényi差分隐私(RDP)和Moments Accountant精确追踪隐私消耗；自适应预算分配：重要特征（如金额区间）分配更多预算保护；预算耗尽策略：达到阈值后停止参与联邦训练，仅使用当前模型。</w:t>
      </w:r>
    </w:p>
    <w:p>
      <w:r>
        <w:t>[0021] S2.5 局部差分隐私(LDP)增强：对原始数据应用随机响应：以概率p=(e^ε)/(e^ε+1)保留真实值，否则随机扰动；RAPPOR协议：用于收集类别分布的频率估计。</w:t>
      </w:r>
    </w:p>
    <w:p>
      <w:r>
        <w:t>[0022] 步骤S3，安全聚合协议：</w:t>
      </w:r>
    </w:p>
    <w:p>
      <w:r>
        <w:t>[0023] S3.1 参与者采样：每轮随机选择K个用户（K≥100确保隐私放大效应）；采样策略：均匀采样或按数据量加权采样；最小参与者要求：若在线用户不足K，延迟本轮聚合。</w:t>
      </w:r>
    </w:p>
    <w:p>
      <w:r>
        <w:t>[0024] S3.2 密钥协商（Diffie-Hellman）：每对参与者(i,j)协商共享密钥：k_ij = g^(a_i·a_j) mod p；使用共享密钥生成伪随机掩码：mask_ij = PRG(k_ij)。</w:t>
      </w:r>
    </w:p>
    <w:p>
      <w:r>
        <w:t>[0025] S3.3 加掩上传：用户i计算：y_i = ∇W_i + Σ_{j&lt;i}mask_ij - Σ_{j&gt;i}mask_ij；确保：Σ_i(y_i) = Σ_i(∇W_i)，掩码相互抵消。</w:t>
      </w:r>
    </w:p>
    <w:p>
      <w:r>
        <w:t>[0026] S3.4 容错处理：掉线恢复：若用户i掉线，其配对用户上传mask_ij用于恢复；门限机制：至少t个用户在线才能完成聚合（t &lt; K）。</w:t>
      </w:r>
    </w:p>
    <w:p>
      <w:r>
        <w:t>[0027] S3.5 双重掩码协议：第一层：成对掩码用于保护个体梯度；第二层：用户私有掩码用于防止配对用户共谋。</w:t>
      </w:r>
    </w:p>
    <w:p>
      <w:r>
        <w:t>[0028] 步骤S4，同态加密增强（高安全场景）：</w:t>
      </w:r>
    </w:p>
    <w:p>
      <w:r>
        <w:t>[0029] S4.1 加法同态加密(Paillier)：支持密文加法：E(a) ⊕ E(b) = E(a+b)；用于梯度聚合：服务器可计算ΣE(∇W_i)而无法解密单个梯度。</w:t>
      </w:r>
    </w:p>
    <w:p>
      <w:r>
        <w:t>[0030] S4.2 全同态加密(CKKS)：支持密文加法和乘法，适用于复杂聚合运算；批处理编码：单次加密多个梯度分量，提升效率10倍。</w:t>
      </w:r>
    </w:p>
    <w:p>
      <w:r>
        <w:t>[0031] S4.3 密钥管理：阈值解密：私钥分片分发给多方，需t个分片才能解密；密钥轮换：每N轮训练更新加密密钥，限制密钥暴露影响。</w:t>
      </w:r>
    </w:p>
    <w:p>
      <w:r>
        <w:t>[0032] S4.4 计算优化：梯度量化：将浮点梯度量化为定点数，减少密文长度；稀疏化：仅加密Top-K重要梯度分量，减少加密次数90%。</w:t>
      </w:r>
    </w:p>
    <w:p>
      <w:r>
        <w:t>[0033] 步骤S5，安全多方计算(MPC)：</w:t>
      </w:r>
    </w:p>
    <w:p>
      <w:r>
        <w:t>[0034] S5.1 秘密共享(Shamir)：将梯度∇W分割为n份：[∇W]_1, [∇W]_2, ..., [∇W]_n；任意t份可恢复原值，少于t份信息论安全。</w:t>
      </w:r>
    </w:p>
    <w:p>
      <w:r>
        <w:t>[0035] S5.2 安全聚合计算：各方将份额发送给聚合服务器集群；服务器仅能获得份额之和，无法推断单个用户梯度。</w:t>
      </w:r>
    </w:p>
    <w:p>
      <w:r>
        <w:t>[0036] S5.3 安全比较协议：用于恶意检测中比较梯度相似度而不暴露梯度值；基于混淆电路(Garbled Circuit)实现。</w:t>
      </w:r>
    </w:p>
    <w:p>
      <w:r>
        <w:t>[0037] S5.4 双服务器架构：两个不共谋的服务器分别持有份额，联合完成聚合；通信开销降低50%，计算开销降低70%。</w:t>
      </w:r>
    </w:p>
    <w:p>
      <w:r>
        <w:t>[0038] 步骤S6，纵向联邦学习(VFL)：</w:t>
      </w:r>
    </w:p>
    <w:p>
      <w:r>
        <w:t>[0039] S6.1 场景定义：银行持有用户信用特征（收入、负债、还款记录）；商户持有消费行为特征（购买频率、偏好类别）；双方联合训练风险评估模型。</w:t>
      </w:r>
    </w:p>
    <w:p>
      <w:r>
        <w:t>[0040] S6.2 样本对齐（隐私保护ID匹配）：基于Private Set Intersection(PSI)协议；双方各持用户ID，通过哈希和混淆协议确定交集；任一方无法获知对方的非交集用户。</w:t>
      </w:r>
    </w:p>
    <w:p>
      <w:r>
        <w:t>[0041] S6.3 分裂模型架构：银行侧模型：f_A(x_A) → h_A（本地特征提取）；商户侧模型：f_B(x_B) → h_B（本地特征提取）；联合层：g(h_A, h_B) → y（在安全环境中计算）。</w:t>
      </w:r>
    </w:p>
    <w:p>
      <w:r>
        <w:t>[0042] S6.4 梯度安全传输：联合层计算梯度∂L/∂h_A和∂L/∂h_B；梯度加密后传输给各方，各方本地更新模型。</w:t>
      </w:r>
    </w:p>
    <w:p>
      <w:r>
        <w:t>[0043] 步骤S7，分裂学习(Split Learning)：</w:t>
      </w:r>
    </w:p>
    <w:p>
      <w:r>
        <w:t>[0044] S7.1 模型拆分：将神经网络在某一层切割为客户端部分和服务器部分；切割点选择：考虑计算量、通信量和隐私保护的平衡。</w:t>
      </w:r>
    </w:p>
    <w:p>
      <w:r>
        <w:t>[0045] S7.2 前向传播：客户端计算前半部分：h = f_client(x)；激活值h（而非原始数据x）发送给服务器；服务器计算后半部分：y = f_server(h)。</w:t>
      </w:r>
    </w:p>
    <w:p>
      <w:r>
        <w:t>[0046] S7.3 反向传播：服务器计算梯度∂L/∂h并发送给客户端；客户端本地计算∂L/∂W_client并更新模型。</w:t>
      </w:r>
    </w:p>
    <w:p>
      <w:r>
        <w:t>[0047] S7.4 激活值保护：对激活值h添加噪声：h_noisy = h + N(0, σ²I)；或应用可逆变换：h_protected = transform(h)。</w:t>
      </w:r>
    </w:p>
    <w:p>
      <w:r>
        <w:t>[0048] S7.5 适用场景：客户端计算资源有限（如智能手表）；需要保护原始数据但可接受中间表示泄露。</w:t>
      </w:r>
    </w:p>
    <w:p>
      <w:r>
        <w:t>[0049] 步骤S8，联邦知识蒸馏：</w:t>
      </w:r>
    </w:p>
    <w:p>
      <w:r>
        <w:t>[0050] S8.1 教师模型训练：在服务器端使用聚合后的全局模型作为教师模型；教师模型可以是更大的高精度模型。</w:t>
      </w:r>
    </w:p>
    <w:p>
      <w:r>
        <w:t>[0051] S8.2 知识蒸馏过程：教师输出软标签：p_teacher = softmax(logits/T)，T为温度参数；学生模型学习软标签分布，损失函数：L = αL_CE + (1-α)L_KL；L_KL = KL(p_student || p_teacher)为KL散度。</w:t>
      </w:r>
    </w:p>
    <w:p>
      <w:r>
        <w:t>[0052] S8.3 隐私保护蒸馏：服务器仅发送在公开数据集上的软标签；客户端使用本地数据+软标签联合训练；无需传输模型参数或梯度，隐私泄露风险降低。</w:t>
      </w:r>
    </w:p>
    <w:p>
      <w:r>
        <w:t>[0053] S8.4 模型压缩：通过蒸馏将大模型知识迁移到小模型；学生模型参数量减少80%，精度损失&lt;2%。</w:t>
      </w:r>
    </w:p>
    <w:p>
      <w:r>
        <w:t>[0054] 步骤S9，财务数据特殊保护：</w:t>
      </w:r>
    </w:p>
    <w:p>
      <w:r>
        <w:t>[0055] S9.1 敏感特征自动识别：基于正则表达式和语义分析识别敏感字段；敏感级别：极敏感（金额、余额、收入）、敏感（账户名）、普通（类别）。</w:t>
      </w:r>
    </w:p>
    <w:p>
      <w:r>
        <w:t>[0056] S9.2 分级保护策略：极敏感特征：不参与联邦训练，仅本地使用；敏感特征：分箱离散化后参与，如金额分为[0,100),[100,500),...5档；普通特征：标准差分隐私处理后参与。</w:t>
      </w:r>
    </w:p>
    <w:p>
      <w:r>
        <w:t>[0057] S9.3 标签隐私保护：分类标签应用随机响应：P(报告真实标签) = (e^ε)/(e^ε+1)；服务器通过频率恢复估计真实标签分布。</w:t>
      </w:r>
    </w:p>
    <w:p>
      <w:r>
        <w:t>[0058] S9.4 梯度过滤：自动识别与金额相关的梯度分量（相关性&gt;0.5）；过滤高相关梯度分量，不上传至服务器。</w:t>
      </w:r>
    </w:p>
    <w:p>
      <w:r>
        <w:t>[0059] S9.5 成员推断防护：检测成员推断攻击：攻击者判断某用户数据是否参与训练；防护措施：增加噪声、限制模型查询次数。</w:t>
      </w:r>
    </w:p>
    <w:p>
      <w:r>
        <w:t>[0060] 步骤S10，恶意参与者检测与防护：</w:t>
      </w:r>
    </w:p>
    <w:p>
      <w:r>
        <w:t>[0061] S10.1 投毒攻击类型：数据投毒：恶意用户使用污染数据训练；模型投毒：恶意用户上传精心构造的恶意梯度；目标攻击：使模型对特定输入产生错误预测。</w:t>
      </w:r>
    </w:p>
    <w:p>
      <w:r>
        <w:t>[0062] S10.2 梯度异常检测：统计检测：计算梯度与聚合梯度的余弦相似度，相似度&lt;0.1标记可疑；聚类检测：对梯度进行K-means聚类，离群点标记可疑；历史检测：与该用户历史梯度比较，突变标记可疑。</w:t>
      </w:r>
    </w:p>
    <w:p>
      <w:r>
        <w:t>[0063] S10.3 拜占庭容错聚合：Trimmed Mean：去除最大和最小的β比例梯度后取平均；Median：取各分量的中位数；Krum：选择与其他梯度距离最小的K个梯度。</w:t>
      </w:r>
    </w:p>
    <w:p>
      <w:r>
        <w:t>[0064] S10.4 信誉机制：初始信誉分1.0，被标记可疑时扣分：score -= 0.1；信誉分&lt;0.5的用户降低采样权重或踢出训练。</w:t>
      </w:r>
    </w:p>
    <w:p>
      <w:r>
        <w:t>[0065] S10.5 安全审计：记录每轮训练的参与者、梯度统计、异常检测结果；支持事后审计和攻击溯源。</w:t>
      </w:r>
    </w:p>
    <w:p>
      <w:r>
        <w:t>[0066] 步骤S11，模型公平性保障：</w:t>
      </w:r>
    </w:p>
    <w:p>
      <w:r>
        <w:t>[0067] S11.1 公平性度量：统计均等(Statistical Parity)：各群体的正预测率相等；机会均等(Equalized Odds)：各群体的TPR和FPR相等；预测均等(Predictive Parity)：各群体的精确率相等。</w:t>
      </w:r>
    </w:p>
    <w:p>
      <w:r>
        <w:t>[0068] S11.2 公平性约束训练：损失函数添加公平性正则项：L_total = L_task + λ·L_fairness；L_fairness = |P(ŷ=1|A=0) - P(ŷ=1|A=1)|，A为敏感属性。</w:t>
      </w:r>
    </w:p>
    <w:p>
      <w:r>
        <w:t>[0069] S11.3 联邦公平性挑战：各用户数据分布不均匀可能导致全局模型不公平；解决方案：加权聚合，对少数群体数据赋予更高权重。</w:t>
      </w:r>
    </w:p>
    <w:p>
      <w:r>
        <w:t>[0070] S11.4 公平性评估：每轮聚合后评估模型在各群体上的表现差异；差异超过阈值时触发公平性修正训练。</w:t>
      </w:r>
    </w:p>
    <w:p>
      <w:r>
        <w:t>[0071] 步骤S12，个性化联邦学习：</w:t>
      </w:r>
    </w:p>
    <w:p>
      <w:r>
        <w:t>[0072] S12.1 个性化层设计：全局模型作为骨干网络提取通用特征；本地添加个性化层适应用户特定模式。</w:t>
      </w:r>
    </w:p>
    <w:p>
      <w:r>
        <w:t>[0073] S12.2 本地微调策略：下载全局模型后，使用本地数据微调个性化层；微调轮数：3-5轮，学习率：全局的1/10。</w:t>
      </w:r>
    </w:p>
    <w:p>
      <w:r>
        <w:t>[0074] S12.3 元学习方法(MAML)：训练全局模型使其易于快速适应个体用户；模型初始化点使得少量本地数据即可达到良好性能。</w:t>
      </w:r>
    </w:p>
    <w:p>
      <w:r>
        <w:t>[0075] S12.4 聚类联邦学习：将用户按消费模式聚类，每个簇训练独立的全局模型；用户接收所属簇的模型，提升个性化程度。</w:t>
      </w:r>
    </w:p>
    <w:p>
      <w:r>
        <w:t>[0076] 步骤S13，梯度压缩与通信优化：</w:t>
      </w:r>
    </w:p>
    <w:p>
      <w:r>
        <w:t>[0077] S13.1 稀疏化(Sparsification)：Top-K：仅上传绝对值最大的K%梯度分量，典型K=1%；Random-K：随机采样K%梯度分量，无偏估计。</w:t>
      </w:r>
    </w:p>
    <w:p>
      <w:r>
        <w:t>[0078] S13.2 量化(Quantization)：将32位浮点梯度量化为8位或更低；随机量化：Q(g) = floor(g/Δ) + Bernoulli((g - floor(g/Δ)·Δ)/Δ)。</w:t>
      </w:r>
    </w:p>
    <w:p>
      <w:r>
        <w:t>[0079] S13.3 误差反馈：累积未上传的梯度残差：e_{t+1} = e_t + ∇W_t - compress(e_t + ∇W_t)；确保压缩不影响收敛性。</w:t>
      </w:r>
    </w:p>
    <w:p>
      <w:r>
        <w:t>[0080] S13.4 异步聚合：允许用户按自己节奏上传梯度，服务器异步聚合；采用延迟补偿：对陈旧梯度乘以衰减因子。</w:t>
      </w:r>
    </w:p>
    <w:p>
      <w:r>
        <w:t>[0081] S13.5 层级聚合：引入边缘服务器进行局部聚合；减少与云端通信次数：边缘每5轮本地聚合后上传一次。</w:t>
      </w:r>
    </w:p>
    <w:p>
      <w:r>
        <w:t>[0082] 步骤S14，模型版本管理与A/B测试：</w:t>
      </w:r>
    </w:p>
    <w:p>
      <w:r>
        <w:t>[0083] S14.1 版本控制：每次聚合后生成新版本：v_{t+1} = aggregate(v_t, {∇W_i})；保存历史版本用于回滚。</w:t>
      </w:r>
    </w:p>
    <w:p>
      <w:r>
        <w:t>[0084] S14.2 A/B测试框架：随机分配用户到不同模型版本；收集匿名化的模型性能指标（准确率、用户满意度）。</w:t>
      </w:r>
    </w:p>
    <w:p>
      <w:r>
        <w:t>[0085] S14.3 渐进式发布：新版本先推送给5%用户，验证无问题后逐步扩大；监控异常指标，异常时自动回滚。</w:t>
      </w:r>
    </w:p>
    <w:p>
      <w:r>
        <w:t>[0086] S14.4 模型退化检测：监控模型在保留验证集上的性能；性能下降超过阈值时触发告警和回滚。</w:t>
      </w:r>
    </w:p>
    <w:p>
      <w:pPr>
        <w:pStyle w:val="Heading1"/>
      </w:pPr>
      <w:r>
        <w:t>有益效果</w:t>
      </w:r>
    </w:p>
    <w:p>
      <w:r>
        <w:t>[0087] 本发明的有益效果包括：</w:t>
      </w:r>
    </w:p>
    <w:p>
      <w:r>
        <w:t>[0088] （1）多层隐私保护（差分隐私+安全聚合+同态加密）确保用户数据无法被反推，隐私预算ε≤1提供强隐私保护，梯度反推攻击成功率&lt;0.1%；</w:t>
      </w:r>
    </w:p>
    <w:p>
      <w:r>
        <w:t>[0089] （2）安全多方计算确保即使服务器被攻陷也无法获取单个用户梯度；</w:t>
      </w:r>
    </w:p>
    <w:p>
      <w:r>
        <w:t>[0090] （3）纵向联邦学习支持跨机构协作，银行与商户联合建模提升风险评估准确率20%；</w:t>
      </w:r>
    </w:p>
    <w:p>
      <w:r>
        <w:t>[0091] （4）分裂学习适配异构设备，智能手表等低算力设备也可参与训练；</w:t>
      </w:r>
    </w:p>
    <w:p>
      <w:r>
        <w:t>[0092] （5）知识蒸馏实现模型压缩80%，精度损失&lt;2%，适合移动端部署；</w:t>
      </w:r>
    </w:p>
    <w:p>
      <w:r>
        <w:t>[0093] （6）公平性约束确保模型对各用户群体无歧视，统计均等差异&lt;5%；</w:t>
      </w:r>
    </w:p>
    <w:p>
      <w:r>
        <w:t>[0094] （7）拜占庭容错聚合对投毒攻击鲁棒性达99%，可过滤95%以上异常梯度；</w:t>
      </w:r>
    </w:p>
    <w:p>
      <w:r>
        <w:t>[0095] （8）梯度压缩减少通信量99%，异步聚合提升训练效率3倍；</w:t>
      </w:r>
    </w:p>
    <w:p>
      <w:r>
        <w:t>[0096] （9）协同学习使分类准确率从78%提升至93%，异常检测召回率从65%提升至88%。</w:t>
      </w:r>
    </w:p>
    <w:p>
      <w:pPr>
        <w:pStyle w:val="Heading1"/>
      </w:pPr>
      <w:r>
        <w:t>附图说明</w:t>
      </w:r>
    </w:p>
    <w:p>
      <w:r>
        <w:t>[0097] 图1为本发明多层隐私保护联邦学习架构图。</w:t>
      </w:r>
    </w:p>
    <w:p>
      <w:r>
        <w:t>[0098] 图2为本发明差分隐私梯度处理流程图。</w:t>
      </w:r>
    </w:p>
    <w:p>
      <w:r>
        <w:t>[0099] 图3为本发明安全聚合协议时序图。</w:t>
      </w:r>
    </w:p>
    <w:p>
      <w:r>
        <w:t>[0100] 图4为本发明同态加密梯度聚合原理图。</w:t>
      </w:r>
    </w:p>
    <w:p>
      <w:r>
        <w:t>[0101] 图5为本发明纵向联邦学习架构图。</w:t>
      </w:r>
    </w:p>
    <w:p>
      <w:r>
        <w:t>[0102] 图6为本发明分裂学习模型切割示意图。</w:t>
      </w:r>
    </w:p>
    <w:p>
      <w:r>
        <w:t>[0103] 图7为本发明知识蒸馏流程图。</w:t>
      </w:r>
    </w:p>
    <w:p>
      <w:r>
        <w:t>[0104] 图8为本发明恶意参与者检测决策树。</w:t>
      </w:r>
    </w:p>
    <w:p>
      <w:r>
        <w:t>[0105] 图9为本发明公平性约束训练示意图。</w:t>
      </w:r>
    </w:p>
    <w:p>
      <w:r>
        <w:t>[0106] 图10为本发明梯度压缩技术对比图。</w:t>
      </w:r>
    </w:p>
    <w:p>
      <w:pPr>
        <w:pStyle w:val="Heading1"/>
      </w:pPr>
      <w:r>
        <w:t>具体实施方式</w:t>
      </w:r>
    </w:p>
    <w:p>
      <w:r>
        <w:t>[0107] 下面结合附图和具体实施例对本发明作进一步说明。</w:t>
      </w:r>
    </w:p>
    <w:p>
      <w:r>
        <w:t>[0108] 实施例1：消费分类模型横向联邦训练</w:t>
      </w:r>
    </w:p>
    <w:p>
      <w:r>
        <w:t>[0109] 10000名用户参与消费分类模型的联邦学习。</w:t>
      </w:r>
    </w:p>
    <w:p>
      <w:r>
        <w:t>[0110] （1）任务定义：15类消费分类，MobileNetV3-Small模型（参数量1.2MB）；</w:t>
      </w:r>
    </w:p>
    <w:p>
      <w:r>
        <w:t>[0111] （2）本地训练：每位用户使用本地3个月消费数据（平均500笔）训练分类器，训练时机为夜间充电时，CPU占用&lt;30%，耗时&lt;3分钟；</w:t>
      </w:r>
    </w:p>
    <w:p>
      <w:r>
        <w:t>[0112] （3）差分隐私处理：梯度裁剪C=1.0（自适应取中位数），噪声参数σ=1.0，单轮ε=0.5；采用Moments Accountant追踪隐私消耗；</w:t>
      </w:r>
    </w:p>
    <w:p>
      <w:r>
        <w:t>[0113] （4）安全聚合：每轮采样200名用户，Diffie-Hellman协商成对掩码后上传；</w:t>
      </w:r>
    </w:p>
    <w:p>
      <w:r>
        <w:t>[0114] （5）模型更新：服务器聚合后更新全局模型，分发给所有用户；</w:t>
      </w:r>
    </w:p>
    <w:p>
      <w:r>
        <w:t>[0115] （6）效果评估：经过20轮训练，分类准确率从78%提升至93%，累积隐私预算ε=10（满足强隐私保护要求）。</w:t>
      </w:r>
    </w:p>
    <w:p>
      <w:r>
        <w:t>[0116] 实施例2：银行商户纵向联邦风险评估</w:t>
      </w:r>
    </w:p>
    <w:p>
      <w:r>
        <w:t>[0117] 银行A（持有用户信用特征）与电商B（持有消费行为特征）联合训练信用风险模型。</w:t>
      </w:r>
    </w:p>
    <w:p>
      <w:r>
        <w:t>[0118] （1）样本对齐：通过PSI协议确定10万共同用户，任一方无法获知对方独有用户；</w:t>
      </w:r>
    </w:p>
    <w:p>
      <w:r>
        <w:t>[0119] （2）分裂模型：银行侧：3层MLP处理信用特征 → 64维嵌入h_A；电商侧：3层MLP处理消费特征 → 64维嵌入h_B；联合层：concat(h_A, h_B) → 2层MLP → 风险概率；</w:t>
      </w:r>
    </w:p>
    <w:p>
      <w:r>
        <w:t>[0120] （3）安全计算：联合层在可信执行环境(TEE)中计算，梯度加密后传回各方；</w:t>
      </w:r>
    </w:p>
    <w:p>
      <w:r>
        <w:t>[0121] （4）效果评估：联合模型AUC=0.92，显著优于单方模型（银行0.78，电商0.75）。</w:t>
      </w:r>
    </w:p>
    <w:p>
      <w:r>
        <w:t>[0122] 实施例3：智能手表分裂学习</w:t>
      </w:r>
    </w:p>
    <w:p>
      <w:r>
        <w:t>[0123] 智能手表设备参与消费模式学习，但计算资源有限（256MB内存，单核CPU）。</w:t>
      </w:r>
    </w:p>
    <w:p>
      <w:r>
        <w:t>[0124] （1）模型切割：神经网络在第3层切割，前3层（200KB参数）部署在手表；</w:t>
      </w:r>
    </w:p>
    <w:p>
      <w:r>
        <w:t>[0125] （2）前向传播：手表计算前3层输出h（64维），加噪后发送给服务器；</w:t>
      </w:r>
    </w:p>
    <w:p>
      <w:r>
        <w:t>[0126] （3）反向传播：服务器计算∂L/∂h发送给手表，手表本地更新前3层；</w:t>
      </w:r>
    </w:p>
    <w:p>
      <w:r>
        <w:t>[0127] （4）隐私保护：激活值h添加高斯噪声（σ=0.1），防止服务器推断原始数据；</w:t>
      </w:r>
    </w:p>
    <w:p>
      <w:r>
        <w:t>[0128] （5）效果评估：手表端计算耗时&lt;1秒，通信量&lt;10KB/轮，模型精度损失&lt;3%。</w:t>
      </w:r>
    </w:p>
    <w:p>
      <w:r>
        <w:t>[0129] 实施例4：知识蒸馏模型压缩</w:t>
      </w:r>
    </w:p>
    <w:p>
      <w:r>
        <w:t>[0130] 将大型服务器模型知识蒸馏到轻量级移动端模型。</w:t>
      </w:r>
    </w:p>
    <w:p>
      <w:r>
        <w:t>[0131] （1）教师模型：联邦训练的全局模型，参数量10MB，准确率93%；</w:t>
      </w:r>
    </w:p>
    <w:p>
      <w:r>
        <w:t>[0132] （2）学生模型：MobileNetV3-Tiny，参数量500KB（压缩95%）；</w:t>
      </w:r>
    </w:p>
    <w:p>
      <w:r>
        <w:t>[0133] （3）蒸馏过程：服务器在公开消费数据集（10万条）上生成软标签；软标签（温度T=5）分发给用户，用户本地蒸馏训练；</w:t>
      </w:r>
    </w:p>
    <w:p>
      <w:r>
        <w:t>[0134] （4）隐私优势：无需传输模型参数或梯度，仅传输在公开数据上的软标签；</w:t>
      </w:r>
    </w:p>
    <w:p>
      <w:r>
        <w:t>[0135] （5）效果评估：学生模型准确率91%（精度损失2%），推理速度提升5倍。</w:t>
      </w:r>
    </w:p>
    <w:p>
      <w:r>
        <w:t>[0136] 实施例5：恶意参与者投毒攻击防护</w:t>
      </w:r>
    </w:p>
    <w:p>
      <w:r>
        <w:t>[0137] 联邦训练中检测并防护恶意参与者的投毒攻击。</w:t>
      </w:r>
    </w:p>
    <w:p>
      <w:r>
        <w:t>[0138] （1）攻击场景：5%参与者（50/1000）被攻击者控制，上传恶意梯度试图使模型误分类；</w:t>
      </w:r>
    </w:p>
    <w:p>
      <w:r>
        <w:t>[0139] （2）异常检测：计算每个梯度与聚合均值的余弦相似度；恶意梯度相似度平均0.05，正常梯度相似度平均0.85；阈值0.1成功识别48/50恶意参与者（识别率96%）；</w:t>
      </w:r>
    </w:p>
    <w:p>
      <w:r>
        <w:t>[0140] （3）拜占庭容错：采用Trimmed Mean去除最高和最低10%梯度后聚合；</w:t>
      </w:r>
    </w:p>
    <w:p>
      <w:r>
        <w:t>[0141] （4）信誉惩罚：识别出的恶意用户信誉分降至0.2，后续轮次采样权重降低80%；</w:t>
      </w:r>
    </w:p>
    <w:p>
      <w:r>
        <w:t>[0142] （5）效果评估：无防护时攻击成功率35%，启用防护后攻击成功率降至1%。</w:t>
      </w:r>
    </w:p>
    <w:p>
      <w:r>
        <w:t>[0143] 实施例6：公平性约束训练</w:t>
      </w:r>
    </w:p>
    <w:p>
      <w:r>
        <w:t>[0144] 确保消费分类模型对不同收入群体公平。</w:t>
      </w:r>
    </w:p>
    <w:p>
      <w:r>
        <w:t>[0145] （1）公平性问题：未约束训练的模型对高收入用户准确率92%，对低收入用户仅85%；</w:t>
      </w:r>
    </w:p>
    <w:p>
      <w:r>
        <w:t>[0146] （2）公平性约束：损失函数添加公平性正则项：L = L_CE + 0.1 * |acc_high - acc_low|；迭代优化直至准确率差异&lt;5%；</w:t>
      </w:r>
    </w:p>
    <w:p>
      <w:r>
        <w:t>[0147] （3）加权聚合：对低收入用户数据赋予1.5倍权重，平衡数据分布；</w:t>
      </w:r>
    </w:p>
    <w:p>
      <w:r>
        <w:t>[0148] （4）效果评估：公平性约束后，高收入准确率90%，低收入准确率88%，差异降至2%。</w:t>
      </w:r>
    </w:p>
    <w:p>
      <w:pPr>
        <w:pStyle w:val="Heading2"/>
      </w:pPr>
      <w:r>
        <w:t>技术方案对比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集中式学习</w:t>
            </w:r>
          </w:p>
        </w:tc>
        <w:tc>
          <w:tcPr>
            <w:tcW w:type="dxa" w:w="2160"/>
          </w:tcPr>
          <w:p>
            <w:r>
              <w:t>基础联邦学习</w:t>
            </w:r>
          </w:p>
        </w:tc>
        <w:tc>
          <w:tcPr>
            <w:tcW w:type="dxa" w:w="2160"/>
          </w:tcPr>
          <w:p>
            <w:r>
              <w:t>本发明</w:t>
            </w:r>
          </w:p>
        </w:tc>
      </w:tr>
      <w:tr>
        <w:tc>
          <w:tcPr>
            <w:tcW w:type="dxa" w:w="2160"/>
          </w:tcPr>
          <w:p>
            <w:r>
              <w:t>数据位置</w:t>
            </w:r>
          </w:p>
        </w:tc>
        <w:tc>
          <w:tcPr>
            <w:tcW w:type="dxa" w:w="2160"/>
          </w:tcPr>
          <w:p>
            <w:r>
              <w:t>上传服务器</w:t>
            </w:r>
          </w:p>
        </w:tc>
        <w:tc>
          <w:tcPr>
            <w:tcW w:type="dxa" w:w="2160"/>
          </w:tcPr>
          <w:p>
            <w:r>
              <w:t>本地保留</w:t>
            </w:r>
          </w:p>
        </w:tc>
        <w:tc>
          <w:tcPr>
            <w:tcW w:type="dxa" w:w="2160"/>
          </w:tcPr>
          <w:p>
            <w:r>
              <w:t>本地保留</w:t>
            </w:r>
          </w:p>
        </w:tc>
      </w:tr>
      <w:tr>
        <w:tc>
          <w:tcPr>
            <w:tcW w:type="dxa" w:w="2160"/>
          </w:tcPr>
          <w:p>
            <w:r>
              <w:t>隐私保护</w:t>
            </w:r>
          </w:p>
        </w:tc>
        <w:tc>
          <w:tcPr>
            <w:tcW w:type="dxa" w:w="2160"/>
          </w:tcPr>
          <w:p>
            <w:r>
              <w:t>无</w:t>
            </w:r>
          </w:p>
        </w:tc>
        <w:tc>
          <w:tcPr>
            <w:tcW w:type="dxa" w:w="2160"/>
          </w:tcPr>
          <w:p>
            <w:r>
              <w:t>基础</w:t>
            </w:r>
          </w:p>
        </w:tc>
        <w:tc>
          <w:tcPr>
            <w:tcW w:type="dxa" w:w="2160"/>
          </w:tcPr>
          <w:p>
            <w:r>
              <w:t>多层（DP+SA+HE）</w:t>
            </w:r>
          </w:p>
        </w:tc>
      </w:tr>
      <w:tr>
        <w:tc>
          <w:tcPr>
            <w:tcW w:type="dxa" w:w="2160"/>
          </w:tcPr>
          <w:p>
            <w:r>
              <w:t>梯度保护</w:t>
            </w:r>
          </w:p>
        </w:tc>
        <w:tc>
          <w:tcPr>
            <w:tcW w:type="dxa" w:w="2160"/>
          </w:tcPr>
          <w:p>
            <w:r>
              <w:t>不适用</w:t>
            </w:r>
          </w:p>
        </w:tc>
        <w:tc>
          <w:tcPr>
            <w:tcW w:type="dxa" w:w="2160"/>
          </w:tcPr>
          <w:p>
            <w:r>
              <w:t>明文上传</w:t>
            </w:r>
          </w:p>
        </w:tc>
        <w:tc>
          <w:tcPr>
            <w:tcW w:type="dxa" w:w="2160"/>
          </w:tcPr>
          <w:p>
            <w:r>
              <w:t>加密/掩码上传</w:t>
            </w:r>
          </w:p>
        </w:tc>
      </w:tr>
      <w:tr>
        <w:tc>
          <w:tcPr>
            <w:tcW w:type="dxa" w:w="2160"/>
          </w:tcPr>
          <w:p>
            <w:r>
              <w:t>跨机构协作</w:t>
            </w:r>
          </w:p>
        </w:tc>
        <w:tc>
          <w:tcPr>
            <w:tcW w:type="dxa" w:w="2160"/>
          </w:tcPr>
          <w:p>
            <w:r>
              <w:t>不支持</w:t>
            </w:r>
          </w:p>
        </w:tc>
        <w:tc>
          <w:tcPr>
            <w:tcW w:type="dxa" w:w="2160"/>
          </w:tcPr>
          <w:p>
            <w:r>
              <w:t>仅横向</w:t>
            </w:r>
          </w:p>
        </w:tc>
        <w:tc>
          <w:tcPr>
            <w:tcW w:type="dxa" w:w="2160"/>
          </w:tcPr>
          <w:p>
            <w:r>
              <w:t>横向+纵向</w:t>
            </w:r>
          </w:p>
        </w:tc>
      </w:tr>
      <w:tr>
        <w:tc>
          <w:tcPr>
            <w:tcW w:type="dxa" w:w="2160"/>
          </w:tcPr>
          <w:p>
            <w:r>
              <w:t>异构设备</w:t>
            </w:r>
          </w:p>
        </w:tc>
        <w:tc>
          <w:tcPr>
            <w:tcW w:type="dxa" w:w="2160"/>
          </w:tcPr>
          <w:p>
            <w:r>
              <w:t>不支持</w:t>
            </w:r>
          </w:p>
        </w:tc>
        <w:tc>
          <w:tcPr>
            <w:tcW w:type="dxa" w:w="2160"/>
          </w:tcPr>
          <w:p>
            <w:r>
              <w:t>有限</w:t>
            </w:r>
          </w:p>
        </w:tc>
        <w:tc>
          <w:tcPr>
            <w:tcW w:type="dxa" w:w="2160"/>
          </w:tcPr>
          <w:p>
            <w:r>
              <w:t>分裂学习适配</w:t>
            </w:r>
          </w:p>
        </w:tc>
      </w:tr>
      <w:tr>
        <w:tc>
          <w:tcPr>
            <w:tcW w:type="dxa" w:w="2160"/>
          </w:tcPr>
          <w:p>
            <w:r>
              <w:t>模型压缩</w:t>
            </w:r>
          </w:p>
        </w:tc>
        <w:tc>
          <w:tcPr>
            <w:tcW w:type="dxa" w:w="2160"/>
          </w:tcPr>
          <w:p>
            <w:r>
              <w:t>无</w:t>
            </w:r>
          </w:p>
        </w:tc>
        <w:tc>
          <w:tcPr>
            <w:tcW w:type="dxa" w:w="2160"/>
          </w:tcPr>
          <w:p>
            <w:r>
              <w:t>无</w:t>
            </w:r>
          </w:p>
        </w:tc>
        <w:tc>
          <w:tcPr>
            <w:tcW w:type="dxa" w:w="2160"/>
          </w:tcPr>
          <w:p>
            <w:r>
              <w:t>知识蒸馏80%</w:t>
            </w:r>
          </w:p>
        </w:tc>
      </w:tr>
      <w:tr>
        <w:tc>
          <w:tcPr>
            <w:tcW w:type="dxa" w:w="2160"/>
          </w:tcPr>
          <w:p>
            <w:r>
              <w:t>公平性</w:t>
            </w:r>
          </w:p>
        </w:tc>
        <w:tc>
          <w:tcPr>
            <w:tcW w:type="dxa" w:w="2160"/>
          </w:tcPr>
          <w:p>
            <w:r>
              <w:t>无保障</w:t>
            </w:r>
          </w:p>
        </w:tc>
        <w:tc>
          <w:tcPr>
            <w:tcW w:type="dxa" w:w="2160"/>
          </w:tcPr>
          <w:p>
            <w:r>
              <w:t>无保障</w:t>
            </w:r>
          </w:p>
        </w:tc>
        <w:tc>
          <w:tcPr>
            <w:tcW w:type="dxa" w:w="2160"/>
          </w:tcPr>
          <w:p>
            <w:r>
              <w:t>约束优化</w:t>
            </w:r>
          </w:p>
        </w:tc>
      </w:tr>
      <w:tr>
        <w:tc>
          <w:tcPr>
            <w:tcW w:type="dxa" w:w="2160"/>
          </w:tcPr>
          <w:p>
            <w:r>
              <w:t>恶意防护</w:t>
            </w:r>
          </w:p>
        </w:tc>
        <w:tc>
          <w:tcPr>
            <w:tcW w:type="dxa" w:w="2160"/>
          </w:tcPr>
          <w:p>
            <w:r>
              <w:t>不适用</w:t>
            </w:r>
          </w:p>
        </w:tc>
        <w:tc>
          <w:tcPr>
            <w:tcW w:type="dxa" w:w="2160"/>
          </w:tcPr>
          <w:p>
            <w:r>
              <w:t>基础</w:t>
            </w:r>
          </w:p>
        </w:tc>
        <w:tc>
          <w:tcPr>
            <w:tcW w:type="dxa" w:w="2160"/>
          </w:tcPr>
          <w:p>
            <w:r>
              <w:t>拜占庭容错</w:t>
            </w:r>
          </w:p>
        </w:tc>
      </w:tr>
      <w:tr>
        <w:tc>
          <w:tcPr>
            <w:tcW w:type="dxa" w:w="2160"/>
          </w:tcPr>
          <w:p>
            <w:r>
              <w:t>通信效率</w:t>
            </w:r>
          </w:p>
        </w:tc>
        <w:tc>
          <w:tcPr>
            <w:tcW w:type="dxa" w:w="2160"/>
          </w:tcPr>
          <w:p>
            <w:r>
              <w:t>-</w:t>
            </w:r>
          </w:p>
        </w:tc>
        <w:tc>
          <w:tcPr>
            <w:tcW w:type="dxa" w:w="2160"/>
          </w:tcPr>
          <w:p>
            <w:r>
              <w:t>100%</w:t>
            </w:r>
          </w:p>
        </w:tc>
        <w:tc>
          <w:tcPr>
            <w:tcW w:type="dxa" w:w="2160"/>
          </w:tcPr>
          <w:p>
            <w:r>
              <w:t>1%（压缩）</w:t>
            </w:r>
          </w:p>
        </w:tc>
      </w:tr>
    </w:tbl>
    <w:p>
      <w:pPr>
        <w:pStyle w:val="Heading1"/>
      </w:pPr>
      <w:r>
        <w:t>权利要求书</w:t>
      </w:r>
    </w:p>
    <w:p>
      <w:r>
        <w:t>1. 一种隐私保护的财务数据协同学习方法，其特征在于，包括以下步骤：</w:t>
        <w:br/>
        <w:t>S1，联邦学习任务定义：定义任务类型和标准化模型架构，根据场景选择横向联邦、纵向联邦或联邦迁移学习；</w:t>
        <w:br/>
        <w:t>S2，本地差分隐私训练：在用户设备本地训练模型，对梯度进行裁剪和高斯噪声添加，采用隐私账本追踪累积隐私消耗；</w:t>
        <w:br/>
        <w:t>S3，安全聚合协议：参与者采样后通过密钥协商生成成对掩码，上传加掩梯度使服务器无法获取单个用户梯度；</w:t>
        <w:br/>
        <w:t>S4，财务数据特殊保护：自动识别敏感特征并采用分级保护策略，极敏感特征不参与联邦训练；</w:t>
        <w:br/>
        <w:t>S5，恶意参与者检测：通过梯度异常检测识别投毒攻击，采用拜占庭容错聚合过滤异常梯度。</w:t>
      </w:r>
    </w:p>
    <w:p>
      <w:r>
        <w:t>2. 根据权利要求1所述的方法，其特征在于，所述差分隐私处理包括：</w:t>
        <w:br/>
        <w:t>按样本梯度裁剪，确保单样本梯度L2范数不超过裁剪阈值；</w:t>
        <w:br/>
        <w:t>自适应裁剪阈值，取梯度范数的中位数作为阈值；</w:t>
        <w:br/>
        <w:t>高斯噪声添加，噪声标准差与裁剪阈值和隐私预算相关。</w:t>
      </w:r>
    </w:p>
    <w:p>
      <w:r>
        <w:t>3. 根据权利要求2所述的方法，其特征在于，采用Rényi差分隐私和Moments Accountant精确追踪多轮训练的累积隐私消耗。</w:t>
      </w:r>
    </w:p>
    <w:p>
      <w:r>
        <w:t>4. 根据权利要求1所述的方法，其特征在于，还包括局部差分隐私增强：</w:t>
        <w:br/>
        <w:t>对原始数据应用随机响应机制进行扰动；</w:t>
        <w:br/>
        <w:t>服务器通过频率恢复估计真实数据分布。</w:t>
      </w:r>
    </w:p>
    <w:p>
      <w:r>
        <w:t>5. 根据权利要求1所述的方法，其特征在于，所述安全聚合协议包括：</w:t>
        <w:br/>
        <w:t>参与者之间通过Diffie-Hellman密钥协商生成共享密钥；</w:t>
        <w:br/>
        <w:t>使用共享密钥生成伪随机掩码；</w:t>
        <w:br/>
        <w:t>用户上传加掩后的梯度，服务器聚合时掩码相互抵消。</w:t>
      </w:r>
    </w:p>
    <w:p>
      <w:r>
        <w:t>6. 根据权利要求5所述的方法，其特征在于，还包括容错处理：</w:t>
        <w:br/>
        <w:t>当参与者掉线时，其配对用户上传掩码用于恢复；</w:t>
        <w:br/>
        <w:t>采用门限机制，至少t个用户在线才能完成聚合。</w:t>
      </w:r>
    </w:p>
    <w:p>
      <w:r>
        <w:t>7. 根据权利要求1所述的方法，其特征在于，在高安全场景下采用同态加密增强：</w:t>
        <w:br/>
        <w:t>使用加法同态加密使服务器可计算密文梯度之和而无法解密单个梯度；</w:t>
        <w:br/>
        <w:t>采用阈值解密，需多个密钥分片才能解密聚合结果。</w:t>
      </w:r>
    </w:p>
    <w:p>
      <w:r>
        <w:t>8. 根据权利要求1所述的方法，其特征在于，还包括安全多方计算：</w:t>
        <w:br/>
        <w:t>采用秘密共享将梯度分割为多份，任意t份可恢复原值；</w:t>
        <w:br/>
        <w:t>各方将份额发送给聚合服务器集群，服务器仅能获得份额之和。</w:t>
      </w:r>
    </w:p>
    <w:p>
      <w:r>
        <w:t>9. 根据权利要求8所述的方法，其特征在于，采用双服务器架构，两个不共谋的服务器分别持有份额并联合完成聚合。</w:t>
      </w:r>
    </w:p>
    <w:p>
      <w:r>
        <w:t>10. 根据权利要求1所述的方法，其特征在于，所述纵向联邦学习包括：</w:t>
        <w:br/>
        <w:t>通过隐私保护ID匹配协议确定跨机构的共同用户；</w:t>
        <w:br/>
        <w:t>各方本地训练特征提取模型，输出嵌入向量；</w:t>
        <w:br/>
        <w:t>联合层在安全环境中计算，梯度加密后传回各方。</w:t>
      </w:r>
    </w:p>
    <w:p>
      <w:r>
        <w:t>11. 根据权利要求1所述的方法，其特征在于，还包括分裂学习适配异构设备：</w:t>
        <w:br/>
        <w:t>将神经网络在某一层切割为客户端部分和服务器部分；</w:t>
        <w:br/>
        <w:t>客户端计算前半部分并将激活值发送给服务器；</w:t>
        <w:br/>
        <w:t>对激活值添加噪声或可逆变换保护隐私。</w:t>
      </w:r>
    </w:p>
    <w:p>
      <w:r>
        <w:t>12. 根据权利要求1所述的方法，其特征在于，还包括联邦知识蒸馏：</w:t>
        <w:br/>
        <w:t>服务器在公开数据集上使用全局模型生成软标签；</w:t>
        <w:br/>
        <w:t>用户使用本地数据和软标签联合训练轻量级学生模型；</w:t>
        <w:br/>
        <w:t>实现模型压缩且无需传输模型参数或梯度。</w:t>
      </w:r>
    </w:p>
    <w:p>
      <w:r>
        <w:t>13. 根据权利要求1所述的方法，其特征在于，还包括个性化联邦学习：</w:t>
        <w:br/>
        <w:t>全局模型作为骨干网络，本地添加个性化层；</w:t>
        <w:br/>
        <w:t>下载全局模型后使用本地数据微调个性化层。</w:t>
      </w:r>
    </w:p>
    <w:p>
      <w:r>
        <w:t>14. 根据权利要求1所述的方法，其特征在于，所述财务数据特殊保护的分级策略包括：</w:t>
        <w:br/>
        <w:t>极敏感特征如金额不参与联邦训练；</w:t>
        <w:br/>
        <w:t>敏感特征分箱离散化后参与；</w:t>
        <w:br/>
        <w:t>对分类标签应用随机响应机制。</w:t>
      </w:r>
    </w:p>
    <w:p>
      <w:r>
        <w:t>15. 根据权利要求1所述的方法，其特征在于，所述恶意参与者检测包括：</w:t>
        <w:br/>
        <w:t>计算梯度与聚合梯度的余弦相似度，相似度过低标记可疑；</w:t>
        <w:br/>
        <w:t>采用Trimmed Mean或Krum算法过滤异常梯度；</w:t>
        <w:br/>
        <w:t>多次标记可疑的用户降低采样权重。</w:t>
      </w:r>
    </w:p>
    <w:p>
      <w:r>
        <w:t>16. 根据权利要求1所述的方法，其特征在于，还包括模型公平性保障：</w:t>
        <w:br/>
        <w:t>损失函数添加公平性正则项约束各群体预测差异；</w:t>
        <w:br/>
        <w:t>加权聚合对少数群体数据赋予更高权重。</w:t>
      </w:r>
    </w:p>
    <w:p>
      <w:r>
        <w:t>17. 根据权利要求1所述的方法，其特征在于，还包括梯度压缩与通信优化：</w:t>
        <w:br/>
        <w:t>稀疏化仅上传绝对值最大的K%梯度分量；</w:t>
        <w:br/>
        <w:t>量化将浮点梯度转换为低精度表示；</w:t>
        <w:br/>
        <w:t>误差反馈累积未上传的残差确保收敛性。</w:t>
      </w:r>
    </w:p>
    <w:p>
      <w:r>
        <w:t>18. 根据权利要求1所述的方法，其特征在于，还包括模型版本管理：</w:t>
        <w:br/>
        <w:t>每次聚合后生成新版本并保存历史版本用于回滚；</w:t>
        <w:br/>
        <w:t>采用A/B测试框架验证新版本性能；</w:t>
        <w:br/>
        <w:t>渐进式发布并监控异常指标。</w:t>
      </w:r>
    </w:p>
    <w:p>
      <w:r>
        <w:t>19. 一种隐私保护的财务数据协同学习系统，其特征在于，包括：</w:t>
        <w:br/>
        <w:t>任务管理模块，配置用于定义联邦学习任务、选择联邦架构和标准化模型；</w:t>
        <w:br/>
        <w:t>本地训练模块，配置用于执行本地训练和差分隐私梯度处理；</w:t>
        <w:br/>
        <w:t>安全聚合模块，配置用于实现密钥协商、掩码生成和加密上传；</w:t>
        <w:br/>
        <w:t>同态加密模块，配置用于在高安全场景下加密梯度；</w:t>
        <w:br/>
        <w:t>安全多方计算模块，配置用于秘密共享和安全聚合；</w:t>
        <w:br/>
        <w:t>纵向联邦模块，配置用于跨机构样本对齐和分裂模型训练；</w:t>
        <w:br/>
        <w:t>知识蒸馏模块，配置用于模型压缩和隐私保护知识迁移；</w:t>
        <w:br/>
        <w:t>恶意检测模块，配置用于识别投毒攻击和拜占庭容错聚合；</w:t>
        <w:br/>
        <w:t>公平性保障模块，配置用于公平性度量和约束优化；</w:t>
        <w:br/>
        <w:t>通信优化模块，配置用于梯度压缩和异步聚合。</w:t>
      </w:r>
    </w:p>
    <w:p>
      <w:r>
        <w:t>20. 一种计算机可读存储介质，其上存储有计算机程序，其特征在于，该程序被处理器执行时实现权利要求1至18中任一项所述方法的步骤。</w:t>
      </w:r>
    </w:p>
    <w:p>
      <w:pPr>
        <w:pStyle w:val="Heading1"/>
      </w:pPr>
      <w:r>
        <w:t>说明书摘要</w:t>
      </w:r>
    </w:p>
    <w:p>
      <w:r>
        <w:t>本发明公开了一种隐私保护的财务数据协同学习方法及系统，属于联邦学习与隐私计算技术领域。该方法通过多层隐私保护机制（差分隐私+安全聚合+同态加密+安全多方计算）确保用户数据无法被反推；支持横向与纵向联邦学习，满足跨用户和跨机构协作需求；采用分裂学习适配智能手表等异构设备；通过知识蒸馏实现模型压缩80%；采用公平性约束确保模型对各群体无歧视；采用拜占庭容错聚合防护投毒攻击。本发明在隐私预算ε≤1的强保护下，分类准确率提升15%，异常检测召回率提升23%。</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