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6146B8">
      <w:pPr>
        <w:pStyle w:val="31"/>
        <w:jc w:val="center"/>
      </w:pPr>
      <w:r>
        <w:t>发明专利申请</w:t>
      </w:r>
    </w:p>
    <w:p w14:paraId="5E6BA640"/>
    <w:p w14:paraId="41179BC3">
      <w:r>
        <w:t>发明名称：基于FIFO资源池模型的资金时间价值计算方法及系统</w:t>
      </w:r>
    </w:p>
    <w:p w14:paraId="1CB24B8D">
      <w:r>
        <w:t>技术领域：数据处理技术领域</w:t>
      </w:r>
    </w:p>
    <w:p w14:paraId="230766C4">
      <w:pPr>
        <w:rPr>
          <w:rFonts w:hint="eastAsia" w:eastAsia="宋体"/>
          <w:lang w:val="en-US" w:eastAsia="zh-CN"/>
        </w:rPr>
      </w:pPr>
      <w:r>
        <w:t>申请人：</w:t>
      </w:r>
      <w:r>
        <w:rPr>
          <w:rFonts w:hint="eastAsia" w:eastAsia="宋体"/>
          <w:lang w:val="en-US" w:eastAsia="zh-CN"/>
        </w:rPr>
        <w:t>李北华</w:t>
      </w:r>
    </w:p>
    <w:p w14:paraId="326B9454">
      <w:pPr>
        <w:rPr>
          <w:rFonts w:hint="eastAsia" w:eastAsia="宋体"/>
          <w:lang w:val="en-US" w:eastAsia="zh-CN"/>
        </w:rPr>
      </w:pPr>
      <w:r>
        <w:t>发明人：</w:t>
      </w:r>
      <w:r>
        <w:rPr>
          <w:rFonts w:hint="eastAsia" w:eastAsia="宋体"/>
          <w:lang w:val="en-US" w:eastAsia="zh-CN"/>
        </w:rPr>
        <w:t>李北华</w:t>
      </w:r>
    </w:p>
    <w:p w14:paraId="136ED966">
      <w:pPr>
        <w:rPr>
          <w:rFonts w:hint="default" w:eastAsia="宋体"/>
          <w:lang w:val="en-US" w:eastAsia="zh-CN"/>
        </w:rPr>
      </w:pPr>
      <w:r>
        <w:t>申请日：</w:t>
      </w:r>
      <w:r>
        <w:rPr>
          <w:rFonts w:hint="eastAsia" w:eastAsia="宋体"/>
          <w:lang w:val="en-US" w:eastAsia="zh-CN"/>
        </w:rPr>
        <w:t>2026-1-5</w:t>
      </w:r>
      <w:bookmarkStart w:id="0" w:name="_GoBack"/>
      <w:bookmarkEnd w:id="0"/>
    </w:p>
    <w:p w14:paraId="40BF8B62"/>
    <w:p w14:paraId="4CD69665">
      <w:r>
        <w:br w:type="page"/>
      </w:r>
    </w:p>
    <w:p w14:paraId="2BF73E95">
      <w:pPr>
        <w:pStyle w:val="3"/>
      </w:pPr>
      <w:r>
        <w:t>说明书</w:t>
      </w:r>
    </w:p>
    <w:p w14:paraId="2539D641">
      <w:pPr>
        <w:pStyle w:val="4"/>
      </w:pPr>
      <w:r>
        <w:t>发明名称</w:t>
      </w:r>
    </w:p>
    <w:p w14:paraId="243E412C">
      <w:r>
        <w:t>基于FIFO资源池模型的资金时间价值计算方法及系统</w:t>
      </w:r>
    </w:p>
    <w:p w14:paraId="23350C44">
      <w:pPr>
        <w:pStyle w:val="4"/>
      </w:pPr>
      <w:r>
        <w:t>技术领域</w:t>
      </w:r>
    </w:p>
    <w:p w14:paraId="3AFBC9F8">
      <w:r>
        <w:t>[0001] 本发明涉及数据处理技术领域，尤其涉及一种基于先进先出（First In First Out，FIFO）资源池模型的资金时间价值计算方法及系统。本发明可应用于个人财务管理、企业资金管理、投资组合分析、信贷风险评估、股票成本核算、库存周转分析等场景。</w:t>
      </w:r>
    </w:p>
    <w:p w14:paraId="5B256BC7">
      <w:pPr>
        <w:pStyle w:val="4"/>
      </w:pPr>
      <w:r>
        <w:t>背景技术</w:t>
      </w:r>
    </w:p>
    <w:p w14:paraId="1E1BBE4E">
      <w:r>
        <w:t>[0002] 资金时间价值（Time Value of Money）是金融学的基本原理，表明今天的一元钱比未来的一元钱更有价值。然而，在个人财务管理领域，现有技术难以精确量化用户每笔支出所消耗资金的实际持有时长，导致用户无法直观了解自己的资金流动效率。</w:t>
      </w:r>
    </w:p>
    <w:p w14:paraId="293A9831">
      <w:r>
        <w:t>[0003] 现有技术一（美国专利US5947526A，Budget Master LLC，1997年）：公开了一种"个人财务追踪系统和方法"（Personal financial tracking system and method）。该专利采用纸质载体上的离散货币单位，用户通过标记或划除来追踪支出。技术缺陷：（1）基于纸质媒介的人工标记系统，无法实现自动化计算；（2）仅进行总额追踪，无法追踪单笔资金的生命周期；（3）无法计算资金的时间价值或持有时长。</w:t>
      </w:r>
    </w:p>
    <w:p w14:paraId="368617E1">
      <w:r>
        <w:t>[0004] 现有技术二（会计领域FIFO成本法）：先进先出（First In First Out，FIFO）成本核算方法是美国公认会计准则（US GAAP）和国际财务报告准则（IFRS）认可的标准存货计价方法，广泛应用于证券成本核算和库存管理。技术缺陷：（1）仅用于成本计算和税务核算，不计算资产的持有时长；（2）各系统实现不统一，缺乏标准化数据模型；（3）无通用框架支持资金、股票、库存等多种资源类型的统一处理；（4）未应用于个人资金管理领域。</w:t>
      </w:r>
    </w:p>
    <w:p w14:paraId="7D61FEDD">
      <w:r>
        <w:t>[0005] 现有技术三（个人记账软件）：市场上现有的个人记账应用提供收支分类和统计功能。技术缺陷：（1）仅支持简单的收支分类和汇总统计；（2）采用月度或周度汇总，统计粒度过粗；（3）无时间维度的资金分析功能，无法建立收入与支出之间的对应关系，无法回答"这笔消费花的是哪天的收入"这一问题；（4）无法追溯特定支出消耗了哪些收入。</w:t>
      </w:r>
    </w:p>
    <w:p w14:paraId="20327CD8">
      <w:r>
        <w:t>[0006] 现有技术四（区块链资产追踪技术）：区块链技术可用于资产归属权追踪和溯源。技术缺陷：（1）区块链存储开销大，交易确认延迟高；（2）主要追踪资产归属权变更，未计算资产持有时长；（3）架构复杂，对个人财务管理场景过于冗余。</w:t>
      </w:r>
    </w:p>
    <w:p w14:paraId="67BC1449">
      <w:r>
        <w:t>[0007] 现有技术五（财务健康评估工具）：市场上存在基于问卷调查的财务健康评估工具（如美国消费者金融保护局CFPB的财务健康评分工具）。技术缺陷：（1）基于主观问卷而非客观交易数据；（2）评估维度单一，无时间维度的资金分析功能；（3）无法追踪具体的资金流动路径。</w:t>
      </w:r>
    </w:p>
    <w:p w14:paraId="4DF11009">
      <w:r>
        <w:t>[0008] 综上所述，现有技术存在以下共性技术问题：（1）无法建立收入与支出之间的精确对应关系；（2）缺乏资金持有时长的量化计算方法；（3）修改历史数据后效率低下；（4）缺乏标准化的数据模型；（5）FIFO成本法仅应用于会计核算领域，未应用于个人资金时间价值计算；（6）无法扩展至股票、库存等变体场景。</w:t>
      </w:r>
    </w:p>
    <w:p w14:paraId="04EA971A"/>
    <w:p w14:paraId="5457B8FD"/>
    <w:p w14:paraId="54DE552B"/>
    <w:p w14:paraId="4B41773C"/>
    <w:p w14:paraId="6E49C594">
      <w:pPr>
        <w:pStyle w:val="4"/>
      </w:pPr>
      <w:r>
        <w:t>发明内容</w:t>
      </w:r>
    </w:p>
    <w:p w14:paraId="110C6E32">
      <w:r>
        <w:t>[0012] 本发明的目的在于提供一种基于FIFO资源池模型的资金时间价值计算方法及系统，以解决现有技术中资金来源追溯不精确、计算精度不足、增量计算能力缺失、扩展性差、大规模处理能力不足等技术问题。</w:t>
      </w:r>
    </w:p>
    <w:p w14:paraId="5C7C43D8">
      <w:r>
        <w:t>[0009] 本发明与现有技术的区别技术特征：</w:t>
      </w:r>
    </w:p>
    <w:p w14:paraId="6A726329">
      <w:r>
        <w:t>[0010] 区别特征一（vs US5947526A）：本发明采用数字化FIFO队列精确追踪每笔资金的生命周期，实现自动化计算，而非人工标记的纸质追踪系统。</w:t>
      </w:r>
    </w:p>
    <w:p w14:paraId="7832FBF4">
      <w:r>
        <w:t>[0011] 区别特征二（vs 会计FIFO成本法）：本发明在成本核算基础上增加持有时长计算，采用消耗金额加权平均算法计算资金时间价值；首次将FIFO应用于个人资金管理领域；提供双向追溯查询和消费链路可视化（桑基图）。</w:t>
      </w:r>
    </w:p>
    <w:p w14:paraId="4562ECEF">
      <w:r>
        <w:t>[0012] 区别特征三（vs 现有记账软件）：本发明建立收入与支出的精确对应关系，支持透支检测和财务预警，提供多级健康等级评估。</w:t>
      </w:r>
    </w:p>
    <w:p w14:paraId="37C45931">
      <w:r>
        <w:t>[0013] 区别特征四（vs 区块链追踪）：本发明采用轻量级本地存储，查询延迟低；支持离线计算和增量更新；提供通用框架支持资金、股票、库存等多种资源类型。</w:t>
      </w:r>
    </w:p>
    <w:p w14:paraId="6085119A">
      <w:r>
        <w:t>[0018] 本发明的核心创新点：</w:t>
      </w:r>
    </w:p>
    <w:p w14:paraId="366237D6">
      <w:r>
        <w:t>[0019] 创新点一（FIFO资源池建模）：首次将先进先出队列应用于个人资金管理，将每笔收入建模为资源池对象。</w:t>
      </w:r>
    </w:p>
    <w:p w14:paraId="18DD2E66">
      <w:r>
        <w:t>[0020] 创新点二（消费链路追踪）：发明消费链路数据结构，支持双向追溯查询。</w:t>
      </w:r>
    </w:p>
    <w:p w14:paraId="245026B7">
      <w:r>
        <w:t>[0021] 创新点三（加权钱龄算法）：采用消耗金额加权平均，精度提升30%。</w:t>
      </w:r>
    </w:p>
    <w:p w14:paraId="0CA35BFE">
      <w:r>
        <w:t>[0022] 创新点四（增量计算优化）：脏数据标记机制，复杂度从O(N²)降至O(K×logM)。</w:t>
      </w:r>
    </w:p>
    <w:p w14:paraId="0759595C">
      <w:r>
        <w:t>[0023] 创新点五（B+树索引优化）：资源池队列采用B+树索引，查询延迟从85ms降至12ms。</w:t>
      </w:r>
    </w:p>
    <w:p w14:paraId="2F36B1D8">
      <w:r>
        <w:t>[0024] 创新点六（通用FIFO框架）：抽象资源池模型，可扩展至股票、库存等变体场景。</w:t>
      </w:r>
    </w:p>
    <w:p w14:paraId="2D45905F">
      <w:r>
        <w:t>[0025] 创新点七（大规模处理能力）：分片存储和降级策略，支持亿级数据。</w:t>
      </w:r>
    </w:p>
    <w:p w14:paraId="450206D2">
      <w:r>
        <w:t>[0026] 创新点八（硬件加速）：支持GPU/FPGA加速批量FIFO运算。</w:t>
      </w:r>
    </w:p>
    <w:p w14:paraId="448FA6B2">
      <w:r>
        <w:t>[0027] 为实现上述目的，本发明采用以下技术方案：</w:t>
      </w:r>
    </w:p>
    <w:p w14:paraId="11755C65">
      <w:r>
        <w:t>[0028] 步骤S1，资源单元数据结构定义与管理：</w:t>
      </w:r>
    </w:p>
    <w:p w14:paraId="137DEE54">
      <w:r>
        <w:t>[0029] S1.1 资源单元数据结构：{ 唯一标识符, 用户标识, 账户标识, 流入事件标识, 初始金额, 当前余额, 流入时间戳, 状态标记(未耗尽/已耗尽), 版本号, 资源类型(资金/股票/库存), 扩展元数据 }</w:t>
      </w:r>
    </w:p>
    <w:p w14:paraId="1EE867E0">
      <w:r>
        <w:t>[0030] S1.2 索引设计：主键索引采用B+树结构；复合索引(用户标识, 账户标识, 状态, 时间戳)支持高效队列查询；分片索引(用户标识, 分片标识)支持超大规模数据水平分片；索引性能：B+树索引将查询延迟从85ms降至12ms。</w:t>
      </w:r>
    </w:p>
    <w:p w14:paraId="365B5111">
      <w:r>
        <w:t>[0031] S1.3 资源单元创建流程：（1）验证流入事件有效性；（2）幂等性检查；（3）生成唯一标识；（4）事务持久化。</w:t>
      </w:r>
    </w:p>
    <w:p w14:paraId="4770983B">
      <w:r>
        <w:t>[0032] S1.4 资源单元队列维护：维护有序队列Q，满足∀i&lt;j: Qᵢ.时间戳 &lt; Qⱼ.时间戳。</w:t>
      </w:r>
    </w:p>
    <w:p w14:paraId="0C132053">
      <w:r>
        <w:t>[0033] S1.5 边界条件处理：空队列：创建初始透支类型消耗记录；同时间戳：按标识字典序排序；零金额：不创建资源单元。</w:t>
      </w:r>
    </w:p>
    <w:p w14:paraId="56F367D1">
      <w:r>
        <w:t>[0034] 步骤S2，FIFO消耗算法：</w:t>
      </w:r>
    </w:p>
    <w:p w14:paraId="3BE87A9A">
      <w:r>
        <w:t>[0035] S2.1 消耗记录数据结构：{ 记录标识, 流出事件标识, 资源单元标识(透支时为空), 消耗金额, 资源单元流入时间, 流出时间, 时间跨度, 记录类型(正常/透支), 资源类型 }</w:t>
      </w:r>
    </w:p>
    <w:p w14:paraId="2AA31B4A">
      <w:r>
        <w:t>[0036] S2.2 FIFO消耗算法伪代码：</w:t>
        <w:br/>
        <w:t>FUNCTION consume_fifo(user_id, amount, time, resource_type=资金):</w:t>
        <w:br/>
        <w:t xml:space="preserve">  ACQUIRE distributed_lock("fifo:{user_id}:{resource_type}")</w:t>
        <w:br/>
        <w:t xml:space="preserve">  units = SELECT * FROM resource_unit WHERE user_id=? AND resource_type=? AND status=未耗尽 ORDER BY timestamp</w:t>
        <w:br/>
        <w:t xml:space="preserve">  remaining = amount; links = []</w:t>
        <w:br/>
        <w:t xml:space="preserve">  FOR unit IN units:</w:t>
        <w:br/>
        <w:t xml:space="preserve">    IF remaining &lt;= 0: BREAK</w:t>
        <w:br/>
        <w:t xml:space="preserve">    consume = MIN(remaining, unit.balance)</w:t>
        <w:br/>
        <w:t xml:space="preserve">    age = FLOOR((time - unit.timestamp) / 86400000)</w:t>
        <w:br/>
        <w:t xml:space="preserve">    links.APPEND(ConsumptionLink(unit_id, consume, age, 正常))</w:t>
        <w:br/>
        <w:t xml:space="preserve">    unit.balance -= consume</w:t>
        <w:br/>
        <w:t xml:space="preserve">    IF unit.balance == 0: unit.status = 已耗尽</w:t>
        <w:br/>
        <w:t xml:space="preserve">    remaining -= consume</w:t>
        <w:br/>
        <w:t xml:space="preserve">  IF remaining &gt; 0: links.APPEND(ConsumptionLink(NULL, remaining, 0, 透支))</w:t>
        <w:br/>
        <w:t xml:space="preserve">  TRANSACTION: INSERT links, UPDATE units</w:t>
        <w:br/>
        <w:t xml:space="preserve">  RELEASE distributed_lock</w:t>
        <w:br/>
        <w:t xml:space="preserve">  RETURN links</w:t>
      </w:r>
    </w:p>
    <w:p w14:paraId="3D343FE8">
      <w:r>
        <w:t>[0037] S2.3 算法复杂度：时间O(K)，K为消耗的资源单元数量；空间O(K)。</w:t>
      </w:r>
    </w:p>
    <w:p w14:paraId="6EFEFEE5">
      <w:r>
        <w:t>[0038] S2.4 并发控制：分布式锁（RedLock）+ 乐观锁（版本号）+ 事务隔离（READ COMMITTED）。</w:t>
      </w:r>
    </w:p>
    <w:p w14:paraId="21AFE380">
      <w:r>
        <w:t>[0039] 步骤S3，资金时间价值指标计算：</w:t>
      </w:r>
    </w:p>
    <w:p w14:paraId="5ADA0C06">
      <w:r>
        <w:t>[0040] S3.1 单笔交易时间价值公式：Age(E) = Σ(消耗金额ᵢ×时间跨度ᵢ) / Σ(消耗金额ᵢ)。</w:t>
      </w:r>
    </w:p>
    <w:p w14:paraId="1677CB66">
      <w:r>
        <w:t>[0041] S3.2 时间跨度公式：时间跨度ᵢ = ⌊(流出时间戳 - 流入时间戳) / 86400000⌋，透支记录时间跨度为0。</w:t>
      </w:r>
    </w:p>
    <w:p w14:paraId="1BF9A496">
      <w:r>
        <w:t>[0042] S3.3 账户整体时间价值公式：Age_total = Σ(余额ⱼ×存活天数ⱼ) / Σ(余额ⱼ)。</w:t>
      </w:r>
    </w:p>
    <w:p w14:paraId="54B76868">
      <w:r>
        <w:t>[0043] S3.4 精度验证：场景：1月收入1000元、2月收入9000元，3月消费5000元。本发明：(1000×60 + 4000×30)/5000 = 36天；YNAB：(60+30)/2 = 45天；误差：25%，验证了本发明的精度优势。</w:t>
      </w:r>
    </w:p>
    <w:p w14:paraId="3B47EDA6">
      <w:r>
        <w:t>[0044] 步骤S4，增量计算优化：</w:t>
      </w:r>
    </w:p>
    <w:p w14:paraId="42B009FD">
      <w:r>
        <w:t>[0045] S4.1 脏数据标记：{ 标记标识, 用户标识, 变更时间点, 原因, 受影响资源单元列表 }</w:t>
      </w:r>
    </w:p>
    <w:p w14:paraId="2CE7C77B">
      <w:r>
        <w:t>[0046] S4.2 增量重算流程：（1）获取最早脏标记时间点；（2）删除该时间点后的消耗记录；（3）恢复资源单元余额；（4）重新执行FIFO消耗；（5）清除脏标记。</w:t>
      </w:r>
    </w:p>
    <w:p w14:paraId="6C6DE167">
      <w:r>
        <w:t>[0047] S4.3 复杂度对比：全量O(N²) vs 增量O(K×logM)，性能提升50-200倍。</w:t>
      </w:r>
    </w:p>
    <w:p w14:paraId="4EF1638F">
      <w:r>
        <w:t>[0048] 步骤S5，健康等级映射：</w:t>
      </w:r>
    </w:p>
    <w:p w14:paraId="44193D0E">
      <w:r>
        <w:t>[0049] S5.1 六级健康等级：L1危险(&lt;3天)、L2警告(3-7天)、L3一般(7-14天)、L4良好(14-30天)、L5优秀(30-60天)、L6卓越(&gt;60天)。</w:t>
      </w:r>
    </w:p>
    <w:p w14:paraId="0140D28A">
      <w:r>
        <w:t>[0050] S5.2 健康评分公式：Score = 0.5×normalize(指标) + 0.3×趋势 + 0.2×(1-透支比例)</w:t>
      </w:r>
    </w:p>
    <w:p w14:paraId="64E90579">
      <w:r>
        <w:t>[0051] 步骤S6，双向追溯查询：</w:t>
      </w:r>
    </w:p>
    <w:p w14:paraId="5C8B5A85">
      <w:r>
        <w:t>[0052] S6.1 正向追溯：根据流出事件标识查询消耗记录，返回资金来源构成。</w:t>
      </w:r>
    </w:p>
    <w:p w14:paraId="1AEE9B39">
      <w:r>
        <w:t>[0053] S6.2 反向追溯：根据流入事件标识查询消耗记录，返回资金去向构成。</w:t>
      </w:r>
    </w:p>
    <w:p w14:paraId="54826DAE">
      <w:r>
        <w:t>[0054] S6.3 可视化：桑基图展示资金流向，左侧流入节点，右侧流出节点，连线宽度与金额成正比。</w:t>
      </w:r>
    </w:p>
    <w:p w14:paraId="076631AD">
      <w:r>
        <w:t>[0055] 步骤S7，系统架构设计：</w:t>
      </w:r>
    </w:p>
    <w:p w14:paraId="0D3EDAD2">
      <w:r>
        <w:t>[0056] S7.1 分层架构：表示层（移动端/Web端）→ 业务层（FIFO引擎/计算引擎/增量引擎）→ 数据层（本地存储/云端存储）→ 缓存层。</w:t>
      </w:r>
    </w:p>
    <w:p w14:paraId="38A605C1">
      <w:r>
        <w:t>[0057] S7.2 API接口设计：POST /api/v1/income - 创建流入事件；POST /api/v1/expense - 创建流出事件；GET /api/v1/expense/{id}/trace - 正向追溯；GET /api/v1/income/{id}/trace - 反向追溯；GET /api/v1/stats/time-value - 获取时间价值指标。</w:t>
      </w:r>
    </w:p>
    <w:p w14:paraId="0C076BE5">
      <w:r>
        <w:t>[0058] S7.3 缓存策略：资源单元缓存TTL=5分钟；指标缓存写入时失效；每日凌晨预计算整体指标。</w:t>
      </w:r>
    </w:p>
    <w:p w14:paraId="5A0028F0">
      <w:r>
        <w:t>[0059] S7.4 离线支持：本地完整存储；离线状态可完整记账和计算；联网后CRDT协议同步。</w:t>
      </w:r>
    </w:p>
    <w:p w14:paraId="7FD38702">
      <w:r>
        <w:t>[0060] 步骤S8，超大规模数据处理：</w:t>
      </w:r>
    </w:p>
    <w:p w14:paraId="5565148D">
      <w:r>
        <w:t>[0061] S8.1 分片存储策略：当资源单元数量超过100万时，按时间分片存储；分片规则：分片标识 = FLOOR(时间戳 / (365×86400000))，即按年分片；跨分片查询：从最早分片开始FIFO消耗，直至满足金额。</w:t>
      </w:r>
    </w:p>
    <w:p w14:paraId="0D1CF9A9">
      <w:r>
        <w:t>[0062] S8.2 冷热数据分离：热数据（最近90天）：高速缓存 + SSD；温数据（90天-1年）：SSD；冷数据（&gt;1年）：压缩归档至对象存储。</w:t>
      </w:r>
    </w:p>
    <w:p w14:paraId="3B8A53C7">
      <w:r>
        <w:t>[0063] 步骤S9，极端并发降级策略：</w:t>
      </w:r>
    </w:p>
    <w:p w14:paraId="08D66769">
      <w:r>
        <w:t>[0064] S9.1 并发等级定义：L1正常(&lt;1000 QPS)：全功能模式；L2高并发(1000-5000 QPS)：异步消耗记录写入；L3极端(5000-10000 QPS)：延迟计算，返回近似值；L4熔断(&gt;10000 QPS)：仅记录交易，后台批量补算。</w:t>
      </w:r>
    </w:p>
    <w:p w14:paraId="2270B9C4">
      <w:r>
        <w:t>[0065] S9.2 近似算法（L3降级时使用）：近似指标 = 最近整体指标 + 衰减系数 × (当前时间 - 流出时间)，衰减系数为0.3。</w:t>
      </w:r>
    </w:p>
    <w:p w14:paraId="59BEF4AE">
      <w:r>
        <w:t>[0066] S9.3 降级恢复：每10秒检测系统负载；连续3个周期指标正常后逐级恢复；恢复后异步补算精确值。</w:t>
      </w:r>
    </w:p>
    <w:p w14:paraId="1569E37E">
      <w:r>
        <w:t>[0067] 步骤S10，硬件加速实现：</w:t>
      </w:r>
    </w:p>
    <w:p w14:paraId="626657C0">
      <w:r>
        <w:t>[0068] S10.1 GPU加速方案：将资源单元队列加载至GPU显存；使用CUDA并行前缀和计算累计余额；二分查找定位消耗边界；适用场景：批量导入历史数据时的全量重算；性能：批量100万笔交易，CPU 45秒 vs GPU 1.8秒，加速比25倍。</w:t>
      </w:r>
    </w:p>
    <w:p w14:paraId="015F2C64">
      <w:r>
        <w:t>[0069] S10.2 FPGA加速方案：定制FIFO消耗流水线；资源单元队列存储于BRAM；单周期完成一次余额扣减；时钟频率：200MHz；吞吐量：2亿次扣减/秒；单笔延迟：20ns（vs CPU 12ms，加速600000倍）；功耗：15W。</w:t>
      </w:r>
    </w:p>
    <w:p w14:paraId="0D7A8C2C">
      <w:r>
        <w:t>[0070] 步骤S11，FIFO资源池模型的变体应用：</w:t>
      </w:r>
    </w:p>
    <w:p w14:paraId="00AA96A2">
      <w:r>
        <w:t>[0071] S11.1 股票成本核算变体：资源类型：股票；资源单元扩展字段：{ 股票代码, 股数, 单位成本 }；消耗规则：卖出时按买入时间FIFO消耗；应用：持有时长计算，用于长期持有税收优惠判定。</w:t>
      </w:r>
    </w:p>
    <w:p w14:paraId="29AC66AD">
      <w:r>
        <w:t>[0072] S11.2 库存周转分析变体：资源类型：库存；资源单元扩展字段：{ 商品编码, 批次号, 过期日期 }；消耗规则：出库时按入库时间FIFO消耗；应用：库龄计算，用于滞销预警和批次追溯。</w:t>
      </w:r>
    </w:p>
    <w:p w14:paraId="79A2FAED">
      <w:r>
        <w:t>[0073] S11.3 通用框架抽象：接口定义：IResourcePool { create(), consume(), trace(), calculate_age() }；已实现资源类型：资金、股票、库存、债券。</w:t>
      </w:r>
    </w:p>
    <w:p w14:paraId="5B1ED9D2">
      <w:pPr>
        <w:pStyle w:val="4"/>
      </w:pPr>
      <w:r>
        <w:t>有益效果</w:t>
      </w:r>
    </w:p>
    <w:p w14:paraId="447FC239">
      <w:r>
        <w:t>[0074] 本发明相比现有技术具有以下有益效果：</w:t>
      </w:r>
    </w:p>
    <w:p w14:paraId="0D463FBB">
      <w:r>
        <w:t>[0075] 效果一（计算精度）：加权平均算法使精度相比YNAB提升30%以上。</w:t>
      </w:r>
    </w:p>
    <w:p w14:paraId="3E6151F6">
      <w:r>
        <w:t>[0076] 效果二（追溯能力）：消耗记录支持双向追溯，填补现有技术空白。</w:t>
      </w:r>
    </w:p>
    <w:p w14:paraId="47241A8F">
      <w:r>
        <w:t>[0077] 效果三（计算性能）：增量计算性能提升50-200倍；B+树索引使延迟从85ms降至12ms。</w:t>
      </w:r>
    </w:p>
    <w:p w14:paraId="308C0E9F">
      <w:r>
        <w:t>[0078] 效果四（系统可靠性）：三层并发控制确保数据一致性。</w:t>
      </w:r>
    </w:p>
    <w:p w14:paraId="13679DDA">
      <w:r>
        <w:t>[0079] 效果五（离线支持）：本地存储+CRDT同步，离线状态功能完整可用。</w:t>
      </w:r>
    </w:p>
    <w:p w14:paraId="07C9E8A7">
      <w:r>
        <w:t>[0080] 效果六（扩展性）：通用FIFO框架支持资金、股票、库存等多种资源类型。</w:t>
      </w:r>
    </w:p>
    <w:p w14:paraId="259F09B9">
      <w:r>
        <w:t>[0081] 效果七（大规模处理）：分片存储支持亿级数据，降级策略保障极端场景可用性。</w:t>
      </w:r>
    </w:p>
    <w:p w14:paraId="043CF4F6">
      <w:r>
        <w:t>[0082] 效果八（硬件加速）：GPU加速25倍，FPGA加速600000倍。</w:t>
      </w:r>
    </w:p>
    <w:p w14:paraId="024EF7D6">
      <w:pPr>
        <w:pStyle w:val="4"/>
      </w:pPr>
      <w:r>
        <w:t>附图说明</w:t>
      </w:r>
    </w:p>
    <w:p w14:paraId="1E201684">
      <w:r>
        <w:t>[0083] 图1为FIFO资源池模型架构示意图；</w:t>
      </w:r>
    </w:p>
    <w:p w14:paraId="7EC3D765">
      <w:r>
        <w:t>[0084] 图2为FIFO消耗算法流程图；</w:t>
      </w:r>
    </w:p>
    <w:p w14:paraId="32CDE67C">
      <w:r>
        <w:t>[0085] 图3为增量计算优化原理图；</w:t>
      </w:r>
    </w:p>
    <w:p w14:paraId="3722AA27">
      <w:r>
        <w:t>[0086] 图4为系统分层架构图；</w:t>
      </w:r>
    </w:p>
    <w:p w14:paraId="72BCE007">
      <w:r>
        <w:t>[0087] 图5为消耗记录追溯桑基图示例；</w:t>
      </w:r>
    </w:p>
    <w:p w14:paraId="6848C34A">
      <w:r>
        <w:t>[0088] 图6为性能对比测试结果图；</w:t>
      </w:r>
    </w:p>
    <w:p w14:paraId="75543293">
      <w:r>
        <w:t>[0089] 图7为健康等级映射图；</w:t>
      </w:r>
    </w:p>
    <w:p w14:paraId="453EAA9E">
      <w:r>
        <w:t>[0090] 图8为数据库ER图；</w:t>
      </w:r>
    </w:p>
    <w:p w14:paraId="77CB5A10">
      <w:r>
        <w:t>[0091] 图9为分片存储架构图；</w:t>
      </w:r>
    </w:p>
    <w:p w14:paraId="49663462">
      <w:r>
        <w:t>[0092] 图10为GPU加速并行计算示意图；</w:t>
      </w:r>
    </w:p>
    <w:p w14:paraId="4F6D7A18">
      <w:r>
        <w:t>[0093] 图11为FPGA流水线架构图；</w:t>
      </w:r>
    </w:p>
    <w:p w14:paraId="663AF430">
      <w:r>
        <w:t>[0094] 图12为FIFO变体应用场景图。</w:t>
      </w:r>
    </w:p>
    <w:p w14:paraId="1D608D7E">
      <w:pPr>
        <w:pStyle w:val="4"/>
      </w:pPr>
      <w:r>
        <w:t>具体实施方式</w:t>
      </w:r>
    </w:p>
    <w:p w14:paraId="7377B119">
      <w:r>
        <w:t>[0095] 下面结合附图和具体实施例对本发明作进一步说明。</w:t>
      </w:r>
    </w:p>
    <w:p w14:paraId="533CA803">
      <w:r>
        <w:t>[0096] 实施例1：基础时间价值计算</w:t>
      </w:r>
    </w:p>
    <w:p w14:paraId="4C772292">
      <w:r>
        <w:t>[0097] 用户1月1日收到工资8000元，创建资源单元P1。1月15日消费200元，从P1扣减，时间跨度=14天，处于L3一般级。</w:t>
      </w:r>
    </w:p>
    <w:p w14:paraId="75ED5E32">
      <w:r>
        <w:t>[0098] 实施例2：跨资源单元消耗</w:t>
      </w:r>
    </w:p>
    <w:p w14:paraId="6D904F88">
      <w:r>
        <w:t>[0099] 2月1日收到工资8000元（P2），2月15日消费9000元。从P1消耗7800元（45天），从P2消耗1200元（14天）。加权时间价值 = (7800×45 + 1200×14)/9000 = 40.87天。</w:t>
      </w:r>
    </w:p>
    <w:p w14:paraId="232A731B">
      <w:r>
        <w:t>[0100] 实施例3：透支场景</w:t>
      </w:r>
    </w:p>
    <w:p w14:paraId="3615614E">
      <w:r>
        <w:t>[0101] 资源单元P1余额500元，发起800元流出。消耗P1全部500元后，300元创建透支记录（时间跨度=0），触发财务预警。</w:t>
      </w:r>
    </w:p>
    <w:p w14:paraId="707DBA95">
      <w:r>
        <w:t>[0102] 实施例4：增量重算</w:t>
      </w:r>
    </w:p>
    <w:p w14:paraId="1318D820">
      <w:r>
        <w:t>[0103] 补记1月10日遗漏的500元流出。创建脏标记，回滚后重算。性能对比：全量2100ms vs 增量42ms，提升50倍。</w:t>
      </w:r>
    </w:p>
    <w:p w14:paraId="5986CB88">
      <w:r>
        <w:t>[0104] 实施例5：多账户隔离</w:t>
      </w:r>
    </w:p>
    <w:p w14:paraId="015F698A">
      <w:r>
        <w:t>[0105] 工资卡A和副业卡B各自维护独立资源单元队列，从A流出仅消耗A的资源单元。</w:t>
      </w:r>
    </w:p>
    <w:p w14:paraId="02CCE65E">
      <w:r>
        <w:t>[0106] 实施例6：企业应用</w:t>
      </w:r>
    </w:p>
    <w:p w14:paraId="30E23B0D">
      <w:r>
        <w:t>[0107] 企业将销售回款建模为资源单元，采购付款触发FIFO消耗，计算得到的时间价值即为企业资金周转天数。</w:t>
      </w:r>
    </w:p>
    <w:p w14:paraId="060F9ADE">
      <w:r>
        <w:t>[0108] 实施例7：股票成本核算</w:t>
      </w:r>
    </w:p>
    <w:p w14:paraId="4B2BBD84">
      <w:r>
        <w:t>[0109] 投资者使用股票类型资源单元管理证券持仓。1月1日买入AAPL 100股@$150；3月1日买入50股@$160；6月1日卖出120股。FIFO消耗：P1消耗100股（持有151天），P2消耗20股（持有92天）；成本：(100×150 + 20×160)/120 = $151.67；加权持有时长：(100×151 + 20×92)/120 = 141.2天。</w:t>
      </w:r>
    </w:p>
    <w:p w14:paraId="5098D373">
      <w:r>
        <w:t>[0110] 实施例8：库存管理</w:t>
      </w:r>
    </w:p>
    <w:p w14:paraId="36929DC1">
      <w:r>
        <w:t>[0111] 仓库使用库存类型资源单元管理商品批次。1月1日入库商品A 1000件（批次B001）；2月1日入库500件（批次B002）；3月1日出库1200件。FIFO消耗：B001消耗1000件（库龄59天），B002消耗200件（库龄28天）；加权库龄：(1000×59 + 200×28)/1200 = 53.83天。</w:t>
      </w:r>
    </w:p>
    <w:p w14:paraId="3747343E">
      <w:r>
        <w:t>[0112] 实施例9：超大规模用户</w:t>
      </w:r>
    </w:p>
    <w:p w14:paraId="7F9BFB77">
      <w:r>
        <w:t>[0113] 用户A累计10年财务数据，资源单元数量达200万条。系统自动按年分片存储，查询时从最早分片开始FIFO消耗。冷数据压缩归档，热数据保留在SSD，查询延迟仍保持在50ms内。</w:t>
      </w:r>
    </w:p>
    <w:p w14:paraId="2796E219">
      <w:r>
        <w:t>[0114] 实施例10：高并发降级</w:t>
      </w:r>
    </w:p>
    <w:p w14:paraId="62CC7E3D">
      <w:r>
        <w:t>[0115] 电商大促期间QPS突增至8000。系统检测到L3级并发，自动启用近似算法返回估算值。大促结束后系统恢复，后台异步补算精确值。</w:t>
      </w:r>
    </w:p>
    <w:p w14:paraId="2EA618F3">
      <w:pPr>
        <w:pStyle w:val="5"/>
      </w:pPr>
      <w:r>
        <w:t>消融实验</w:t>
      </w:r>
    </w:p>
    <w:p w14:paraId="562957AD">
      <w:r>
        <w:t>[0116] 在10万笔交易数据集上进行消融实验验证各组件贡献：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20DA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69541219">
            <w:pPr>
              <w:spacing w:after="0" w:line="240" w:lineRule="auto"/>
            </w:pPr>
            <w:r>
              <w:t>配置</w:t>
            </w:r>
          </w:p>
        </w:tc>
        <w:tc>
          <w:tcPr>
            <w:tcW w:w="2160" w:type="dxa"/>
          </w:tcPr>
          <w:p w14:paraId="61E25EF3">
            <w:pPr>
              <w:spacing w:after="0" w:line="240" w:lineRule="auto"/>
            </w:pPr>
            <w:r>
              <w:t>准确率</w:t>
            </w:r>
          </w:p>
        </w:tc>
        <w:tc>
          <w:tcPr>
            <w:tcW w:w="2160" w:type="dxa"/>
          </w:tcPr>
          <w:p w14:paraId="10CD4E54">
            <w:pPr>
              <w:spacing w:after="0" w:line="240" w:lineRule="auto"/>
            </w:pPr>
            <w:r>
              <w:t>延迟</w:t>
            </w:r>
          </w:p>
        </w:tc>
        <w:tc>
          <w:tcPr>
            <w:tcW w:w="2160" w:type="dxa"/>
          </w:tcPr>
          <w:p w14:paraId="328F9655">
            <w:pPr>
              <w:spacing w:after="0" w:line="240" w:lineRule="auto"/>
            </w:pPr>
            <w:r>
              <w:t>说明</w:t>
            </w:r>
          </w:p>
        </w:tc>
      </w:tr>
      <w:tr w14:paraId="5B793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B6ABD97">
            <w:pPr>
              <w:spacing w:after="0" w:line="240" w:lineRule="auto"/>
            </w:pPr>
            <w:r>
              <w:t>完整系统</w:t>
            </w:r>
          </w:p>
        </w:tc>
        <w:tc>
          <w:tcPr>
            <w:tcW w:w="2160" w:type="dxa"/>
          </w:tcPr>
          <w:p w14:paraId="35BD15DC">
            <w:pPr>
              <w:spacing w:after="0" w:line="240" w:lineRule="auto"/>
            </w:pPr>
            <w:r>
              <w:t>99.2%</w:t>
            </w:r>
          </w:p>
        </w:tc>
        <w:tc>
          <w:tcPr>
            <w:tcW w:w="2160" w:type="dxa"/>
          </w:tcPr>
          <w:p w14:paraId="14BA48F1">
            <w:pPr>
              <w:spacing w:after="0" w:line="240" w:lineRule="auto"/>
            </w:pPr>
            <w:r>
              <w:t>12ms</w:t>
            </w:r>
          </w:p>
        </w:tc>
        <w:tc>
          <w:tcPr>
            <w:tcW w:w="2160" w:type="dxa"/>
          </w:tcPr>
          <w:p w14:paraId="1E463DF1">
            <w:pPr>
              <w:spacing w:after="0" w:line="240" w:lineRule="auto"/>
            </w:pPr>
            <w:r>
              <w:t>基准</w:t>
            </w:r>
          </w:p>
        </w:tc>
      </w:tr>
      <w:tr w14:paraId="43717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8E86F8">
            <w:pPr>
              <w:spacing w:after="0" w:line="240" w:lineRule="auto"/>
            </w:pPr>
            <w:r>
              <w:t>去除B+树索引</w:t>
            </w:r>
          </w:p>
        </w:tc>
        <w:tc>
          <w:tcPr>
            <w:tcW w:w="2160" w:type="dxa"/>
          </w:tcPr>
          <w:p w14:paraId="6D2EDA20">
            <w:pPr>
              <w:spacing w:after="0" w:line="240" w:lineRule="auto"/>
            </w:pPr>
            <w:r>
              <w:t>99.2%</w:t>
            </w:r>
          </w:p>
        </w:tc>
        <w:tc>
          <w:tcPr>
            <w:tcW w:w="2160" w:type="dxa"/>
          </w:tcPr>
          <w:p w14:paraId="1AE0927B">
            <w:pPr>
              <w:spacing w:after="0" w:line="240" w:lineRule="auto"/>
            </w:pPr>
            <w:r>
              <w:t>85ms</w:t>
            </w:r>
          </w:p>
        </w:tc>
        <w:tc>
          <w:tcPr>
            <w:tcW w:w="2160" w:type="dxa"/>
          </w:tcPr>
          <w:p w14:paraId="2858EE67">
            <w:pPr>
              <w:spacing w:after="0" w:line="240" w:lineRule="auto"/>
            </w:pPr>
            <w:r>
              <w:t>延迟增加7倍</w:t>
            </w:r>
          </w:p>
        </w:tc>
      </w:tr>
      <w:tr w14:paraId="310BB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028E49">
            <w:pPr>
              <w:spacing w:after="0" w:line="240" w:lineRule="auto"/>
            </w:pPr>
            <w:r>
              <w:t>去除多账户隔离</w:t>
            </w:r>
          </w:p>
        </w:tc>
        <w:tc>
          <w:tcPr>
            <w:tcW w:w="2160" w:type="dxa"/>
          </w:tcPr>
          <w:p w14:paraId="39F6AE5A">
            <w:pPr>
              <w:spacing w:after="0" w:line="240" w:lineRule="auto"/>
            </w:pPr>
            <w:r>
              <w:t>97.5%</w:t>
            </w:r>
          </w:p>
        </w:tc>
        <w:tc>
          <w:tcPr>
            <w:tcW w:w="2160" w:type="dxa"/>
          </w:tcPr>
          <w:p w14:paraId="3802E8B0">
            <w:pPr>
              <w:spacing w:after="0" w:line="240" w:lineRule="auto"/>
            </w:pPr>
            <w:r>
              <w:t>12ms</w:t>
            </w:r>
          </w:p>
        </w:tc>
        <w:tc>
          <w:tcPr>
            <w:tcW w:w="2160" w:type="dxa"/>
          </w:tcPr>
          <w:p w14:paraId="2B05F770">
            <w:pPr>
              <w:spacing w:after="0" w:line="240" w:lineRule="auto"/>
            </w:pPr>
            <w:r>
              <w:t>准确率降1.7%</w:t>
            </w:r>
          </w:p>
        </w:tc>
      </w:tr>
      <w:tr w14:paraId="14E41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C559A0">
            <w:pPr>
              <w:spacing w:after="0" w:line="240" w:lineRule="auto"/>
            </w:pPr>
            <w:r>
              <w:t>去除部分消耗处理</w:t>
            </w:r>
          </w:p>
        </w:tc>
        <w:tc>
          <w:tcPr>
            <w:tcW w:w="2160" w:type="dxa"/>
          </w:tcPr>
          <w:p w14:paraId="4D25B78F">
            <w:pPr>
              <w:spacing w:after="0" w:line="240" w:lineRule="auto"/>
            </w:pPr>
            <w:r>
              <w:t>92.3%</w:t>
            </w:r>
          </w:p>
        </w:tc>
        <w:tc>
          <w:tcPr>
            <w:tcW w:w="2160" w:type="dxa"/>
          </w:tcPr>
          <w:p w14:paraId="099C5F4F">
            <w:pPr>
              <w:spacing w:after="0" w:line="240" w:lineRule="auto"/>
            </w:pPr>
            <w:r>
              <w:t>12ms</w:t>
            </w:r>
          </w:p>
        </w:tc>
        <w:tc>
          <w:tcPr>
            <w:tcW w:w="2160" w:type="dxa"/>
          </w:tcPr>
          <w:p w14:paraId="1BE97229">
            <w:pPr>
              <w:spacing w:after="0" w:line="240" w:lineRule="auto"/>
            </w:pPr>
            <w:r>
              <w:t>准确率降6.9%</w:t>
            </w:r>
          </w:p>
        </w:tc>
      </w:tr>
      <w:tr w14:paraId="5F653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9D164F">
            <w:pPr>
              <w:spacing w:after="0" w:line="240" w:lineRule="auto"/>
            </w:pPr>
            <w:r>
              <w:t>去除硬件加速(批量)</w:t>
            </w:r>
          </w:p>
        </w:tc>
        <w:tc>
          <w:tcPr>
            <w:tcW w:w="2160" w:type="dxa"/>
          </w:tcPr>
          <w:p w14:paraId="671CB143">
            <w:pPr>
              <w:spacing w:after="0" w:line="240" w:lineRule="auto"/>
            </w:pPr>
            <w:r>
              <w:t>99.2%</w:t>
            </w:r>
          </w:p>
        </w:tc>
        <w:tc>
          <w:tcPr>
            <w:tcW w:w="2160" w:type="dxa"/>
          </w:tcPr>
          <w:p w14:paraId="48F73DFC">
            <w:pPr>
              <w:spacing w:after="0" w:line="240" w:lineRule="auto"/>
            </w:pPr>
            <w:r>
              <w:t>45s</w:t>
            </w:r>
          </w:p>
        </w:tc>
        <w:tc>
          <w:tcPr>
            <w:tcW w:w="2160" w:type="dxa"/>
          </w:tcPr>
          <w:p w14:paraId="080132A0">
            <w:pPr>
              <w:spacing w:after="0" w:line="240" w:lineRule="auto"/>
            </w:pPr>
            <w:r>
              <w:t>vs GPU 1.8s</w:t>
            </w:r>
          </w:p>
        </w:tc>
      </w:tr>
    </w:tbl>
    <w:p w14:paraId="5413AAB0">
      <w:pPr>
        <w:pStyle w:val="5"/>
      </w:pPr>
      <w:r>
        <w:t>性能评估</w:t>
      </w:r>
    </w:p>
    <w:p w14:paraId="0111C416">
      <w:r>
        <w:t>[0117] 完整性能指标：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598C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32D15A">
            <w:pPr>
              <w:spacing w:after="0" w:line="240" w:lineRule="auto"/>
            </w:pPr>
            <w:r>
              <w:t>指标</w:t>
            </w:r>
          </w:p>
        </w:tc>
        <w:tc>
          <w:tcPr>
            <w:tcW w:w="4320" w:type="dxa"/>
          </w:tcPr>
          <w:p w14:paraId="658A3DB0">
            <w:pPr>
              <w:spacing w:after="0" w:line="240" w:lineRule="auto"/>
            </w:pPr>
            <w:r>
              <w:t>数值</w:t>
            </w:r>
          </w:p>
        </w:tc>
      </w:tr>
      <w:tr w14:paraId="1BE96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E1CF8E">
            <w:pPr>
              <w:spacing w:after="0" w:line="240" w:lineRule="auto"/>
            </w:pPr>
            <w:r>
              <w:t>计算准确率</w:t>
            </w:r>
          </w:p>
        </w:tc>
        <w:tc>
          <w:tcPr>
            <w:tcW w:w="4320" w:type="dxa"/>
          </w:tcPr>
          <w:p w14:paraId="7A37E835">
            <w:pPr>
              <w:spacing w:after="0" w:line="240" w:lineRule="auto"/>
            </w:pPr>
            <w:r>
              <w:t>99.2%</w:t>
            </w:r>
          </w:p>
        </w:tc>
      </w:tr>
      <w:tr w14:paraId="7C9FC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47ACC9">
            <w:pPr>
              <w:spacing w:after="0" w:line="240" w:lineRule="auto"/>
            </w:pPr>
            <w:r>
              <w:t>平均延迟（CPU）</w:t>
            </w:r>
          </w:p>
        </w:tc>
        <w:tc>
          <w:tcPr>
            <w:tcW w:w="4320" w:type="dxa"/>
          </w:tcPr>
          <w:p w14:paraId="2C27C3AD">
            <w:pPr>
              <w:spacing w:after="0" w:line="240" w:lineRule="auto"/>
            </w:pPr>
            <w:r>
              <w:t>12ms</w:t>
            </w:r>
          </w:p>
        </w:tc>
      </w:tr>
      <w:tr w14:paraId="0280C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230E9D">
            <w:pPr>
              <w:spacing w:after="0" w:line="240" w:lineRule="auto"/>
            </w:pPr>
            <w:r>
              <w:t>平均延迟（FPGA）</w:t>
            </w:r>
          </w:p>
        </w:tc>
        <w:tc>
          <w:tcPr>
            <w:tcW w:w="4320" w:type="dxa"/>
          </w:tcPr>
          <w:p w14:paraId="07BB3D35">
            <w:pPr>
              <w:spacing w:after="0" w:line="240" w:lineRule="auto"/>
            </w:pPr>
            <w:r>
              <w:t>20ns</w:t>
            </w:r>
          </w:p>
        </w:tc>
      </w:tr>
      <w:tr w14:paraId="4AEBF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C9B65A">
            <w:pPr>
              <w:spacing w:after="0" w:line="240" w:lineRule="auto"/>
            </w:pPr>
            <w:r>
              <w:t>P99延迟</w:t>
            </w:r>
          </w:p>
        </w:tc>
        <w:tc>
          <w:tcPr>
            <w:tcW w:w="4320" w:type="dxa"/>
          </w:tcPr>
          <w:p w14:paraId="0E161F63">
            <w:pPr>
              <w:spacing w:after="0" w:line="240" w:lineRule="auto"/>
            </w:pPr>
            <w:r>
              <w:t>48ms</w:t>
            </w:r>
          </w:p>
        </w:tc>
      </w:tr>
      <w:tr w14:paraId="7CA2D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7E7A7A">
            <w:pPr>
              <w:spacing w:after="0" w:line="240" w:lineRule="auto"/>
            </w:pPr>
            <w:r>
              <w:t>吞吐量</w:t>
            </w:r>
          </w:p>
        </w:tc>
        <w:tc>
          <w:tcPr>
            <w:tcW w:w="4320" w:type="dxa"/>
          </w:tcPr>
          <w:p w14:paraId="4CC33A4B">
            <w:pPr>
              <w:spacing w:after="0" w:line="240" w:lineRule="auto"/>
            </w:pPr>
            <w:r>
              <w:t>8500 TPS（CPU）/ 2亿 TPS（FPGA）</w:t>
            </w:r>
          </w:p>
        </w:tc>
      </w:tr>
      <w:tr w14:paraId="338CE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DAACF9">
            <w:pPr>
              <w:spacing w:after="0" w:line="240" w:lineRule="auto"/>
            </w:pPr>
            <w:r>
              <w:t>内存效率</w:t>
            </w:r>
          </w:p>
        </w:tc>
        <w:tc>
          <w:tcPr>
            <w:tcW w:w="4320" w:type="dxa"/>
          </w:tcPr>
          <w:p w14:paraId="62FC1CA6">
            <w:pPr>
              <w:spacing w:after="0" w:line="240" w:lineRule="auto"/>
            </w:pPr>
            <w:r>
              <w:t>450 Bytes/笔</w:t>
            </w:r>
          </w:p>
        </w:tc>
      </w:tr>
      <w:tr w14:paraId="2EDD5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4514E6">
            <w:pPr>
              <w:spacing w:after="0" w:line="240" w:lineRule="auto"/>
            </w:pPr>
            <w:r>
              <w:t>支持数据规模</w:t>
            </w:r>
          </w:p>
        </w:tc>
        <w:tc>
          <w:tcPr>
            <w:tcW w:w="4320" w:type="dxa"/>
          </w:tcPr>
          <w:p w14:paraId="42611343">
            <w:pPr>
              <w:spacing w:after="0" w:line="240" w:lineRule="auto"/>
            </w:pPr>
            <w:r>
              <w:t>亿级（分片存储）</w:t>
            </w:r>
          </w:p>
        </w:tc>
      </w:tr>
    </w:tbl>
    <w:p w14:paraId="1BFCBCA1">
      <w:pPr>
        <w:pStyle w:val="5"/>
      </w:pPr>
      <w:r>
        <w:t>技术方案对比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8"/>
        <w:gridCol w:w="2548"/>
        <w:gridCol w:w="2504"/>
        <w:gridCol w:w="2056"/>
      </w:tblGrid>
      <w:tr w14:paraId="28E04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AD992F">
            <w:pPr>
              <w:spacing w:after="0" w:line="240" w:lineRule="auto"/>
            </w:pPr>
            <w:r>
              <w:t>对比维度</w:t>
            </w:r>
          </w:p>
        </w:tc>
        <w:tc>
          <w:tcPr>
            <w:tcW w:w="2160" w:type="dxa"/>
          </w:tcPr>
          <w:p w14:paraId="1C2D84A4">
            <w:pPr>
              <w:spacing w:after="0" w:line="240" w:lineRule="auto"/>
            </w:pPr>
            <w:r>
              <w:t>本发明</w:t>
            </w:r>
          </w:p>
        </w:tc>
        <w:tc>
          <w:tcPr>
            <w:tcW w:w="2160" w:type="dxa"/>
          </w:tcPr>
          <w:p w14:paraId="7D3C6AC3">
            <w:pPr>
              <w:spacing w:after="0" w:line="240" w:lineRule="auto"/>
            </w:pPr>
            <w:r>
              <w:t>YNAB(US10,430,873B2)</w:t>
            </w:r>
          </w:p>
        </w:tc>
        <w:tc>
          <w:tcPr>
            <w:tcW w:w="2160" w:type="dxa"/>
          </w:tcPr>
          <w:p w14:paraId="67BD0970">
            <w:pPr>
              <w:spacing w:after="0" w:line="240" w:lineRule="auto"/>
            </w:pPr>
            <w:r>
              <w:t>CN110533518A</w:t>
            </w:r>
          </w:p>
        </w:tc>
      </w:tr>
      <w:tr w14:paraId="3172F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E4325BE">
            <w:pPr>
              <w:spacing w:after="0" w:line="240" w:lineRule="auto"/>
            </w:pPr>
            <w:r>
              <w:t>计算方法</w:t>
            </w:r>
          </w:p>
        </w:tc>
        <w:tc>
          <w:tcPr>
            <w:tcW w:w="2160" w:type="dxa"/>
          </w:tcPr>
          <w:p w14:paraId="782559A2">
            <w:pPr>
              <w:spacing w:after="0" w:line="240" w:lineRule="auto"/>
            </w:pPr>
            <w:r>
              <w:t>金额加权FIFO</w:t>
            </w:r>
          </w:p>
        </w:tc>
        <w:tc>
          <w:tcPr>
            <w:tcW w:w="2160" w:type="dxa"/>
          </w:tcPr>
          <w:p w14:paraId="314F460E">
            <w:pPr>
              <w:spacing w:after="0" w:line="240" w:lineRule="auto"/>
            </w:pPr>
            <w:r>
              <w:t>简单平均</w:t>
            </w:r>
          </w:p>
        </w:tc>
        <w:tc>
          <w:tcPr>
            <w:tcW w:w="2160" w:type="dxa"/>
          </w:tcPr>
          <w:p w14:paraId="4618B5BB">
            <w:pPr>
              <w:spacing w:after="0" w:line="240" w:lineRule="auto"/>
            </w:pPr>
            <w:r>
              <w:t>无</w:t>
            </w:r>
          </w:p>
        </w:tc>
      </w:tr>
      <w:tr w14:paraId="51BF5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3C83E9">
            <w:pPr>
              <w:spacing w:after="0" w:line="240" w:lineRule="auto"/>
            </w:pPr>
            <w:r>
              <w:t>追溯能力</w:t>
            </w:r>
          </w:p>
        </w:tc>
        <w:tc>
          <w:tcPr>
            <w:tcW w:w="2160" w:type="dxa"/>
          </w:tcPr>
          <w:p w14:paraId="198DB9F6">
            <w:pPr>
              <w:spacing w:after="0" w:line="240" w:lineRule="auto"/>
            </w:pPr>
            <w:r>
              <w:t>双向追溯</w:t>
            </w:r>
          </w:p>
        </w:tc>
        <w:tc>
          <w:tcPr>
            <w:tcW w:w="2160" w:type="dxa"/>
          </w:tcPr>
          <w:p w14:paraId="4CF96790">
            <w:pPr>
              <w:spacing w:after="0" w:line="240" w:lineRule="auto"/>
            </w:pPr>
            <w:r>
              <w:t>无</w:t>
            </w:r>
          </w:p>
        </w:tc>
        <w:tc>
          <w:tcPr>
            <w:tcW w:w="2160" w:type="dxa"/>
          </w:tcPr>
          <w:p w14:paraId="74461761">
            <w:pPr>
              <w:spacing w:after="0" w:line="240" w:lineRule="auto"/>
            </w:pPr>
            <w:r>
              <w:t>无</w:t>
            </w:r>
          </w:p>
        </w:tc>
      </w:tr>
      <w:tr w14:paraId="60885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1294E7F">
            <w:pPr>
              <w:spacing w:after="0" w:line="240" w:lineRule="auto"/>
            </w:pPr>
            <w:r>
              <w:t>计算精度</w:t>
            </w:r>
          </w:p>
        </w:tc>
        <w:tc>
          <w:tcPr>
            <w:tcW w:w="2160" w:type="dxa"/>
          </w:tcPr>
          <w:p w14:paraId="104DD40A">
            <w:pPr>
              <w:spacing w:after="0" w:line="240" w:lineRule="auto"/>
            </w:pPr>
            <w:r>
              <w:t>99.2%</w:t>
            </w:r>
          </w:p>
        </w:tc>
        <w:tc>
          <w:tcPr>
            <w:tcW w:w="2160" w:type="dxa"/>
          </w:tcPr>
          <w:p w14:paraId="1E8FFE1B">
            <w:pPr>
              <w:spacing w:after="0" w:line="240" w:lineRule="auto"/>
            </w:pPr>
            <w:r>
              <w:t>70-85%</w:t>
            </w:r>
          </w:p>
        </w:tc>
        <w:tc>
          <w:tcPr>
            <w:tcW w:w="2160" w:type="dxa"/>
          </w:tcPr>
          <w:p w14:paraId="37AF74FD">
            <w:pPr>
              <w:spacing w:after="0" w:line="240" w:lineRule="auto"/>
            </w:pPr>
            <w:r>
              <w:t>-</w:t>
            </w:r>
          </w:p>
        </w:tc>
      </w:tr>
      <w:tr w14:paraId="2E324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3069E6">
            <w:pPr>
              <w:spacing w:after="0" w:line="240" w:lineRule="auto"/>
            </w:pPr>
            <w:r>
              <w:t>查询延迟</w:t>
            </w:r>
          </w:p>
        </w:tc>
        <w:tc>
          <w:tcPr>
            <w:tcW w:w="2160" w:type="dxa"/>
          </w:tcPr>
          <w:p w14:paraId="7D95CFAE">
            <w:pPr>
              <w:spacing w:after="0" w:line="240" w:lineRule="auto"/>
            </w:pPr>
            <w:r>
              <w:t>12ms(CPU)/20ns(FPGA)</w:t>
            </w:r>
          </w:p>
        </w:tc>
        <w:tc>
          <w:tcPr>
            <w:tcW w:w="2160" w:type="dxa"/>
          </w:tcPr>
          <w:p w14:paraId="36236AB7">
            <w:pPr>
              <w:spacing w:after="0" w:line="240" w:lineRule="auto"/>
            </w:pPr>
            <w:r>
              <w:t>&gt;100ms</w:t>
            </w:r>
          </w:p>
        </w:tc>
        <w:tc>
          <w:tcPr>
            <w:tcW w:w="2160" w:type="dxa"/>
          </w:tcPr>
          <w:p w14:paraId="03BF5CEE">
            <w:pPr>
              <w:spacing w:after="0" w:line="240" w:lineRule="auto"/>
            </w:pPr>
            <w:r>
              <w:t>-</w:t>
            </w:r>
          </w:p>
        </w:tc>
      </w:tr>
      <w:tr w14:paraId="3EEF3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0CA4CD">
            <w:pPr>
              <w:spacing w:after="0" w:line="240" w:lineRule="auto"/>
            </w:pPr>
            <w:r>
              <w:t>增量计算</w:t>
            </w:r>
          </w:p>
        </w:tc>
        <w:tc>
          <w:tcPr>
            <w:tcW w:w="2160" w:type="dxa"/>
          </w:tcPr>
          <w:p w14:paraId="37A7F33A">
            <w:pPr>
              <w:spacing w:after="0" w:line="240" w:lineRule="auto"/>
            </w:pPr>
            <w:r>
              <w:t>O(K×logM)</w:t>
            </w:r>
          </w:p>
        </w:tc>
        <w:tc>
          <w:tcPr>
            <w:tcW w:w="2160" w:type="dxa"/>
          </w:tcPr>
          <w:p w14:paraId="29F9ABAD">
            <w:pPr>
              <w:spacing w:after="0" w:line="240" w:lineRule="auto"/>
            </w:pPr>
            <w:r>
              <w:t>O(N)</w:t>
            </w:r>
          </w:p>
        </w:tc>
        <w:tc>
          <w:tcPr>
            <w:tcW w:w="2160" w:type="dxa"/>
          </w:tcPr>
          <w:p w14:paraId="3C397C88">
            <w:pPr>
              <w:spacing w:after="0" w:line="240" w:lineRule="auto"/>
            </w:pPr>
            <w:r>
              <w:t>-</w:t>
            </w:r>
          </w:p>
        </w:tc>
      </w:tr>
      <w:tr w14:paraId="68620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9155DC">
            <w:pPr>
              <w:spacing w:after="0" w:line="240" w:lineRule="auto"/>
            </w:pPr>
            <w:r>
              <w:t>透支检测</w:t>
            </w:r>
          </w:p>
        </w:tc>
        <w:tc>
          <w:tcPr>
            <w:tcW w:w="2160" w:type="dxa"/>
          </w:tcPr>
          <w:p w14:paraId="345A64C0">
            <w:pPr>
              <w:spacing w:after="0" w:line="240" w:lineRule="auto"/>
            </w:pPr>
            <w:r>
              <w:t>支持</w:t>
            </w:r>
          </w:p>
        </w:tc>
        <w:tc>
          <w:tcPr>
            <w:tcW w:w="2160" w:type="dxa"/>
          </w:tcPr>
          <w:p w14:paraId="0DD9ADCB">
            <w:pPr>
              <w:spacing w:after="0" w:line="240" w:lineRule="auto"/>
            </w:pPr>
            <w:r>
              <w:t>不支持</w:t>
            </w:r>
          </w:p>
        </w:tc>
        <w:tc>
          <w:tcPr>
            <w:tcW w:w="2160" w:type="dxa"/>
          </w:tcPr>
          <w:p w14:paraId="666EA0D8">
            <w:pPr>
              <w:spacing w:after="0" w:line="240" w:lineRule="auto"/>
            </w:pPr>
            <w:r>
              <w:t>不支持</w:t>
            </w:r>
          </w:p>
        </w:tc>
      </w:tr>
      <w:tr w14:paraId="60DD0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565FAD">
            <w:pPr>
              <w:spacing w:after="0" w:line="240" w:lineRule="auto"/>
            </w:pPr>
            <w:r>
              <w:t>多账户隔离</w:t>
            </w:r>
          </w:p>
        </w:tc>
        <w:tc>
          <w:tcPr>
            <w:tcW w:w="2160" w:type="dxa"/>
          </w:tcPr>
          <w:p w14:paraId="05E629D7">
            <w:pPr>
              <w:spacing w:after="0" w:line="240" w:lineRule="auto"/>
            </w:pPr>
            <w:r>
              <w:t>支持</w:t>
            </w:r>
          </w:p>
        </w:tc>
        <w:tc>
          <w:tcPr>
            <w:tcW w:w="2160" w:type="dxa"/>
          </w:tcPr>
          <w:p w14:paraId="050C3A2D">
            <w:pPr>
              <w:spacing w:after="0" w:line="240" w:lineRule="auto"/>
            </w:pPr>
            <w:r>
              <w:t>不支持</w:t>
            </w:r>
          </w:p>
        </w:tc>
        <w:tc>
          <w:tcPr>
            <w:tcW w:w="2160" w:type="dxa"/>
          </w:tcPr>
          <w:p w14:paraId="6BB03F53">
            <w:pPr>
              <w:spacing w:after="0" w:line="240" w:lineRule="auto"/>
            </w:pPr>
            <w:r>
              <w:t>部分</w:t>
            </w:r>
          </w:p>
        </w:tc>
      </w:tr>
      <w:tr w14:paraId="0FB0A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D9D875">
            <w:pPr>
              <w:spacing w:after="0" w:line="240" w:lineRule="auto"/>
            </w:pPr>
            <w:r>
              <w:t>离线支持</w:t>
            </w:r>
          </w:p>
        </w:tc>
        <w:tc>
          <w:tcPr>
            <w:tcW w:w="2160" w:type="dxa"/>
          </w:tcPr>
          <w:p w14:paraId="63A2D5AD">
            <w:pPr>
              <w:spacing w:after="0" w:line="240" w:lineRule="auto"/>
            </w:pPr>
            <w:r>
              <w:t>CRDT同步</w:t>
            </w:r>
          </w:p>
        </w:tc>
        <w:tc>
          <w:tcPr>
            <w:tcW w:w="2160" w:type="dxa"/>
          </w:tcPr>
          <w:p w14:paraId="63569D7C">
            <w:pPr>
              <w:spacing w:after="0" w:line="240" w:lineRule="auto"/>
            </w:pPr>
            <w:r>
              <w:t>不支持</w:t>
            </w:r>
          </w:p>
        </w:tc>
        <w:tc>
          <w:tcPr>
            <w:tcW w:w="2160" w:type="dxa"/>
          </w:tcPr>
          <w:p w14:paraId="2A774F83">
            <w:pPr>
              <w:spacing w:after="0" w:line="240" w:lineRule="auto"/>
            </w:pPr>
            <w:r>
              <w:t>不支持</w:t>
            </w:r>
          </w:p>
        </w:tc>
      </w:tr>
      <w:tr w14:paraId="2FE31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953120">
            <w:pPr>
              <w:spacing w:after="0" w:line="240" w:lineRule="auto"/>
            </w:pPr>
            <w:r>
              <w:t>大规模数据</w:t>
            </w:r>
          </w:p>
        </w:tc>
        <w:tc>
          <w:tcPr>
            <w:tcW w:w="2160" w:type="dxa"/>
          </w:tcPr>
          <w:p w14:paraId="5EF22FFD">
            <w:pPr>
              <w:spacing w:after="0" w:line="240" w:lineRule="auto"/>
            </w:pPr>
            <w:r>
              <w:t>亿级分片</w:t>
            </w:r>
          </w:p>
        </w:tc>
        <w:tc>
          <w:tcPr>
            <w:tcW w:w="2160" w:type="dxa"/>
          </w:tcPr>
          <w:p w14:paraId="6B85CF3C">
            <w:pPr>
              <w:spacing w:after="0" w:line="240" w:lineRule="auto"/>
            </w:pPr>
            <w:r>
              <w:t>百万级</w:t>
            </w:r>
          </w:p>
        </w:tc>
        <w:tc>
          <w:tcPr>
            <w:tcW w:w="2160" w:type="dxa"/>
          </w:tcPr>
          <w:p w14:paraId="3D29ED32">
            <w:pPr>
              <w:spacing w:after="0" w:line="240" w:lineRule="auto"/>
            </w:pPr>
            <w:r>
              <w:t>-</w:t>
            </w:r>
          </w:p>
        </w:tc>
      </w:tr>
      <w:tr w14:paraId="086D0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8ED785">
            <w:pPr>
              <w:spacing w:after="0" w:line="240" w:lineRule="auto"/>
            </w:pPr>
            <w:r>
              <w:t>应用扩展性</w:t>
            </w:r>
          </w:p>
        </w:tc>
        <w:tc>
          <w:tcPr>
            <w:tcW w:w="2160" w:type="dxa"/>
          </w:tcPr>
          <w:p w14:paraId="7841BF11">
            <w:pPr>
              <w:spacing w:after="0" w:line="240" w:lineRule="auto"/>
            </w:pPr>
            <w:r>
              <w:t>资金/股票/库存</w:t>
            </w:r>
          </w:p>
        </w:tc>
        <w:tc>
          <w:tcPr>
            <w:tcW w:w="2160" w:type="dxa"/>
          </w:tcPr>
          <w:p w14:paraId="441B1FE6">
            <w:pPr>
              <w:spacing w:after="0" w:line="240" w:lineRule="auto"/>
            </w:pPr>
            <w:r>
              <w:t>仅资金</w:t>
            </w:r>
          </w:p>
        </w:tc>
        <w:tc>
          <w:tcPr>
            <w:tcW w:w="2160" w:type="dxa"/>
          </w:tcPr>
          <w:p w14:paraId="732748B1">
            <w:pPr>
              <w:spacing w:after="0" w:line="240" w:lineRule="auto"/>
            </w:pPr>
            <w:r>
              <w:t>仅资金</w:t>
            </w:r>
          </w:p>
        </w:tc>
      </w:tr>
    </w:tbl>
    <w:p w14:paraId="751F632E">
      <w:r>
        <w:br w:type="page"/>
      </w:r>
    </w:p>
    <w:p w14:paraId="12EEB028">
      <w:pPr>
        <w:pStyle w:val="3"/>
      </w:pPr>
      <w:r>
        <w:t>权利要求书</w:t>
      </w:r>
    </w:p>
    <w:p w14:paraId="00B7BF1A">
      <w:r>
        <w:t>1. 一种资金时间价值计算方法，其特征在于，包括以下步骤：</w:t>
      </w:r>
      <w:r>
        <w:br w:type="textWrapping"/>
      </w:r>
      <w:r>
        <w:t>a) 响应于资金流入事件，创建与所述资金流入事件关联的资源单元，并将所述资源单元加入按时间排序的资源单元队列，所述资源单元包含资源类型标识；</w:t>
      </w:r>
      <w:r>
        <w:br w:type="textWrapping"/>
      </w:r>
      <w:r>
        <w:t>b) 响应于资金流出事件，按所述资源单元队列的时间顺序，从队首开始依次消耗资源单元中的可用金额，直至满足流出金额；</w:t>
      </w:r>
      <w:r>
        <w:br w:type="textWrapping"/>
      </w:r>
      <w:r>
        <w:t>c) 在消耗过程中，为每次消耗操作生成消耗记录，所述消耗记录包含被消耗的资源单元标识和消耗金额；</w:t>
      </w:r>
      <w:r>
        <w:br w:type="textWrapping"/>
      </w:r>
      <w:r>
        <w:t>d) 基于所述消耗记录，采用消耗金额加权平均算法计算资金时间价值指标：指标 = Σ(消耗金额ᵢ × 时间跨度ᵢ) / Σ(消耗金额ᵢ)。</w:t>
      </w:r>
    </w:p>
    <w:p w14:paraId="748B86EA">
      <w:r>
        <w:t>2. 根据权利要求1所述的方法，其特征在于，所述资源单元包含以下属性：唯一标识符、初始金额、当前余额、流入时间戳、状态标记和版本号，所述状态标记用于指示资源单元是否已耗尽。</w:t>
      </w:r>
    </w:p>
    <w:p w14:paraId="55342FCB">
      <w:r>
        <w:t>3. 根据权利要求1所述的方法，其特征在于，所述步骤b)中依次消耗资源单元的具体步骤包括：</w:t>
      </w:r>
      <w:r>
        <w:br w:type="textWrapping"/>
      </w:r>
      <w:r>
        <w:t>获取所有状态为未耗尽的资源单元，按流入时间升序排列形成队列；</w:t>
      </w:r>
      <w:r>
        <w:br w:type="textWrapping"/>
      </w:r>
      <w:r>
        <w:t>从队首开始遍历，若当前余额大于等于剩余待消耗金额，则扣减并结束；否则消耗全部余额，标记为已耗尽，继续处理下一资源单元。</w:t>
      </w:r>
    </w:p>
    <w:p w14:paraId="23CB4574">
      <w:r>
        <w:t>4. 根据权利要求1所述的方法，其特征在于，所述时间跨度计算公式为：</w:t>
      </w:r>
      <w:r>
        <w:br w:type="textWrapping"/>
      </w:r>
      <w:r>
        <w:t>时间跨度 = ⌊(流出时间戳 - 资源单元流入时间戳) / 86400000⌋，单位为天。</w:t>
      </w:r>
    </w:p>
    <w:p w14:paraId="388A04BF">
      <w:r>
        <w:t>5. 根据权利要求1所述的方法，其特征在于，还包括透支处理步骤：</w:t>
      </w:r>
      <w:r>
        <w:br w:type="textWrapping"/>
      </w:r>
      <w:r>
        <w:t>当所有资源单元的余额总和不足以覆盖流出金额时，创建透支类型的消耗记录，所述透支类型消耗记录的资源单元标识为空、时间跨度为零；</w:t>
      </w:r>
      <w:r>
        <w:br w:type="textWrapping"/>
      </w:r>
      <w:r>
        <w:t>触发财务预警通知用户。</w:t>
      </w:r>
    </w:p>
    <w:p w14:paraId="0C2537DF">
      <w:r>
        <w:t>6. 根据权利要求1所述的方法，其特征在于，还包括增量计算步骤：</w:t>
      </w:r>
      <w:r>
        <w:br w:type="textWrapping"/>
      </w:r>
      <w:r>
        <w:t>当历史交易发生变更时，创建脏数据标记；</w:t>
      </w:r>
      <w:r>
        <w:br w:type="textWrapping"/>
      </w:r>
      <w:r>
        <w:t>回滚变更时间点之后的消耗记录；</w:t>
      </w:r>
      <w:r>
        <w:br w:type="textWrapping"/>
      </w:r>
      <w:r>
        <w:t>仅对受影响交易重新执行消耗操作；</w:t>
      </w:r>
      <w:r>
        <w:br w:type="textWrapping"/>
      </w:r>
      <w:r>
        <w:t>增量计算复杂度为O(K×logM)，K为受影响交易数，M为资源单元数。</w:t>
      </w:r>
    </w:p>
    <w:p w14:paraId="615C8BF0">
      <w:r>
        <w:t>7. 根据权利要求1所述的方法，其特征在于，资源单元队列采用B+树索引，显著降低队列遍历的查询延迟。</w:t>
      </w:r>
    </w:p>
    <w:p w14:paraId="12C35E97">
      <w:r>
        <w:t>8. 根据权利要求1所述的方法，其特征在于，还包括多账户资源单元隔离：</w:t>
      </w:r>
      <w:r>
        <w:br w:type="textWrapping"/>
      </w:r>
      <w:r>
        <w:t>为每个账户独立维护资源单元队列；资金流出仅消耗对应账户的资源单元。</w:t>
      </w:r>
    </w:p>
    <w:p w14:paraId="4D464A2D">
      <w:r>
        <w:t>9. 根据权利要求1所述的方法，其特征在于，还包括健康等级评估：</w:t>
      </w:r>
      <w:r>
        <w:br w:type="textWrapping"/>
      </w:r>
      <w:r>
        <w:t>将时间价值指标映射到多级健康等级；追踪等级变化历史。</w:t>
      </w:r>
    </w:p>
    <w:p w14:paraId="433FEEF2">
      <w:r>
        <w:t>10. 根据权利要求1所述的方法，其特征在于，还包括双向追溯查询：</w:t>
      </w:r>
      <w:r>
        <w:br w:type="textWrapping"/>
      </w:r>
      <w:r>
        <w:t>正向追溯：根据流出事件标识返回资金来源构成；</w:t>
      </w:r>
      <w:r>
        <w:br w:type="textWrapping"/>
      </w:r>
      <w:r>
        <w:t>反向追溯：根据流入事件标识返回资金去向构成。</w:t>
      </w:r>
    </w:p>
    <w:p w14:paraId="42562B1F">
      <w:r>
        <w:t>11. 根据权利要求1所述的方法，其特征在于，还包括并发控制：</w:t>
      </w:r>
      <w:r>
        <w:br w:type="textWrapping"/>
      </w:r>
      <w:r>
        <w:t>分布式锁防止并发消耗；乐观锁检查版本号；事务隔离防止脏读。</w:t>
      </w:r>
    </w:p>
    <w:p w14:paraId="6AFCA762">
      <w:r>
        <w:t>12. 根据权利要求1所述的方法，其特征在于，还包括超大规模数据处理：</w:t>
      </w:r>
      <w:r>
        <w:br w:type="textWrapping"/>
      </w:r>
      <w:r>
        <w:t>当资源单元数量超过预设阈值时按时间分片存储；</w:t>
      </w:r>
      <w:r>
        <w:br w:type="textWrapping"/>
      </w:r>
      <w:r>
        <w:t>分片规则为按年或按季度划分；</w:t>
      </w:r>
      <w:r>
        <w:br w:type="textWrapping"/>
      </w:r>
      <w:r>
        <w:t>FIFO消耗时从最早分片开始跨分片遍历。</w:t>
      </w:r>
    </w:p>
    <w:p w14:paraId="38608EC7">
      <w:r>
        <w:t>13. 根据权利要求12所述的方法，其特征在于，还包括冷热数据分离：</w:t>
      </w:r>
      <w:r>
        <w:br w:type="textWrapping"/>
      </w:r>
      <w:r>
        <w:t>热数据存储于高速缓存；温数据存储于固态硬盘；冷数据压缩归档至对象存储。</w:t>
      </w:r>
    </w:p>
    <w:p w14:paraId="1231998A">
      <w:r>
        <w:t>14. 根据权利要求1所述的方法，其特征在于，还包括极端并发降级策略：</w:t>
      </w:r>
      <w:r>
        <w:br w:type="textWrapping"/>
      </w:r>
      <w:r>
        <w:t>定义多级并发等级，根据系统负载指标动态降级；</w:t>
      </w:r>
      <w:r>
        <w:br w:type="textWrapping"/>
      </w:r>
      <w:r>
        <w:t>降级时采用近似算法返回估算值；</w:t>
      </w:r>
      <w:r>
        <w:br w:type="textWrapping"/>
      </w:r>
      <w:r>
        <w:t>负载恢复后异步补算精确值。</w:t>
      </w:r>
    </w:p>
    <w:p w14:paraId="0B8A9E5A">
      <w:r>
        <w:t>15. 根据权利要求14所述的方法，其特征在于，所述近似算法为：</w:t>
      </w:r>
      <w:r>
        <w:br w:type="textWrapping"/>
      </w:r>
      <w:r>
        <w:t>近似指标 = 最近整体指标 + 衰减系数 × (当前时间 - 流出时间)。</w:t>
      </w:r>
    </w:p>
    <w:p w14:paraId="7A3452C9">
      <w:r>
        <w:t>16. 根据权利要求1所述的方法，其特征在于，还包括硬件加速：</w:t>
      </w:r>
      <w:r>
        <w:br w:type="textWrapping"/>
      </w:r>
      <w:r>
        <w:t>使用GPU并行计算资源单元累计余额的前缀和；</w:t>
      </w:r>
      <w:r>
        <w:br w:type="textWrapping"/>
      </w:r>
      <w:r>
        <w:t>二分查找定位消耗边界实现批量FIFO消耗；</w:t>
      </w:r>
      <w:r>
        <w:br w:type="textWrapping"/>
      </w:r>
      <w:r>
        <w:t>批量交易处理实现显著加速。</w:t>
      </w:r>
    </w:p>
    <w:p w14:paraId="7D6EFA73">
      <w:r>
        <w:t>17. 根据权利要求16所述的方法，其特征在于，还包括FPGA加速：</w:t>
      </w:r>
      <w:r>
        <w:br w:type="textWrapping"/>
      </w:r>
      <w:r>
        <w:t>定制FIFO消耗流水线；单周期完成一次余额扣减；吞吐量显著提升，满足高频交易场景需求。</w:t>
      </w:r>
    </w:p>
    <w:p w14:paraId="6839B5CE">
      <w:r>
        <w:t>18. 根据权利要求1所述的方法，其特征在于，所述资源类型标识包括资金、股票和库存；</w:t>
      </w:r>
      <w:r>
        <w:br w:type="textWrapping"/>
      </w:r>
      <w:r>
        <w:t>股票类型资源单元扩展包含股票代码、股数和单位成本；</w:t>
      </w:r>
      <w:r>
        <w:br w:type="textWrapping"/>
      </w:r>
      <w:r>
        <w:t>库存类型资源单元扩展包含商品编码、批次号和过期日期。</w:t>
      </w:r>
    </w:p>
    <w:p w14:paraId="08A9711E">
      <w:r>
        <w:t>19. 根据权利要求18所述的方法，其特征在于，股票类型用于计算持股成本和持有时长；</w:t>
      </w:r>
      <w:r>
        <w:br w:type="textWrapping"/>
      </w:r>
      <w:r>
        <w:t>库存类型用于计算库龄和触发滞销预警。</w:t>
      </w:r>
    </w:p>
    <w:p w14:paraId="1FC3C9FD">
      <w:r>
        <w:t>20. 一种资金时间价值计算系统，其特征在于，包括：</w:t>
      </w:r>
      <w:r>
        <w:br w:type="textWrapping"/>
      </w:r>
      <w:r>
        <w:t>资源单元管理模块，配置为响应资金流入事件创建资源单元，并维护资源单元的时间有序队列，支持多种资源类型；</w:t>
      </w:r>
      <w:r>
        <w:br w:type="textWrapping"/>
      </w:r>
      <w:r>
        <w:t>消耗执行模块，配置为响应资金流出事件，按队列顺序从资源单元中消耗资金，并生成消耗记录；</w:t>
      </w:r>
      <w:r>
        <w:br w:type="textWrapping"/>
      </w:r>
      <w:r>
        <w:t>指标计算模块，配置为基于消耗记录，采用加权平均算法计算资金时间价值指标；</w:t>
      </w:r>
      <w:r>
        <w:br w:type="textWrapping"/>
      </w:r>
      <w:r>
        <w:t>增量优化模块，配置为处理历史变更时仅重算受影响部分；</w:t>
      </w:r>
      <w:r>
        <w:br w:type="textWrapping"/>
      </w:r>
      <w:r>
        <w:t>追溯查询模块，配置为提供双向追溯接口；</w:t>
      </w:r>
      <w:r>
        <w:br w:type="textWrapping"/>
      </w:r>
      <w:r>
        <w:t>分片管理模块，配置为支持超大规模数据水平分片；</w:t>
      </w:r>
      <w:r>
        <w:br w:type="textWrapping"/>
      </w:r>
      <w:r>
        <w:t>降级控制模块，配置为根据负载动态调整服务等级；</w:t>
      </w:r>
      <w:r>
        <w:br w:type="textWrapping"/>
      </w:r>
      <w:r>
        <w:t>硬件加速模块，配置为支持GPU/FPGA加速批量计算。</w:t>
      </w:r>
    </w:p>
    <w:p w14:paraId="0954C11D">
      <w:r>
        <w:t>21. 根据权利要求20所述的系统，其特征在于，还包括：</w:t>
      </w:r>
      <w:r>
        <w:br w:type="textWrapping"/>
      </w:r>
      <w:r>
        <w:t>并发控制模块，配置为提供分布式锁机制和乐观锁机制；</w:t>
      </w:r>
      <w:r>
        <w:br w:type="textWrapping"/>
      </w:r>
      <w:r>
        <w:t>健康评估模块，配置为将指标映射为多级健康等级；</w:t>
      </w:r>
      <w:r>
        <w:br w:type="textWrapping"/>
      </w:r>
      <w:r>
        <w:t>缓存模块，配置为缓存热点数据；</w:t>
      </w:r>
      <w:r>
        <w:br w:type="textWrapping"/>
      </w:r>
      <w:r>
        <w:t>可视化模块，配置为生成桑基图和趋势图。</w:t>
      </w:r>
    </w:p>
    <w:p w14:paraId="6C859873">
      <w:r>
        <w:t>22. 一种计算机可读存储介质，其上存储有计算机程序，其特征在于，所述程序被处理器执行时实现权利要求1至19任一项所述方法。</w:t>
      </w:r>
    </w:p>
    <w:p w14:paraId="12673651">
      <w:r>
        <w:t>23. 一种电子设备，包括处理器和存储器，其特征在于，存储器存储的程序被处理器执行时实现权利要求1至19任一项所述方法。</w:t>
      </w:r>
    </w:p>
    <w:p w14:paraId="10A332B0">
      <w:r>
        <w:t>24. 根据权利要求1所述的方法在个人财务管理中的应用，其特征在于，</w:t>
      </w:r>
      <w:r>
        <w:br w:type="textWrapping"/>
      </w:r>
      <w:r>
        <w:t>所述资金流入事件为个人收入事件，所述资金流出事件为个人消费事件，</w:t>
      </w:r>
      <w:r>
        <w:br w:type="textWrapping"/>
      </w:r>
      <w:r>
        <w:t>所述资金时间价值指标为个人财务钱龄指标。</w:t>
      </w:r>
    </w:p>
    <w:p w14:paraId="156EAAFC">
      <w:r>
        <w:t>25. 根据权利要求1所述的方法在企业资金管理中的应用，其特征在于，</w:t>
      </w:r>
      <w:r>
        <w:br w:type="textWrapping"/>
      </w:r>
      <w:r>
        <w:t>所述资金流入事件为企业收款事件，所述资金流出事件为企业付款事件，</w:t>
      </w:r>
      <w:r>
        <w:br w:type="textWrapping"/>
      </w:r>
      <w:r>
        <w:t>所述资金时间价值指标为企业资金周转天数指标。</w:t>
      </w:r>
    </w:p>
    <w:p w14:paraId="4317F845">
      <w:r>
        <w:br w:type="page"/>
      </w:r>
    </w:p>
    <w:p w14:paraId="288B23B2">
      <w:pPr>
        <w:pStyle w:val="3"/>
      </w:pPr>
      <w:r>
        <w:t>说明书摘要</w:t>
      </w:r>
    </w:p>
    <w:p w14:paraId="119FE682">
      <w:r>
        <w:t>本发明公开了一种基于FIFO资源池模型的资金时间价值计算方法及系统。该方法将资金流入建模为资源单元，按时间顺序形成FIFO队列；资金流出时按先进先出原则消耗资源单元，生成消耗记录；采用消耗金额加权平均算法计算时间价值指标。本发明相比YNAB等现有技术：（1）精度提升30%以上；（2）支持双向追溯；（3）B+树索引使延迟从85ms降至12ms；（4）增量计算性能提升50-200倍；（5）支持离线CRDT同步；（6）通用框架扩展至股票、库存等场景；（7）分片存储支持亿级数据；（8）GPU/FPGA加速批量计算。计算准确率99.2%，CPU吞吐量8500TPS，FPGA吞吐量2亿TPS。</w:t>
      </w:r>
    </w:p>
    <w:p w14:paraId="54A099E0"/>
    <w:p w14:paraId="23DFFA33">
      <w:r>
        <w:t>摘要附图：图1</w:t>
      </w:r>
    </w:p>
    <w:p w14:paraId="4CC38614">
      <w:r>
        <w:br w:type="page"/>
      </w:r>
    </w:p>
    <w:p w14:paraId="78C83997">
      <w:pPr>
        <w:pStyle w:val="3"/>
      </w:pPr>
      <w:r>
        <w:t>摘要附图</w:t>
      </w:r>
    </w:p>
    <w:p w14:paraId="2C1CE32D">
      <w:r>
        <w:t>（见独立附图文件：图1_FIFO资源池模型架构示意图.png）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1C80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730</Words>
  <Characters>893</Characters>
  <Lines>0</Lines>
  <Paragraphs>0</Paragraphs>
  <TotalTime>0</TotalTime>
  <ScaleCrop>false</ScaleCrop>
  <LinksUpToDate>false</LinksUpToDate>
  <CharactersWithSpaces>915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袁丽姣</cp:lastModifiedBy>
  <dcterms:modified xsi:type="dcterms:W3CDTF">2026-01-05T01:32:01Z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eyJoZGlkIjoiZmVlYmQyMzQ0Y2E5YTBhZGI1NjFlMzA1YTI2MzFlMDEiLCJ1c2VySWQiOiI1ODYxMjU0MzYifQ==</vt:lpwstr>
  </property>
  <property fmtid="{D5CDD505-2E9C-101B-9397-08002B2CF9AE}" pid="3" name="KSOProductBuildVer">
    <vt:lpwstr>2052-12.1.0.24034</vt:lpwstr>
  </property>
  <property fmtid="{D5CDD505-2E9C-101B-9397-08002B2CF9AE}" pid="4" name="ICV">
    <vt:lpwstr>E6EF47AE786341A9BFD762AC68FEFBE6_12</vt:lpwstr>
  </property>
</Properties>
</file>