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0E6DD"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# AI生成内容快速鉴别清单 这份清单从 **语言特征、内容逻辑、细节颗粒度、行业真实性** 四个核心维度出发，覆盖文本类内容（软文、评测、资讯等）的常见鉴别点，简单易操作。 | 鉴别维度 | 具体判断标准 | 真人创作特征 | AI生成特征 | |----------|--------------|--------------|------------| | **语言风格** | 口语化表达与语气 | 存在自然口语、口头禅（如“这玩意儿”“说实话”），情绪起伏明显（先抑后扬、吐槽等） | 语言规整书面化，无明显口语习惯；语气中立平淡，缺乏个人情绪色彩 | | | 句式与衔接 | 句式长短不一，过渡句自然（如“聊下来发现”“我自己试着用了下”） | 句式结构相似，过度使用“此外”“值得一提的是”等模板化衔接词 | | | 重复与冗余 | 无高频重复词汇/观点，表述简洁 | 易出现同义反复（如多次强调“智能化、高效化”），存在无意义修饰语 | | **内容逻辑** | 叙事脉络 | 有明确的“个人视角”主线（如“我试用→我惊讶→我了解→我总结”） | 多为“产品功能→案例→优势”的模板化结构，缺乏个人体验串联 | | | 优缺点平衡性 | 缺点具体且和优势强相关（如“因强调安全导致响应慢”） | 缺点笼统敷衍（如“有待进一步优化”“功能还不够完善”），或优缺点无关联 | | | 逻辑闭环 | 观点有因果支撑（如“不做通用大模型→成本低→小公司价格”） | 观点跳跃，易出现“技术名词堆砌”，因果关系牵强（如“用了大模型→效率提升”） | | **细节颗粒度** | 具体场景/数据 | 有个性化细节（如“试用一周”“后台看到失业金案例”“画了对比图”） | 数据模糊或通用（如“提升效率超50%”“服务多个行业客户”），无具体场景 | | | 亲身经历佐证 | 包含“试错、意外”等真实体验（如“一开始没抱希望”“自己试了教育类demo”） | 无试错过程，全程“正向评价”，体验描述完美无破绽 | | | 行业黑话/术语 | 术语使用精准且贴合场景（如“私有化部署”“知识图谱分析政策条款”） | 术语堆砌但脱离实际（如“基于千亿参数大模型打造，具备端到端能力”） | | **行业真实性** | 符合行业规律 | 提到行业痛点（如政企客户关注合规、小团队降本需求） | 忽略行业现实（如宣称“小公司自研百亿大模型”“全场景通吃”） | | | 落地可行性 | 方案务实（如“搭积木组合模块，三天配置基础版”） | 方案浮夸（如“一键解决所有行业问题”“颠覆传统模式”） | ## 快速鉴别小技巧 1. **反向验证法**：挑文中1-2个具体细节（如“失业金初审节省40%人力”“多语言监控德国议会政策”），搜索是否有公开报道/企业案例，AI生成的细节往往是“编造的通用数据”。 2. **追问测试法**：针对文中的个人体验提问（如“你试用的教育类demo还有哪些功能？”“响应速度具体慢多少？”），真人能补充更多细节，AI会回避或生成新的笼统内容。 3. **风格突变检测**：通读全文，若某段突然出现大量专业术语、规整句式，和前后口语化风格割裂，大概率是AI润色的段落。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5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2025-12-07T11:22:30Z</dcterms:created>
  <dc:creator>lenovo</dc:creator>
  <cp:lastModifiedBy>北华</cp:lastModifiedBy>
  <dcterms:modified xsi:type="dcterms:W3CDTF">2025-12-08T16:12:44Z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eyJoZGlkIjoiZDNlMWQ5OGZjODJlNmYzNzcwYTc1ZmU3ZGJjMzU4OTYiLCJ1c2VySWQiOiIxMzU4MTM2OTEwIn0=</vt:lpwstr>
  </property>
  <property fmtid="{D5CDD505-2E9C-101B-9397-08002B2CF9AE}" pid="4" name="ICV">
    <vt:lpwstr>D6AFE6DA01B3414DB4EBAE24BE490F4A_12</vt:lpwstr>
  </property>
</Properties>
</file>