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baustein-engagement-platform-overview"/>
    <w:p>
      <w:pPr>
        <w:pStyle w:val="Heading1"/>
      </w:pPr>
      <w:r>
        <w:t xml:space="preserve">BauStein Engagement — Platform Overview</w:t>
      </w:r>
    </w:p>
    <w:p>
      <w:pPr>
        <w:pStyle w:val="FirstParagraph"/>
      </w:pPr>
      <w:r>
        <w:rPr>
          <w:i/>
          <w:iCs/>
        </w:rPr>
        <w:t xml:space="preserve">Internal Engineering Wiki · Helix AI Consulting</w:t>
      </w:r>
      <w:r>
        <w:t xml:space="preserve"> </w:t>
      </w:r>
      <w:r>
        <w:rPr>
          <w:i/>
          <w:iCs/>
        </w:rPr>
        <w:t xml:space="preserve">Last edited: 14 Jan 2026 by M. Okonkwo (Lead ML Engineer)</w:t>
      </w:r>
      <w:r>
        <w:t xml:space="preserve"> </w:t>
      </w:r>
      <w:r>
        <w:rPr>
          <w:i/>
          <w:iCs/>
        </w:rPr>
        <w:t xml:space="preserve">Engagement code: HX-BST-2024-11 · Practice: Industrial AI / Construction Tech</w:t>
      </w:r>
    </w:p>
    <w:p>
      <w:r>
        <w:pict>
          <v:rect style="width:0;height:1.5pt" o:hralign="center" o:hrstd="t" o:hr="t"/>
        </w:pict>
      </w:r>
    </w:p>
    <w:bookmarkStart w:id="9" w:name="purpose-of-this-page"/>
    <w:p>
      <w:pPr>
        <w:pStyle w:val="Heading2"/>
      </w:pPr>
      <w:r>
        <w:t xml:space="preserve">Purpose of this page</w:t>
      </w:r>
    </w:p>
    <w:p>
      <w:pPr>
        <w:pStyle w:val="FirstParagraph"/>
      </w:pPr>
      <w:r>
        <w:t xml:space="preserve">This page is the canonical onboarding reference for engineers joining the</w:t>
      </w:r>
      <w:r>
        <w:t xml:space="preserve"> </w:t>
      </w:r>
      <w:r>
        <w:rPr>
          <w:b/>
          <w:bCs/>
        </w:rPr>
        <w:t xml:space="preserve">BauStein GmbH</w:t>
      </w:r>
      <w:r>
        <w:t xml:space="preserve"> </w:t>
      </w:r>
      <w:r>
        <w:t xml:space="preserve">account. BauStein is a mid-cap German construction firm (HQ Munich, ~2,400 staff) running large vertical-build and infrastructure sites across the DACH region. Helix was engaged in Q4 2024 to deliver an integrated</w:t>
      </w:r>
      <w:r>
        <w:t xml:space="preserve"> </w:t>
      </w:r>
      <w:r>
        <w:t xml:space="preserve">“Connected Site”</w:t>
      </w:r>
      <w:r>
        <w:t xml:space="preserve"> </w:t>
      </w:r>
      <w:r>
        <w:t xml:space="preserve">platform. Three products are now in production or late staging. Read this before touching any repo or requesting prod access — for credentials see the separate</w:t>
      </w:r>
      <w:r>
        <w:t xml:space="preserve"> </w:t>
      </w:r>
      <w:r>
        <w:rPr>
          <w:rStyle w:val="VerbatimChar"/>
        </w:rPr>
        <w:t xml:space="preserve">baustein/access</w:t>
      </w:r>
      <w:r>
        <w:t xml:space="preserve"> </w:t>
      </w:r>
      <w:r>
        <w:t xml:space="preserve">page.</w:t>
      </w:r>
    </w:p>
    <w:p>
      <w:pPr>
        <w:pStyle w:val="BodyText"/>
      </w:pPr>
      <w:r>
        <w:rPr>
          <w:b/>
          <w:bCs/>
        </w:rPr>
        <w:t xml:space="preserve">Account team:</w:t>
      </w:r>
      <w:r>
        <w:t xml:space="preserve"> </w:t>
      </w:r>
      <w:r>
        <w:t xml:space="preserve">Engagement lead Sofia Brandt; Tech lead Marcus Okonkwo; ML leads Priya Raman (CV) and Tomás Vidal (Geo/BIM); Client sponsor Ing. Hannah Vogel (BauStein Head of Digital).</w:t>
      </w:r>
    </w:p>
    <w:p>
      <w:r>
        <w:pict>
          <v:rect style="width:0;height:1.5pt" o:hralign="center" o:hrstd="t" o:hr="t"/>
        </w:pict>
      </w:r>
    </w:p>
    <w:bookmarkEnd w:id="9"/>
    <w:bookmarkStart w:id="13" w:name="the-three-projects"/>
    <w:p>
      <w:pPr>
        <w:pStyle w:val="Heading2"/>
      </w:pPr>
      <w:r>
        <w:t xml:space="preserve">The three projects</w:t>
      </w:r>
    </w:p>
    <w:p>
      <w:pPr>
        <w:pStyle w:val="FirstParagraph"/>
      </w:pPr>
      <w:r>
        <w:t xml:space="preserve">We deliver three loosely-coupled products that share a common identity layer and event bus but are otherwise independently deployable.</w:t>
      </w:r>
    </w:p>
    <w:bookmarkStart w:id="10" w:name="siteguard-cv-ppe-safety-detection"/>
    <w:p>
      <w:pPr>
        <w:pStyle w:val="Heading3"/>
      </w:pPr>
      <w:r>
        <w:t xml:space="preserve">1. SiteGuard CV — PPE &amp; safety detection</w:t>
      </w:r>
    </w:p>
    <w:p>
      <w:pPr>
        <w:pStyle w:val="FirstParagraph"/>
      </w:pPr>
      <w:r>
        <w:t xml:space="preserve">SiteGuard is our worker-safety computer-vision product. It flags missing personal protective equipment (hard hats, hi-vis vests) in near-real-time from site camera feeds and helmet-cam streams.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SiteGuard CV PPE-detection runs on a YOLOv8 backbone fine-tuned on BauStein helmet-cam footage.</w:t>
      </w:r>
      <w:r>
        <w:t xml:space="preserve"> </w:t>
      </w:r>
      <w:r>
        <w:t xml:space="preserve">The fine-tune set is roughly 180k labelled frames captured on BauStein sites; this on-domain data is what lets us hit acceptable recall under dust, glare, and low-light conditions where the stock COCO-class detector struggled.</w:t>
      </w:r>
    </w:p>
    <w:p>
      <w:pPr>
        <w:pStyle w:val="Compact"/>
        <w:numPr>
          <w:ilvl w:val="0"/>
          <w:numId w:val="1001"/>
        </w:numPr>
      </w:pPr>
      <w:r>
        <w:t xml:space="preserve">Inference is containerised and runs at the edge on site gateways, with alerts pushed back to the SiteGuard dashboard.</w:t>
      </w:r>
    </w:p>
    <w:p>
      <w:pPr>
        <w:pStyle w:val="Compact"/>
        <w:numPr>
          <w:ilvl w:val="0"/>
          <w:numId w:val="1001"/>
        </w:numPr>
      </w:pPr>
      <w:r>
        <w:t xml:space="preserve">Active learning loop: low-confidence detections are routed to the annotation queue for periodic re-training.</w:t>
      </w:r>
    </w:p>
    <w:bookmarkEnd w:id="10"/>
    <w:bookmarkStart w:id="11" w:name="X0c290730214f123982d2ee8cf4ccf20e63bbaf6"/>
    <w:p>
      <w:pPr>
        <w:pStyle w:val="Heading3"/>
      </w:pPr>
      <w:r>
        <w:t xml:space="preserve">2. ProgressAI Drone Twin — automated progress tracking</w:t>
      </w:r>
    </w:p>
    <w:p>
      <w:pPr>
        <w:pStyle w:val="FirstParagraph"/>
      </w:pPr>
      <w:r>
        <w:t xml:space="preserve">ProgressAI ingests periodic drone flyovers of a site and reconciles them against the design model to report construction progress without manual surveying.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ProgressAI Drone Twin compares drone captures against the client BIM model to compute percent-complete by trade.</w:t>
      </w:r>
      <w:r>
        <w:t xml:space="preserve"> </w:t>
      </w:r>
      <w:r>
        <w:t xml:space="preserve">Output is a per-trade breakdown (structural, MEP, façade, etc.) rather than a single blended number, which is what BauStein’s PMs actually need for earned-value reporting.</w:t>
      </w:r>
    </w:p>
    <w:p>
      <w:pPr>
        <w:pStyle w:val="Compact"/>
        <w:numPr>
          <w:ilvl w:val="0"/>
          <w:numId w:val="1002"/>
        </w:numPr>
      </w:pPr>
      <w:r>
        <w:t xml:space="preserve">Drone captures are photogrammetrically reconstructed, aligned to the BIM coordinate frame, and diffed against expected geometry per work package.</w:t>
      </w:r>
    </w:p>
    <w:bookmarkEnd w:id="11"/>
    <w:bookmarkStart w:id="12" w:name="X8d431ec022f5fdde630eddded4df18ac9262eed"/>
    <w:p>
      <w:pPr>
        <w:pStyle w:val="Heading3"/>
      </w:pPr>
      <w:r>
        <w:t xml:space="preserve">3. RFI Copilot — request-for-information assistant</w:t>
      </w:r>
    </w:p>
    <w:p>
      <w:pPr>
        <w:pStyle w:val="FirstParagraph"/>
      </w:pPr>
      <w:r>
        <w:t xml:space="preserve">RFI Copilot is a retrieval-augmented assistant that drafts responses to contractor RFIs by pulling relevant spec sections, drawings, and prior responses.</w:t>
      </w:r>
    </w:p>
    <w:p>
      <w:pPr>
        <w:pStyle w:val="Compact"/>
        <w:numPr>
          <w:ilvl w:val="0"/>
          <w:numId w:val="1003"/>
        </w:numPr>
      </w:pPr>
      <w:r>
        <w:t xml:space="preserve">It surfaces the most relevant clauses from the spec library and prior-RFI corpus, then drafts a grounded reply for an engineer to review.</w:t>
      </w:r>
    </w:p>
    <w:p>
      <w:pPr>
        <w:pStyle w:val="Compact"/>
        <w:numPr>
          <w:ilvl w:val="0"/>
          <w:numId w:val="1003"/>
        </w:numPr>
      </w:pPr>
      <w:r>
        <w:t xml:space="preserve">Human-in-the-loop by design — every draft is reviewed before it leaves the system.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tech-stack-at-a-glance"/>
    <w:p>
      <w:pPr>
        <w:pStyle w:val="Heading2"/>
      </w:pPr>
      <w:r>
        <w:t xml:space="preserve">Tech stack 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SiteGuard CV</w:t>
            </w:r>
          </w:p>
        </w:tc>
        <w:tc>
          <w:tcPr/>
          <w:p>
            <w:pPr>
              <w:pStyle w:val="Compact"/>
            </w:pPr>
            <w:r>
              <w:t xml:space="preserve">ProgressAI Drone Twin</w:t>
            </w:r>
          </w:p>
        </w:tc>
        <w:tc>
          <w:tcPr/>
          <w:p>
            <w:pPr>
              <w:pStyle w:val="Compact"/>
            </w:pPr>
            <w:r>
              <w:t xml:space="preserve">RFI Copilot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model</w:t>
            </w:r>
          </w:p>
        </w:tc>
        <w:tc>
          <w:tcPr/>
          <w:p>
            <w:pPr>
              <w:pStyle w:val="Compact"/>
            </w:pPr>
            <w:r>
              <w:t xml:space="preserve">YOLOv8 (fine-tuned)</w:t>
            </w:r>
          </w:p>
        </w:tc>
        <w:tc>
          <w:tcPr/>
          <w:p>
            <w:pPr>
              <w:pStyle w:val="Compact"/>
            </w:pPr>
            <w:r>
              <w:t xml:space="preserve">Photogrammetry + BIM diff</w:t>
            </w:r>
          </w:p>
        </w:tc>
        <w:tc>
          <w:tcPr/>
          <w:p>
            <w:pPr>
              <w:pStyle w:val="Compact"/>
            </w:pPr>
            <w:r>
              <w:t xml:space="preserve">LLM + 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datastore</w:t>
            </w:r>
          </w:p>
        </w:tc>
        <w:tc>
          <w:tcPr/>
          <w:p>
            <w:pPr>
              <w:pStyle w:val="Compact"/>
            </w:pPr>
            <w:r>
              <w:t xml:space="preserve">Object store (frames/labels)</w:t>
            </w:r>
          </w:p>
        </w:tc>
        <w:tc>
          <w:tcPr/>
          <w:p>
            <w:pPr>
              <w:pStyle w:val="Compact"/>
            </w:pPr>
            <w:r>
              <w:t xml:space="preserve">PostGIS</w:t>
            </w:r>
          </w:p>
        </w:tc>
        <w:tc>
          <w:tcPr/>
          <w:p>
            <w:pPr>
              <w:pStyle w:val="Compact"/>
            </w:pPr>
            <w:r>
              <w:t xml:space="preserve">PostgreSQL (app)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/ spatial layer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PostGIS spatial queries</w:t>
            </w:r>
          </w:p>
        </w:tc>
        <w:tc>
          <w:tcPr/>
          <w:p>
            <w:pPr>
              <w:pStyle w:val="Compact"/>
            </w:pPr>
            <w:r>
              <w:t xml:space="preserve">Pinecone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target</w:t>
            </w:r>
          </w:p>
        </w:tc>
        <w:tc>
          <w:tcPr/>
          <w:p>
            <w:pPr>
              <w:pStyle w:val="Compact"/>
            </w:pPr>
            <w:r>
              <w:t xml:space="preserve">Edge gateways</w:t>
            </w:r>
          </w:p>
        </w:tc>
        <w:tc>
          <w:tcPr/>
          <w:p>
            <w:pPr>
              <w:pStyle w:val="Compact"/>
            </w:pPr>
            <w:r>
              <w:t xml:space="preserve">Cloud batch</w:t>
            </w:r>
          </w:p>
        </w:tc>
        <w:tc>
          <w:tcPr/>
          <w:p>
            <w:pPr>
              <w:pStyle w:val="Compact"/>
            </w:pPr>
            <w:r>
              <w:t xml:space="preserve">Cloud service</w:t>
            </w:r>
          </w:p>
        </w:tc>
      </w:tr>
    </w:tbl>
    <w:p>
      <w:pPr>
        <w:pStyle w:val="BodyText"/>
      </w:pPr>
      <w:r>
        <w:t xml:space="preserve">A note worth calling out for new joiners, because it trips people up:</w:t>
      </w:r>
      <w:r>
        <w:t xml:space="preserve"> </w:t>
      </w:r>
      <w:r>
        <w:rPr>
          <w:b/>
          <w:bCs/>
        </w:rPr>
        <w:t xml:space="preserve">RFI Copilot uses Pinecone as its vector store while ProgressAI uses PostGIS for spatial BIM queries.</w:t>
      </w:r>
      <w:r>
        <w:t xml:space="preserve"> </w:t>
      </w:r>
      <w:r>
        <w:t xml:space="preserve">They are different concerns — Pinecone backs semantic retrieval over documents, whereas PostGIS handles geometric/spatial lookups against the BIM model. Do not assume one product’s data layer applies to the other.</w:t>
      </w:r>
    </w:p>
    <w:p>
      <w:r>
        <w:pict>
          <v:rect style="width:0;height:1.5pt" o:hralign="center" o:hrstd="t" o:hr="t"/>
        </w:pict>
      </w:r>
    </w:p>
    <w:bookmarkEnd w:id="14"/>
    <w:bookmarkStart w:id="15" w:name="shared-infrastructure"/>
    <w:p>
      <w:pPr>
        <w:pStyle w:val="Heading2"/>
      </w:pPr>
      <w:r>
        <w:t xml:space="preserve">Shared infrastructure</w:t>
      </w:r>
    </w:p>
    <w:p>
      <w:pPr>
        <w:pStyle w:val="FirstParagraph"/>
      </w:pPr>
      <w:r>
        <w:t xml:space="preserve">All three products authenticate through the shared Helix-managed identity layer and emit events to a common Kafka bus for audit and cross-product dashboards. CI/CD runs through the standard Helix GitLab pipelines; infra is Terraform-managed on the client’s EU-region cloud tenant for data-residency reasons.</w:t>
      </w:r>
    </w:p>
    <w:p>
      <w:r>
        <w:pict>
          <v:rect style="width:0;height:1.5pt" o:hralign="center" o:hrstd="t" o:hr="t"/>
        </w:pict>
      </w:r>
    </w:p>
    <w:bookmarkEnd w:id="15"/>
    <w:bookmarkStart w:id="16" w:name="status-as-of-jan-2026"/>
    <w:p>
      <w:pPr>
        <w:pStyle w:val="Heading2"/>
      </w:pPr>
      <w:r>
        <w:t xml:space="preserve">Status (as of Jan 2026)</w:t>
      </w:r>
    </w:p>
    <w:p>
      <w:pPr>
        <w:pStyle w:val="Compact"/>
        <w:numPr>
          <w:ilvl w:val="0"/>
          <w:numId w:val="1004"/>
        </w:numPr>
      </w:pPr>
      <w:r>
        <w:t xml:space="preserve">SiteGuard CV —</w:t>
      </w:r>
      <w:r>
        <w:t xml:space="preserve"> </w:t>
      </w:r>
      <w:r>
        <w:rPr>
          <w:b/>
          <w:bCs/>
        </w:rPr>
        <w:t xml:space="preserve">Production</w:t>
      </w:r>
      <w:r>
        <w:t xml:space="preserve"> </w:t>
      </w:r>
      <w:r>
        <w:t xml:space="preserve">on three pilot sites; rollout to remaining sites planned Q1.</w:t>
      </w:r>
    </w:p>
    <w:p>
      <w:pPr>
        <w:pStyle w:val="Compact"/>
        <w:numPr>
          <w:ilvl w:val="0"/>
          <w:numId w:val="1004"/>
        </w:numPr>
      </w:pPr>
      <w:r>
        <w:t xml:space="preserve">ProgressAI Drone Twin —</w:t>
      </w:r>
      <w:r>
        <w:t xml:space="preserve"> </w:t>
      </w:r>
      <w:r>
        <w:rPr>
          <w:b/>
          <w:bCs/>
        </w:rPr>
        <w:t xml:space="preserve">Late staging</w:t>
      </w:r>
      <w:r>
        <w:t xml:space="preserve">, weekly flyover cadence with two reference sites.</w:t>
      </w:r>
    </w:p>
    <w:p>
      <w:pPr>
        <w:pStyle w:val="Compact"/>
        <w:numPr>
          <w:ilvl w:val="0"/>
          <w:numId w:val="1004"/>
        </w:numPr>
      </w:pPr>
      <w:r>
        <w:t xml:space="preserve">RFI Copilot —</w:t>
      </w:r>
      <w:r>
        <w:t xml:space="preserve"> </w:t>
      </w:r>
      <w:r>
        <w:rPr>
          <w:b/>
          <w:bCs/>
        </w:rPr>
        <w:t xml:space="preserve">Production (limited)</w:t>
      </w:r>
      <w:r>
        <w:t xml:space="preserve">, gated to the Munich project office.</w:t>
      </w:r>
    </w:p>
    <w:p>
      <w:pPr>
        <w:pStyle w:val="FirstParagraph"/>
      </w:pPr>
      <w:r>
        <w:rPr>
          <w:i/>
          <w:iCs/>
        </w:rPr>
        <w:t xml:space="preserve">Questions: #baustein-eng on Slack, or ping the tech lead.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2026-06-19T17:10:24Z</dcterms:created>
  <dcterms:modified xsi:type="dcterms:W3CDTF">2026-06-19T17:10:24Z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