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CB8" w:rsidRPr="00293636" w:rsidRDefault="00293636" w:rsidP="00293636">
      <w:pPr>
        <w:jc w:val="center"/>
        <w:rPr>
          <w:b/>
          <w:u w:val="single"/>
        </w:rPr>
      </w:pPr>
      <w:r w:rsidRPr="00293636">
        <w:rPr>
          <w:b/>
          <w:u w:val="single"/>
        </w:rPr>
        <w:t>Indices of development – Single index measurements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93636" w:rsidTr="00293636">
        <w:tc>
          <w:tcPr>
            <w:tcW w:w="4621" w:type="dxa"/>
          </w:tcPr>
          <w:p w:rsidR="00293636" w:rsidRPr="00293636" w:rsidRDefault="00293636">
            <w:pPr>
              <w:rPr>
                <w:b/>
              </w:rPr>
            </w:pPr>
            <w:r w:rsidRPr="00293636">
              <w:rPr>
                <w:b/>
              </w:rPr>
              <w:t xml:space="preserve">Indices of infant mortality </w:t>
            </w:r>
          </w:p>
        </w:tc>
        <w:tc>
          <w:tcPr>
            <w:tcW w:w="4621" w:type="dxa"/>
          </w:tcPr>
          <w:p w:rsidR="00293636" w:rsidRDefault="00293636"/>
        </w:tc>
      </w:tr>
      <w:tr w:rsidR="00293636" w:rsidTr="00293636">
        <w:tc>
          <w:tcPr>
            <w:tcW w:w="4621" w:type="dxa"/>
          </w:tcPr>
          <w:p w:rsidR="00293636" w:rsidRDefault="00293636">
            <w:r>
              <w:t xml:space="preserve">Infant mortality </w:t>
            </w:r>
          </w:p>
        </w:tc>
        <w:tc>
          <w:tcPr>
            <w:tcW w:w="4621" w:type="dxa"/>
          </w:tcPr>
          <w:p w:rsidR="00293636" w:rsidRDefault="00293636"/>
          <w:p w:rsidR="00293636" w:rsidRDefault="00293636"/>
          <w:p w:rsidR="00293636" w:rsidRDefault="00293636"/>
        </w:tc>
      </w:tr>
      <w:tr w:rsidR="00293636" w:rsidTr="00293636">
        <w:tc>
          <w:tcPr>
            <w:tcW w:w="4621" w:type="dxa"/>
          </w:tcPr>
          <w:p w:rsidR="00293636" w:rsidRPr="00293636" w:rsidRDefault="00293636">
            <w:pPr>
              <w:rPr>
                <w:b/>
              </w:rPr>
            </w:pPr>
            <w:r w:rsidRPr="00293636">
              <w:rPr>
                <w:b/>
              </w:rPr>
              <w:t xml:space="preserve">Indices of education </w:t>
            </w:r>
          </w:p>
        </w:tc>
        <w:tc>
          <w:tcPr>
            <w:tcW w:w="4621" w:type="dxa"/>
          </w:tcPr>
          <w:p w:rsidR="00293636" w:rsidRDefault="00293636"/>
        </w:tc>
      </w:tr>
      <w:tr w:rsidR="00293636" w:rsidTr="00293636">
        <w:tc>
          <w:tcPr>
            <w:tcW w:w="4621" w:type="dxa"/>
          </w:tcPr>
          <w:p w:rsidR="00293636" w:rsidRDefault="00293636">
            <w:r>
              <w:t xml:space="preserve">Literacy rate </w:t>
            </w:r>
          </w:p>
        </w:tc>
        <w:tc>
          <w:tcPr>
            <w:tcW w:w="4621" w:type="dxa"/>
          </w:tcPr>
          <w:p w:rsidR="00293636" w:rsidRDefault="00293636"/>
          <w:p w:rsidR="00293636" w:rsidRDefault="00293636">
            <w:bookmarkStart w:id="0" w:name="_GoBack"/>
            <w:bookmarkEnd w:id="0"/>
          </w:p>
          <w:p w:rsidR="00293636" w:rsidRDefault="00293636"/>
        </w:tc>
      </w:tr>
      <w:tr w:rsidR="00293636" w:rsidTr="00293636">
        <w:tc>
          <w:tcPr>
            <w:tcW w:w="4621" w:type="dxa"/>
          </w:tcPr>
          <w:p w:rsidR="00293636" w:rsidRDefault="00293636">
            <w:r>
              <w:t xml:space="preserve">Education expenditure </w:t>
            </w:r>
          </w:p>
        </w:tc>
        <w:tc>
          <w:tcPr>
            <w:tcW w:w="4621" w:type="dxa"/>
          </w:tcPr>
          <w:p w:rsidR="00293636" w:rsidRDefault="00293636"/>
          <w:p w:rsidR="00293636" w:rsidRDefault="00293636"/>
          <w:p w:rsidR="00293636" w:rsidRDefault="00293636"/>
        </w:tc>
      </w:tr>
      <w:tr w:rsidR="00293636" w:rsidTr="00293636">
        <w:tc>
          <w:tcPr>
            <w:tcW w:w="4621" w:type="dxa"/>
          </w:tcPr>
          <w:p w:rsidR="00293636" w:rsidRPr="00293636" w:rsidRDefault="00293636">
            <w:pPr>
              <w:rPr>
                <w:b/>
              </w:rPr>
            </w:pPr>
            <w:r w:rsidRPr="00293636">
              <w:rPr>
                <w:b/>
              </w:rPr>
              <w:t xml:space="preserve">Indices of nutrition </w:t>
            </w:r>
          </w:p>
        </w:tc>
        <w:tc>
          <w:tcPr>
            <w:tcW w:w="4621" w:type="dxa"/>
          </w:tcPr>
          <w:p w:rsidR="00293636" w:rsidRDefault="00293636"/>
        </w:tc>
      </w:tr>
      <w:tr w:rsidR="00293636" w:rsidTr="00293636">
        <w:tc>
          <w:tcPr>
            <w:tcW w:w="4621" w:type="dxa"/>
          </w:tcPr>
          <w:p w:rsidR="00293636" w:rsidRDefault="00293636">
            <w:r>
              <w:t xml:space="preserve">Malnutrition prevalence, height for age (% of children under 5) </w:t>
            </w:r>
          </w:p>
        </w:tc>
        <w:tc>
          <w:tcPr>
            <w:tcW w:w="4621" w:type="dxa"/>
          </w:tcPr>
          <w:p w:rsidR="00293636" w:rsidRDefault="00293636"/>
          <w:p w:rsidR="00293636" w:rsidRDefault="00293636"/>
          <w:p w:rsidR="00293636" w:rsidRDefault="00293636"/>
          <w:p w:rsidR="00293636" w:rsidRDefault="00293636"/>
        </w:tc>
      </w:tr>
      <w:tr w:rsidR="00293636" w:rsidTr="00293636">
        <w:tc>
          <w:tcPr>
            <w:tcW w:w="4621" w:type="dxa"/>
          </w:tcPr>
          <w:p w:rsidR="00293636" w:rsidRPr="00293636" w:rsidRDefault="00293636">
            <w:pPr>
              <w:rPr>
                <w:b/>
              </w:rPr>
            </w:pPr>
            <w:r w:rsidRPr="00293636">
              <w:rPr>
                <w:b/>
              </w:rPr>
              <w:t xml:space="preserve">Indices of income </w:t>
            </w:r>
          </w:p>
        </w:tc>
        <w:tc>
          <w:tcPr>
            <w:tcW w:w="4621" w:type="dxa"/>
          </w:tcPr>
          <w:p w:rsidR="00293636" w:rsidRDefault="00293636"/>
        </w:tc>
      </w:tr>
      <w:tr w:rsidR="00293636" w:rsidTr="00293636">
        <w:tc>
          <w:tcPr>
            <w:tcW w:w="4621" w:type="dxa"/>
          </w:tcPr>
          <w:p w:rsidR="00293636" w:rsidRDefault="00293636">
            <w:r>
              <w:t xml:space="preserve">Gross national income </w:t>
            </w:r>
          </w:p>
        </w:tc>
        <w:tc>
          <w:tcPr>
            <w:tcW w:w="4621" w:type="dxa"/>
          </w:tcPr>
          <w:p w:rsidR="00293636" w:rsidRDefault="00293636"/>
          <w:p w:rsidR="00293636" w:rsidRDefault="00293636"/>
          <w:p w:rsidR="00293636" w:rsidRDefault="00293636"/>
          <w:p w:rsidR="00293636" w:rsidRDefault="00293636"/>
          <w:p w:rsidR="00293636" w:rsidRDefault="00293636"/>
        </w:tc>
      </w:tr>
    </w:tbl>
    <w:p w:rsidR="00293636" w:rsidRDefault="00293636"/>
    <w:p w:rsidR="00293636" w:rsidRDefault="00293636"/>
    <w:p w:rsidR="00293636" w:rsidRDefault="00293636">
      <w:pPr>
        <w:rPr>
          <w:rFonts w:cs="Arial"/>
          <w:color w:val="000000"/>
          <w:sz w:val="23"/>
          <w:szCs w:val="23"/>
          <w:shd w:val="clear" w:color="auto" w:fill="CCFF99"/>
        </w:rPr>
      </w:pPr>
      <w:r w:rsidRPr="00293636">
        <w:rPr>
          <w:rFonts w:cs="Arial"/>
          <w:color w:val="000000"/>
          <w:sz w:val="23"/>
          <w:szCs w:val="23"/>
          <w:shd w:val="clear" w:color="auto" w:fill="CCFF99"/>
        </w:rPr>
        <w:t xml:space="preserve">Prevalence of child malnutrition is the percentage of children under age 5 whose height for age (stunting) is more than two standard deviations below the median for the international reference population ages 0-59 months. For children up to two years old height is measured by recumbent length. For older children height is measured by stature while standing. The data are based on the </w:t>
      </w:r>
      <w:proofErr w:type="gramStart"/>
      <w:r w:rsidRPr="00293636">
        <w:rPr>
          <w:rFonts w:cs="Arial"/>
          <w:color w:val="000000"/>
          <w:sz w:val="23"/>
          <w:szCs w:val="23"/>
          <w:shd w:val="clear" w:color="auto" w:fill="CCFF99"/>
        </w:rPr>
        <w:t>WHO's</w:t>
      </w:r>
      <w:proofErr w:type="gramEnd"/>
      <w:r w:rsidRPr="00293636">
        <w:rPr>
          <w:rFonts w:cs="Arial"/>
          <w:color w:val="000000"/>
          <w:sz w:val="23"/>
          <w:szCs w:val="23"/>
          <w:shd w:val="clear" w:color="auto" w:fill="CCFF99"/>
        </w:rPr>
        <w:t xml:space="preserve"> new child growth standards released in 2006</w:t>
      </w:r>
    </w:p>
    <w:p w:rsidR="00293636" w:rsidRDefault="00293636">
      <w:pPr>
        <w:rPr>
          <w:rFonts w:cs="Arial"/>
          <w:color w:val="000000"/>
          <w:sz w:val="23"/>
          <w:szCs w:val="23"/>
          <w:shd w:val="clear" w:color="auto" w:fill="CCFF99"/>
        </w:rPr>
      </w:pPr>
      <w:proofErr w:type="gramStart"/>
      <w:r>
        <w:rPr>
          <w:rFonts w:cs="Arial"/>
          <w:color w:val="000000"/>
          <w:sz w:val="23"/>
          <w:szCs w:val="23"/>
          <w:shd w:val="clear" w:color="auto" w:fill="CCFF99"/>
        </w:rPr>
        <w:t>T</w:t>
      </w:r>
      <w:r>
        <w:rPr>
          <w:rFonts w:cs="Arial"/>
          <w:color w:val="000000"/>
          <w:sz w:val="23"/>
          <w:szCs w:val="23"/>
          <w:shd w:val="clear" w:color="auto" w:fill="CCFF99"/>
        </w:rPr>
        <w:t>he number of deaths of infants under one year old in a given year per 1,000 live births in the same year.</w:t>
      </w:r>
      <w:proofErr w:type="gramEnd"/>
      <w:r>
        <w:rPr>
          <w:rFonts w:cs="Arial"/>
          <w:color w:val="000000"/>
          <w:sz w:val="23"/>
          <w:szCs w:val="23"/>
          <w:shd w:val="clear" w:color="auto" w:fill="CCFF99"/>
        </w:rPr>
        <w:t xml:space="preserve"> This rate is often used as an indicator of the level of health in a country</w:t>
      </w:r>
    </w:p>
    <w:p w:rsidR="00293636" w:rsidRDefault="00293636">
      <w:pPr>
        <w:rPr>
          <w:rFonts w:cs="Arial"/>
          <w:color w:val="000000"/>
          <w:sz w:val="23"/>
          <w:szCs w:val="23"/>
          <w:shd w:val="clear" w:color="auto" w:fill="CCFF99"/>
        </w:rPr>
      </w:pPr>
      <w:proofErr w:type="gramStart"/>
      <w:r>
        <w:rPr>
          <w:rFonts w:cs="Arial"/>
          <w:color w:val="000000"/>
          <w:sz w:val="23"/>
          <w:szCs w:val="23"/>
          <w:shd w:val="clear" w:color="auto" w:fill="CCFF99"/>
        </w:rPr>
        <w:t>T</w:t>
      </w:r>
      <w:r>
        <w:rPr>
          <w:rFonts w:cs="Arial"/>
          <w:color w:val="000000"/>
          <w:sz w:val="23"/>
          <w:szCs w:val="23"/>
          <w:shd w:val="clear" w:color="auto" w:fill="CCFF99"/>
        </w:rPr>
        <w:t>he public expenditure on education as a percent of GDP.</w:t>
      </w:r>
      <w:proofErr w:type="gramEnd"/>
    </w:p>
    <w:p w:rsidR="00293636" w:rsidRDefault="00293636">
      <w:pPr>
        <w:rPr>
          <w:rFonts w:cs="Arial"/>
          <w:color w:val="000000"/>
          <w:sz w:val="23"/>
          <w:szCs w:val="23"/>
          <w:shd w:val="clear" w:color="auto" w:fill="CCFF99"/>
        </w:rPr>
      </w:pPr>
      <w:r>
        <w:rPr>
          <w:rFonts w:cs="Arial"/>
          <w:color w:val="000000"/>
          <w:sz w:val="23"/>
          <w:szCs w:val="23"/>
          <w:shd w:val="clear" w:color="auto" w:fill="CCFF99"/>
        </w:rPr>
        <w:t>(</w:t>
      </w:r>
      <w:proofErr w:type="gramStart"/>
      <w:r>
        <w:rPr>
          <w:rFonts w:cs="Arial"/>
          <w:color w:val="000000"/>
          <w:sz w:val="23"/>
          <w:szCs w:val="23"/>
          <w:shd w:val="clear" w:color="auto" w:fill="CCFF99"/>
        </w:rPr>
        <w:t>now</w:t>
      </w:r>
      <w:proofErr w:type="gramEnd"/>
      <w:r>
        <w:rPr>
          <w:rFonts w:cs="Arial"/>
          <w:color w:val="000000"/>
          <w:sz w:val="23"/>
          <w:szCs w:val="23"/>
          <w:shd w:val="clear" w:color="auto" w:fill="CCFF99"/>
        </w:rPr>
        <w:t xml:space="preserve"> used in preference to gross national product—GNP). The total value of goods and services produced within a country together with the balance of income and payments from or to other countries</w:t>
      </w:r>
    </w:p>
    <w:p w:rsidR="00293636" w:rsidRDefault="00293636">
      <w:r>
        <w:rPr>
          <w:rFonts w:cs="Arial"/>
          <w:color w:val="000000"/>
          <w:sz w:val="23"/>
          <w:szCs w:val="23"/>
          <w:shd w:val="clear" w:color="auto" w:fill="CCFF99"/>
        </w:rPr>
        <w:t xml:space="preserve">There are no universal definitions and standards of literacy. Unless otherwise specified, all rates are based on the most common definition - the ability to read and write at a specified age. Information on literacy, while not a perfect measure of educational results, is probably the most easily available and valid for international comparisons. Low levels of </w:t>
      </w:r>
      <w:proofErr w:type="gramStart"/>
      <w:r>
        <w:rPr>
          <w:rFonts w:cs="Arial"/>
          <w:color w:val="000000"/>
          <w:sz w:val="23"/>
          <w:szCs w:val="23"/>
          <w:shd w:val="clear" w:color="auto" w:fill="CCFF99"/>
        </w:rPr>
        <w:t>literacy,</w:t>
      </w:r>
      <w:proofErr w:type="gramEnd"/>
      <w:r>
        <w:rPr>
          <w:rFonts w:cs="Arial"/>
          <w:color w:val="000000"/>
          <w:sz w:val="23"/>
          <w:szCs w:val="23"/>
          <w:shd w:val="clear" w:color="auto" w:fill="CCFF99"/>
        </w:rPr>
        <w:t xml:space="preserve"> and education in general, can impede the economic development of a country in the current rapidly changing, technology-driven world.</w:t>
      </w:r>
    </w:p>
    <w:sectPr w:rsidR="00293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636"/>
    <w:rsid w:val="00293636"/>
    <w:rsid w:val="00E5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93636"/>
    <w:rPr>
      <w:b/>
      <w:bCs/>
    </w:rPr>
  </w:style>
  <w:style w:type="character" w:customStyle="1" w:styleId="apple-converted-space">
    <w:name w:val="apple-converted-space"/>
    <w:basedOn w:val="DefaultParagraphFont"/>
    <w:rsid w:val="002936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93636"/>
    <w:rPr>
      <w:b/>
      <w:bCs/>
    </w:rPr>
  </w:style>
  <w:style w:type="character" w:customStyle="1" w:styleId="apple-converted-space">
    <w:name w:val="apple-converted-space"/>
    <w:basedOn w:val="DefaultParagraphFont"/>
    <w:rsid w:val="00293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TOPPING Anna</dc:creator>
  <cp:lastModifiedBy>TOPPING Anna</cp:lastModifiedBy>
  <cp:revision>1</cp:revision>
  <dcterms:created xsi:type="dcterms:W3CDTF">2014-10-30T01:35:00Z</dcterms:created>
  <dcterms:modified xsi:type="dcterms:W3CDTF">2014-10-30T01:42:00Z</dcterms:modified>
</cp:coreProperties>
</file>