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3EF25F" w14:textId="77777777" w:rsidR="00961C7F" w:rsidRDefault="008A042F">
      <w:r>
        <w:rPr>
          <w:noProof/>
        </w:rPr>
        <w:drawing>
          <wp:inline distT="0" distB="0" distL="0" distR="0" wp14:anchorId="7080212A" wp14:editId="7E854DED">
            <wp:extent cx="3969385" cy="659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969385" cy="659765"/>
                    </a:xfrm>
                    <a:prstGeom prst="rect">
                      <a:avLst/>
                    </a:prstGeom>
                    <a:noFill/>
                  </pic:spPr>
                </pic:pic>
              </a:graphicData>
            </a:graphic>
          </wp:inline>
        </w:drawing>
      </w:r>
    </w:p>
    <w:p w14:paraId="3EE4E72D" w14:textId="77777777" w:rsidR="00961C7F" w:rsidRDefault="00961C7F"/>
    <w:p w14:paraId="6E8579D1" w14:textId="77777777" w:rsidR="00961C7F" w:rsidRDefault="00961C7F"/>
    <w:p w14:paraId="119F4A47" w14:textId="77777777" w:rsidR="00961C7F" w:rsidRDefault="00961C7F"/>
    <w:p w14:paraId="26F1494E" w14:textId="77777777" w:rsidR="00961C7F" w:rsidRDefault="008A042F">
      <w:pPr>
        <w:jc w:val="center"/>
      </w:pPr>
      <w:r>
        <w:rPr>
          <w:b/>
          <w:sz w:val="44"/>
        </w:rPr>
        <w:t>Restrictiveness and Skill Composition</w:t>
      </w:r>
    </w:p>
    <w:p w14:paraId="11960211" w14:textId="77777777" w:rsidR="00961C7F" w:rsidRDefault="008A042F">
      <w:pPr>
        <w:jc w:val="center"/>
      </w:pPr>
      <w:r>
        <w:rPr>
          <w:i/>
          <w:sz w:val="28"/>
        </w:rPr>
        <w:t>How labor-migration policy relates to the skill composition of long-term employment-related immigration in European destinations</w:t>
      </w:r>
      <w:r w:rsidR="0029161A">
        <w:rPr>
          <w:i/>
          <w:sz w:val="28"/>
        </w:rPr>
        <w:t>?</w:t>
      </w:r>
    </w:p>
    <w:p w14:paraId="42D9F9A7" w14:textId="77777777" w:rsidR="00961C7F" w:rsidRDefault="00961C7F"/>
    <w:p w14:paraId="3F4B4D57" w14:textId="77777777" w:rsidR="00961C7F" w:rsidRDefault="00961C7F"/>
    <w:p w14:paraId="46E2DBFF" w14:textId="77777777" w:rsidR="00961C7F" w:rsidRDefault="00961C7F"/>
    <w:p w14:paraId="081E93DE" w14:textId="77777777" w:rsidR="00961C7F" w:rsidRDefault="00961C7F"/>
    <w:p w14:paraId="181B510A" w14:textId="77777777" w:rsidR="00961C7F" w:rsidRDefault="00961C7F"/>
    <w:p w14:paraId="6B00B89C" w14:textId="77777777" w:rsidR="00961C7F" w:rsidRDefault="008A042F">
      <w:pPr>
        <w:jc w:val="center"/>
      </w:pPr>
      <w:r>
        <w:rPr>
          <w:sz w:val="23"/>
        </w:rPr>
        <w:t>Toprak Yetimoglu</w:t>
      </w:r>
      <w:r>
        <w:rPr>
          <w:sz w:val="23"/>
        </w:rPr>
        <w:br/>
        <w:t>Student number: 13723898</w:t>
      </w:r>
      <w:r>
        <w:rPr>
          <w:sz w:val="23"/>
        </w:rPr>
        <w:br/>
        <w:t>toprak.yetimoglu@student.uva.nl</w:t>
      </w:r>
    </w:p>
    <w:p w14:paraId="15B7198F" w14:textId="77777777" w:rsidR="00961C7F" w:rsidRDefault="00961C7F"/>
    <w:p w14:paraId="2C5C312E" w14:textId="77777777" w:rsidR="00961C7F" w:rsidRDefault="00961C7F"/>
    <w:p w14:paraId="67D78E52" w14:textId="77777777" w:rsidR="00961C7F" w:rsidRDefault="008A042F">
      <w:pPr>
        <w:jc w:val="center"/>
      </w:pPr>
      <w:r>
        <w:t>MSc Thesis - Economics, International Finance and Trade</w:t>
      </w:r>
      <w:r>
        <w:br/>
        <w:t>Amsterdam School of Economics, University of Amsterdam</w:t>
      </w:r>
      <w:r>
        <w:br/>
        <w:t>Supervisor: Naomi Leefmans</w:t>
      </w:r>
      <w:r>
        <w:br/>
        <w:t>Second reader: Dirk Veestraeten</w:t>
      </w:r>
      <w:r>
        <w:br/>
        <w:t>July 2026</w:t>
      </w:r>
      <w:r>
        <w:br/>
        <w:t>Word count: 14,9</w:t>
      </w:r>
      <w:r w:rsidR="00EF3B61">
        <w:t>90</w:t>
      </w:r>
    </w:p>
    <w:p w14:paraId="537BCD1C" w14:textId="77777777" w:rsidR="00961C7F" w:rsidRDefault="008A042F">
      <w:pPr>
        <w:pStyle w:val="Heading1"/>
        <w:pageBreakBefore/>
        <w:jc w:val="center"/>
      </w:pPr>
      <w:r>
        <w:lastRenderedPageBreak/>
        <w:t>Statement of Originality</w:t>
      </w:r>
    </w:p>
    <w:p w14:paraId="4F788589" w14:textId="77777777" w:rsidR="00961C7F" w:rsidRPr="00BF6225" w:rsidRDefault="008A042F">
      <w:pPr>
        <w:jc w:val="both"/>
      </w:pPr>
      <w:r>
        <w:t>This document is written by Student Toprak Yetimoglu who declares to take full responsibility for the contents of this document.</w:t>
      </w:r>
    </w:p>
    <w:p w14:paraId="5DA7B4DB" w14:textId="77777777" w:rsidR="008F026E" w:rsidRPr="00BF6225" w:rsidRDefault="00A36F18">
      <w:pPr>
        <w:jc w:val="both"/>
      </w:pPr>
      <w:r>
        <w:t>I declare that the text and the work presented in this document are original and that no sources other than those mentioned in the text and its references have been used in creating it.</w:t>
      </w:r>
    </w:p>
    <w:p w14:paraId="05D21878" w14:textId="77777777" w:rsidR="00110134" w:rsidRPr="00BF6225" w:rsidRDefault="00110134">
      <w:pPr>
        <w:jc w:val="both"/>
      </w:pPr>
      <w:bookmarkStart w:id="0" w:name="OLE_LINK1"/>
      <w:r>
        <w:t>Claude Code (Anthropic 2026) and Codex (OpenAI 2026) were used as AI-assisted coding agents during the construction of the regression and the creation of tables and graphs</w:t>
      </w:r>
      <w:bookmarkEnd w:id="0"/>
      <w:r>
        <w:t>. The author is responsible for all design choices, regression specifications, results, and interpretations.</w:t>
      </w:r>
    </w:p>
    <w:p w14:paraId="68015E13" w14:textId="77777777" w:rsidR="00961C7F" w:rsidRPr="00BF6225" w:rsidRDefault="008A042F">
      <w:pPr>
        <w:jc w:val="both"/>
      </w:pPr>
      <w:r>
        <w:t>The Faculty of Economics and Business of the University of Amsterdam is responsible solely for the supervision of completion of the work, not for the contents.</w:t>
      </w:r>
    </w:p>
    <w:p w14:paraId="1782FEBC" w14:textId="77777777" w:rsidR="00961C7F" w:rsidRPr="00BF6225" w:rsidRDefault="008A042F">
      <w:r>
        <w:br w:type="page"/>
      </w:r>
    </w:p>
    <w:p w14:paraId="17732121" w14:textId="77777777" w:rsidR="0013305C" w:rsidRPr="00BF6225" w:rsidRDefault="0013305C" w:rsidP="0013305C">
      <w:pPr>
        <w:pStyle w:val="Heading1"/>
        <w:jc w:val="both"/>
        <w:rPr>
          <w:rFonts w:asciiTheme="minorHAnsi" w:hAnsiTheme="minorHAnsi" w:cstheme="majorHAnsi"/>
          <w:szCs w:val="34"/>
        </w:rPr>
      </w:pPr>
      <w:r>
        <w:rPr>
          <w:rFonts w:asciiTheme="minorHAnsi" w:hAnsiTheme="minorHAnsi" w:cstheme="majorHAnsi"/>
          <w:szCs w:val="34"/>
        </w:rPr>
        <w:lastRenderedPageBreak/>
        <w:t>Abstract</w:t>
      </w:r>
    </w:p>
    <w:p w14:paraId="36CAB69F" w14:textId="77777777" w:rsidR="0013305C" w:rsidRPr="00BF6225" w:rsidRDefault="0013305C" w:rsidP="00924A1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thesis asks whether labor-migration restrictiveness is associated with the skill composition of legal employment-related inflows, rather than only their volume. The argument is that restrictive all-migrant-worker reforms can filter lower-skilled candidates at the margin. This is because lower-skilled candidates rely more heavily on the general work-permit channel, while high-skilled candidates may still enter through dedicated routes. The prediction is therefore compositional: the high-skilled share may rise even if the absolute number of high-skilled permits does not.</w:t>
      </w:r>
    </w:p>
    <w:p w14:paraId="19CCBE1E" w14:textId="77777777" w:rsidR="0013305C" w:rsidRPr="00BF6225" w:rsidRDefault="0013305C"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Eurostat first-residence-permit statistics with the DEMIG-QuantMig Migration Policy Database, the thesis studies 30 European destinations over 2008-2019. The baseline excludes 2020 because the worldwide COVID-19 pandemic made permit issuance, labor demand, and cross-border mobility exceptional; an otherwise identical 2008-2020 model is reported as a robustness check. The design separates general all-migrant-worker reforms from skill-targeted reforms and compares aggregate models with a weighted least squares bilateral model and destination and origin-year fixed effects.</w:t>
      </w:r>
    </w:p>
    <w:p w14:paraId="5EA63BE5" w14:textId="77777777" w:rsidR="0013305C" w:rsidRPr="00BF6225" w:rsidRDefault="00534A3C"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aggregate model does not show a statistically significant association. In the preferred bilateral model, a one-unit increase in lagged cumulative net restrictiveness is associated with a 0.65-percentage-point higher high-skilled permit share (β = 0.006516, p &lt; 0.001, N = 5,608; bootstrap p = 0.007). Reintroducing 2020 leaves the estimate positive and significant</w:t>
      </w:r>
      <w:r w:rsidR="001F13DA">
        <w:rPr>
          <w:rFonts w:asciiTheme="minorHAnsi" w:hAnsiTheme="minorHAnsi"/>
          <w:sz w:val="22"/>
          <w:szCs w:val="22"/>
        </w:rPr>
        <w:t xml:space="preserve">. </w:t>
      </w:r>
      <w:r>
        <w:rPr>
          <w:rFonts w:asciiTheme="minorHAnsi" w:hAnsiTheme="minorHAnsi"/>
          <w:sz w:val="22"/>
          <w:szCs w:val="22"/>
        </w:rPr>
        <w:t>PPML finds a positive high-skilled permit-count association (β = 0.045536, p = 0.002) but no significant total-count change. The work-visa-only estimate is larger (β = 0.008190, p &lt; 0.001). These are conditional associations, not causal effects of a dedicated high-skill route.</w:t>
      </w:r>
    </w:p>
    <w:p w14:paraId="2A54A678" w14:textId="77777777" w:rsidR="00961C7F" w:rsidRDefault="008A042F">
      <w:pPr>
        <w:pStyle w:val="Heading1"/>
        <w:pageBreakBefore/>
        <w:spacing w:before="0"/>
      </w:pPr>
      <w:r>
        <w:lastRenderedPageBreak/>
        <w:t>Table of Contents</w:t>
      </w:r>
    </w:p>
    <w:p w14:paraId="0C83211D" w14:textId="77777777" w:rsidR="00961C7F" w:rsidRDefault="008A042F">
      <w:pPr>
        <w:tabs>
          <w:tab w:val="right" w:leader="dot" w:pos="9360"/>
        </w:tabs>
      </w:pPr>
      <w:r>
        <w:t>1. Introduction</w:t>
      </w:r>
      <w:r>
        <w:tab/>
        <w:t>7</w:t>
      </w:r>
    </w:p>
    <w:p w14:paraId="1D9A0F02" w14:textId="77777777" w:rsidR="00961C7F" w:rsidRDefault="008A042F">
      <w:pPr>
        <w:tabs>
          <w:tab w:val="right" w:leader="dot" w:pos="9360"/>
        </w:tabs>
      </w:pPr>
      <w:r>
        <w:t>2. Literature Review</w:t>
      </w:r>
      <w:r>
        <w:tab/>
        <w:t>8</w:t>
      </w:r>
    </w:p>
    <w:p w14:paraId="3A3E7F6B" w14:textId="77777777" w:rsidR="00961C7F" w:rsidRDefault="008A042F">
      <w:pPr>
        <w:tabs>
          <w:tab w:val="right" w:leader="dot" w:pos="9360"/>
        </w:tabs>
        <w:ind w:left="420"/>
      </w:pPr>
      <w:r>
        <w:t>2.1 Self-selection and the Roy model</w:t>
      </w:r>
      <w:r>
        <w:tab/>
        <w:t>8</w:t>
      </w:r>
    </w:p>
    <w:p w14:paraId="0AAAEE7C" w14:textId="77777777" w:rsidR="00961C7F" w:rsidRDefault="008A042F">
      <w:pPr>
        <w:tabs>
          <w:tab w:val="right" w:leader="dot" w:pos="9360"/>
        </w:tabs>
        <w:ind w:left="420"/>
      </w:pPr>
      <w:r>
        <w:t>2.2 Policy effectiveness and channel substitution</w:t>
      </w:r>
      <w:r>
        <w:tab/>
        <w:t>8</w:t>
      </w:r>
    </w:p>
    <w:p w14:paraId="5A8BD0E1" w14:textId="77777777" w:rsidR="00961C7F" w:rsidRDefault="008A042F">
      <w:pPr>
        <w:tabs>
          <w:tab w:val="right" w:leader="dot" w:pos="9360"/>
        </w:tabs>
        <w:ind w:left="420"/>
      </w:pPr>
      <w:r>
        <w:t>2.3 Skill-selective policy design and instrument heterogeneity</w:t>
      </w:r>
      <w:r>
        <w:tab/>
        <w:t>8</w:t>
      </w:r>
    </w:p>
    <w:p w14:paraId="40D92CAB" w14:textId="77777777" w:rsidR="00961C7F" w:rsidRDefault="008A042F">
      <w:pPr>
        <w:tabs>
          <w:tab w:val="right" w:leader="dot" w:pos="9360"/>
        </w:tabs>
        <w:ind w:left="420"/>
      </w:pPr>
      <w:r>
        <w:t>2.4 Positioning relative to previous methods</w:t>
      </w:r>
      <w:r>
        <w:tab/>
        <w:t>9</w:t>
      </w:r>
    </w:p>
    <w:p w14:paraId="6693694C" w14:textId="77777777" w:rsidR="00961C7F" w:rsidRDefault="008A042F">
      <w:pPr>
        <w:tabs>
          <w:tab w:val="right" w:leader="dot" w:pos="9360"/>
        </w:tabs>
        <w:ind w:left="420"/>
      </w:pPr>
      <w:r>
        <w:t>2.5 Measurement of migration policy</w:t>
      </w:r>
      <w:r>
        <w:tab/>
        <w:t>10</w:t>
      </w:r>
    </w:p>
    <w:p w14:paraId="403B65E5" w14:textId="77777777" w:rsidR="00961C7F" w:rsidRDefault="008A042F">
      <w:pPr>
        <w:tabs>
          <w:tab w:val="right" w:leader="dot" w:pos="9360"/>
        </w:tabs>
        <w:ind w:left="420"/>
      </w:pPr>
      <w:r>
        <w:t>2.6 The gap addressed by this thesis</w:t>
      </w:r>
      <w:r>
        <w:tab/>
        <w:t>10</w:t>
      </w:r>
    </w:p>
    <w:p w14:paraId="41C0E180" w14:textId="77777777" w:rsidR="00961C7F" w:rsidRDefault="008A042F">
      <w:pPr>
        <w:tabs>
          <w:tab w:val="right" w:leader="dot" w:pos="9360"/>
        </w:tabs>
      </w:pPr>
      <w:r>
        <w:t>3. Theoretical Framework</w:t>
      </w:r>
      <w:r>
        <w:tab/>
        <w:t>11</w:t>
      </w:r>
    </w:p>
    <w:p w14:paraId="1F97C724" w14:textId="77777777" w:rsidR="00961C7F" w:rsidRDefault="008A042F">
      <w:pPr>
        <w:tabs>
          <w:tab w:val="right" w:leader="dot" w:pos="9360"/>
        </w:tabs>
      </w:pPr>
      <w:r>
        <w:t>4. Institutional Background</w:t>
      </w:r>
      <w:r>
        <w:tab/>
        <w:t>13</w:t>
      </w:r>
    </w:p>
    <w:p w14:paraId="1CBF692D" w14:textId="77777777" w:rsidR="00961C7F" w:rsidRDefault="008A042F">
      <w:pPr>
        <w:tabs>
          <w:tab w:val="right" w:leader="dot" w:pos="9360"/>
        </w:tabs>
      </w:pPr>
      <w:r>
        <w:t>5. Empirical Strategy</w:t>
      </w:r>
      <w:r>
        <w:tab/>
        <w:t>14</w:t>
      </w:r>
    </w:p>
    <w:p w14:paraId="7632A68E" w14:textId="77777777" w:rsidR="00961C7F" w:rsidRDefault="008A042F">
      <w:pPr>
        <w:tabs>
          <w:tab w:val="right" w:leader="dot" w:pos="9360"/>
        </w:tabs>
        <w:ind w:left="420"/>
      </w:pPr>
      <w:r>
        <w:t>5.1 Variable construction</w:t>
      </w:r>
      <w:r>
        <w:tab/>
        <w:t>14</w:t>
      </w:r>
    </w:p>
    <w:p w14:paraId="102C932B" w14:textId="77777777" w:rsidR="00961C7F" w:rsidRDefault="008A042F">
      <w:pPr>
        <w:tabs>
          <w:tab w:val="right" w:leader="dot" w:pos="9360"/>
        </w:tabs>
        <w:ind w:left="420"/>
      </w:pPr>
      <w:r>
        <w:t>5.2 Regression specifications</w:t>
      </w:r>
      <w:r>
        <w:tab/>
        <w:t>15</w:t>
      </w:r>
    </w:p>
    <w:p w14:paraId="19169C95" w14:textId="77777777" w:rsidR="00961C7F" w:rsidRDefault="008A042F">
      <w:pPr>
        <w:tabs>
          <w:tab w:val="right" w:leader="dot" w:pos="9360"/>
        </w:tabs>
        <w:ind w:left="420"/>
      </w:pPr>
      <w:r>
        <w:t>5.3 Identification and inference</w:t>
      </w:r>
      <w:r>
        <w:tab/>
        <w:t>17</w:t>
      </w:r>
    </w:p>
    <w:p w14:paraId="1381D04E" w14:textId="77777777" w:rsidR="00961C7F" w:rsidRDefault="008A042F">
      <w:pPr>
        <w:tabs>
          <w:tab w:val="right" w:leader="dot" w:pos="9360"/>
        </w:tabs>
      </w:pPr>
      <w:r>
        <w:t>6. Data</w:t>
      </w:r>
      <w:r>
        <w:tab/>
        <w:t>19</w:t>
      </w:r>
    </w:p>
    <w:p w14:paraId="76210172" w14:textId="77777777" w:rsidR="00961C7F" w:rsidRDefault="008A042F">
      <w:pPr>
        <w:tabs>
          <w:tab w:val="right" w:leader="dot" w:pos="9360"/>
        </w:tabs>
        <w:ind w:left="420"/>
      </w:pPr>
      <w:r>
        <w:t>6.1 Outcome data: Eurostat residence-permit statistics</w:t>
      </w:r>
      <w:r>
        <w:tab/>
        <w:t>19</w:t>
      </w:r>
    </w:p>
    <w:p w14:paraId="6B416CB2" w14:textId="77777777" w:rsidR="00961C7F" w:rsidRDefault="008A042F">
      <w:pPr>
        <w:tabs>
          <w:tab w:val="right" w:leader="dot" w:pos="9360"/>
        </w:tabs>
        <w:ind w:left="420"/>
      </w:pPr>
      <w:r>
        <w:t>6.2 Policy regressor: DEMIG-QuantMig</w:t>
      </w:r>
      <w:r>
        <w:tab/>
        <w:t>21</w:t>
      </w:r>
    </w:p>
    <w:p w14:paraId="47F3D349" w14:textId="77777777" w:rsidR="00961C7F" w:rsidRDefault="008A042F">
      <w:pPr>
        <w:tabs>
          <w:tab w:val="right" w:leader="dot" w:pos="9360"/>
        </w:tabs>
        <w:ind w:left="420"/>
      </w:pPr>
      <w:r>
        <w:t>6.3 Controls and sample construction</w:t>
      </w:r>
      <w:r>
        <w:tab/>
        <w:t>24</w:t>
      </w:r>
    </w:p>
    <w:p w14:paraId="6FFD83A3" w14:textId="77777777" w:rsidR="00961C7F" w:rsidRDefault="008A042F">
      <w:pPr>
        <w:tabs>
          <w:tab w:val="right" w:leader="dot" w:pos="9360"/>
        </w:tabs>
      </w:pPr>
      <w:r>
        <w:t>7. Results</w:t>
      </w:r>
      <w:r>
        <w:tab/>
        <w:t>29</w:t>
      </w:r>
    </w:p>
    <w:p w14:paraId="6BB00889" w14:textId="77777777" w:rsidR="00961C7F" w:rsidRDefault="008A042F">
      <w:pPr>
        <w:tabs>
          <w:tab w:val="right" w:leader="dot" w:pos="9360"/>
        </w:tabs>
        <w:ind w:left="420"/>
      </w:pPr>
      <w:r>
        <w:t>7.1 Aggregate country-year results</w:t>
      </w:r>
      <w:r>
        <w:tab/>
        <w:t>29</w:t>
      </w:r>
    </w:p>
    <w:p w14:paraId="5B44676E" w14:textId="77777777" w:rsidR="00961C7F" w:rsidRDefault="008A042F">
      <w:pPr>
        <w:tabs>
          <w:tab w:val="right" w:leader="dot" w:pos="9360"/>
        </w:tabs>
        <w:ind w:left="420"/>
      </w:pPr>
      <w:r>
        <w:t>7.2 Preferred bilateral origin-year fixed-effects result</w:t>
      </w:r>
      <w:r>
        <w:tab/>
        <w:t>30</w:t>
      </w:r>
    </w:p>
    <w:p w14:paraId="6A40C3F2" w14:textId="77777777" w:rsidR="00961C7F" w:rsidRDefault="008A042F">
      <w:pPr>
        <w:tabs>
          <w:tab w:val="right" w:leader="dot" w:pos="9360"/>
        </w:tabs>
        <w:ind w:left="420"/>
      </w:pPr>
      <w:r>
        <w:t>7.3 Bilateral PPML Permit-Count Results and Category Diagnostics</w:t>
      </w:r>
      <w:r>
        <w:tab/>
        <w:t>31</w:t>
      </w:r>
    </w:p>
    <w:p w14:paraId="51AA04B6" w14:textId="77777777" w:rsidR="008F026E" w:rsidRDefault="008F026E">
      <w:pPr>
        <w:tabs>
          <w:tab w:val="right" w:leader="dot" w:pos="9360"/>
        </w:tabs>
      </w:pPr>
      <w:r>
        <w:t>8. Robustness and Diagnostic Evidence</w:t>
      </w:r>
      <w:r>
        <w:tab/>
        <w:t>34</w:t>
      </w:r>
    </w:p>
    <w:p w14:paraId="0283A63E" w14:textId="77777777" w:rsidR="00B76B02" w:rsidRDefault="00640B9D">
      <w:pPr>
        <w:tabs>
          <w:tab w:val="right" w:leader="dot" w:pos="9360"/>
        </w:tabs>
        <w:ind w:left="420"/>
      </w:pPr>
      <w:r>
        <w:t>8.1 Robustness and Sensitivity Checks</w:t>
      </w:r>
      <w:r>
        <w:tab/>
        <w:t>34</w:t>
      </w:r>
    </w:p>
    <w:p w14:paraId="0F8D5020" w14:textId="77777777" w:rsidR="008F026E" w:rsidRDefault="008F026E">
      <w:pPr>
        <w:tabs>
          <w:tab w:val="right" w:leader="dot" w:pos="9360"/>
        </w:tabs>
        <w:ind w:left="420"/>
      </w:pPr>
      <w:r>
        <w:lastRenderedPageBreak/>
        <w:t>8.2 EU-Citizen Placebo Diagnostic</w:t>
      </w:r>
      <w:r>
        <w:tab/>
        <w:t>38</w:t>
      </w:r>
    </w:p>
    <w:p w14:paraId="3B478690" w14:textId="77777777" w:rsidR="008F026E" w:rsidRDefault="008F026E">
      <w:pPr>
        <w:tabs>
          <w:tab w:val="right" w:leader="dot" w:pos="9360"/>
        </w:tabs>
        <w:ind w:left="420"/>
      </w:pPr>
      <w:r>
        <w:t>8.3 Additional Model Diagnostics</w:t>
      </w:r>
      <w:r>
        <w:tab/>
        <w:t>39</w:t>
      </w:r>
    </w:p>
    <w:p w14:paraId="42020FDD" w14:textId="77777777" w:rsidR="008F026E" w:rsidRDefault="008F026E">
      <w:pPr>
        <w:tabs>
          <w:tab w:val="right" w:leader="dot" w:pos="9360"/>
        </w:tabs>
        <w:ind w:left="420"/>
      </w:pPr>
      <w:r>
        <w:t>8.4 Graphical Summary and Tool-Specific Diagnostics</w:t>
      </w:r>
      <w:r>
        <w:tab/>
        <w:t>42</w:t>
      </w:r>
    </w:p>
    <w:p w14:paraId="64276B0C" w14:textId="77777777" w:rsidR="00961C7F" w:rsidRDefault="008A042F">
      <w:pPr>
        <w:tabs>
          <w:tab w:val="right" w:leader="dot" w:pos="9360"/>
        </w:tabs>
      </w:pPr>
      <w:r>
        <w:t>9. Discussion and Limitations</w:t>
      </w:r>
      <w:r>
        <w:tab/>
        <w:t>44</w:t>
      </w:r>
    </w:p>
    <w:p w14:paraId="57429C6D" w14:textId="77777777" w:rsidR="00961C7F" w:rsidRDefault="008A042F">
      <w:pPr>
        <w:tabs>
          <w:tab w:val="right" w:leader="dot" w:pos="9360"/>
        </w:tabs>
      </w:pPr>
      <w:r>
        <w:t>10. Policy Implications</w:t>
      </w:r>
      <w:r>
        <w:tab/>
        <w:t>45</w:t>
      </w:r>
    </w:p>
    <w:p w14:paraId="3177DF1C" w14:textId="77777777" w:rsidR="00961C7F" w:rsidRDefault="008A042F">
      <w:pPr>
        <w:tabs>
          <w:tab w:val="right" w:leader="dot" w:pos="9360"/>
        </w:tabs>
      </w:pPr>
      <w:r>
        <w:t>11. Conclusion and Future Research</w:t>
      </w:r>
      <w:r>
        <w:tab/>
        <w:t>47</w:t>
      </w:r>
    </w:p>
    <w:p w14:paraId="5EB70305" w14:textId="77777777" w:rsidR="008F026E" w:rsidRDefault="008F026E">
      <w:pPr>
        <w:tabs>
          <w:tab w:val="right" w:leader="dot" w:pos="9360"/>
        </w:tabs>
        <w:ind w:left="420"/>
      </w:pPr>
      <w:r>
        <w:t>11.1 Findings and Contributions</w:t>
      </w:r>
      <w:r>
        <w:tab/>
        <w:t>47</w:t>
      </w:r>
    </w:p>
    <w:p w14:paraId="2DFBCC75" w14:textId="77777777" w:rsidR="008F026E" w:rsidRDefault="008F026E">
      <w:pPr>
        <w:tabs>
          <w:tab w:val="right" w:leader="dot" w:pos="9360"/>
        </w:tabs>
        <w:ind w:left="420"/>
      </w:pPr>
      <w:r>
        <w:t>11.2 Future Research</w:t>
      </w:r>
      <w:r>
        <w:tab/>
        <w:t>48</w:t>
      </w:r>
    </w:p>
    <w:p w14:paraId="2FDF5EB9" w14:textId="77777777" w:rsidR="00961C7F" w:rsidRDefault="00446F2F">
      <w:pPr>
        <w:tabs>
          <w:tab w:val="right" w:leader="dot" w:pos="9360"/>
        </w:tabs>
      </w:pPr>
      <w:r>
        <w:t>12. References</w:t>
      </w:r>
      <w:r>
        <w:tab/>
        <w:t>49</w:t>
      </w:r>
    </w:p>
    <w:p w14:paraId="2741BE38" w14:textId="77777777" w:rsidR="00C91710" w:rsidRDefault="00446F2F" w:rsidP="004363D6">
      <w:pPr>
        <w:tabs>
          <w:tab w:val="right" w:leader="dot" w:pos="9360"/>
        </w:tabs>
      </w:pPr>
      <w:r>
        <w:t>13. Appendix</w:t>
      </w:r>
      <w:r w:rsidR="002F7C4F">
        <w:t>:</w:t>
      </w:r>
      <w:r>
        <w:t xml:space="preserve"> Extended-window PPML sensitivity</w:t>
      </w:r>
      <w:r>
        <w:tab/>
        <w:t>52</w:t>
      </w:r>
    </w:p>
    <w:p w14:paraId="202B2A1C" w14:textId="77777777" w:rsidR="00961C7F" w:rsidRDefault="008A042F">
      <w:pPr>
        <w:pStyle w:val="Heading1"/>
        <w:spacing w:before="0"/>
      </w:pPr>
      <w:r>
        <w:t>List of Tables</w:t>
      </w:r>
    </w:p>
    <w:p w14:paraId="32FB3DC1" w14:textId="77777777" w:rsidR="00961C7F" w:rsidRDefault="008A042F">
      <w:pPr>
        <w:tabs>
          <w:tab w:val="right" w:leader="dot" w:pos="9360"/>
        </w:tabs>
      </w:pPr>
      <w:r>
        <w:t>Table 1. Construction of the cumulative net policy-change measure, step by step.</w:t>
      </w:r>
    </w:p>
    <w:p w14:paraId="6B7CD6D3" w14:textId="77777777" w:rsidR="00961C7F" w:rsidRDefault="008A042F">
      <w:pPr>
        <w:tabs>
          <w:tab w:val="right" w:leader="dot" w:pos="9360"/>
        </w:tabs>
      </w:pPr>
      <w:r>
        <w:t>Table 2. Policy event counts under three target-group definitions, target origin All foreign nationalities, 2007-2019.</w:t>
      </w:r>
    </w:p>
    <w:p w14:paraId="2F4A41F5" w14:textId="77777777" w:rsidR="00961C7F" w:rsidRDefault="008A042F">
      <w:pPr>
        <w:tabs>
          <w:tab w:val="right" w:leader="dot" w:pos="9360"/>
        </w:tabs>
      </w:pPr>
      <w:r>
        <w:t>Table 3. Preferred all-migrant-worker cumulative policy measure by policy tool, target origin All foreign nationalities.</w:t>
      </w:r>
    </w:p>
    <w:p w14:paraId="4ED11DA8" w14:textId="77777777" w:rsidR="00961C7F" w:rsidRDefault="008A042F">
      <w:pPr>
        <w:tabs>
          <w:tab w:val="right" w:leader="dot" w:pos="9360"/>
        </w:tabs>
      </w:pPr>
      <w:r>
        <w:t>Table 4. Variable definitions for the regression specifications.</w:t>
      </w:r>
    </w:p>
    <w:p w14:paraId="476BA513" w14:textId="77777777" w:rsidR="00961C7F" w:rsidRDefault="008A042F">
      <w:pPr>
        <w:tabs>
          <w:tab w:val="right" w:leader="dot" w:pos="9360"/>
        </w:tabs>
      </w:pPr>
      <w:r>
        <w:t>Table 5. Descriptive statistics for core HSRate regression samples.</w:t>
      </w:r>
    </w:p>
    <w:p w14:paraId="07A8AB17" w14:textId="77777777" w:rsidR="00961C7F" w:rsidRDefault="008A042F">
      <w:pPr>
        <w:tabs>
          <w:tab w:val="right" w:leader="dot" w:pos="9360"/>
        </w:tabs>
      </w:pPr>
      <w:r>
        <w:t>Table 6. Aggregate country-year regression results.</w:t>
      </w:r>
    </w:p>
    <w:p w14:paraId="6CB83505" w14:textId="77777777" w:rsidR="00B15532" w:rsidRDefault="008A042F" w:rsidP="00B15532">
      <w:pPr>
        <w:tabs>
          <w:tab w:val="right" w:leader="dot" w:pos="9360"/>
        </w:tabs>
      </w:pPr>
      <w:r>
        <w:t>Table 7. Preferred bilateral specification and comparison models.</w:t>
      </w:r>
    </w:p>
    <w:p w14:paraId="71D6EC56" w14:textId="77777777" w:rsidR="00B15532" w:rsidRDefault="00B15532" w:rsidP="00B15532">
      <w:pPr>
        <w:tabs>
          <w:tab w:val="right" w:leader="dot" w:pos="9360"/>
        </w:tabs>
      </w:pPr>
      <w:r>
        <w:t>Table 8. PPML estimates for bilateral permit-count outcomes.</w:t>
      </w:r>
    </w:p>
    <w:p w14:paraId="5D359241" w14:textId="77777777" w:rsidR="008F026E" w:rsidRDefault="008F026E">
      <w:pPr>
        <w:tabs>
          <w:tab w:val="right" w:leader="dot" w:pos="9360"/>
        </w:tabs>
      </w:pPr>
      <w:r>
        <w:t>Table 9. Four independently estimated bilateral PPML regressions, one for each permit-count dependent variable.</w:t>
      </w:r>
    </w:p>
    <w:p w14:paraId="6B38C0EB" w14:textId="77777777" w:rsidR="00B15532" w:rsidRDefault="00B15532" w:rsidP="00B15532">
      <w:pPr>
        <w:tabs>
          <w:tab w:val="right" w:leader="dot" w:pos="9360"/>
        </w:tabs>
      </w:pPr>
      <w:r>
        <w:t>Table 10. Robustness and sensitivity checks for the preferred bilateral model.</w:t>
      </w:r>
    </w:p>
    <w:p w14:paraId="7B4DFA7E" w14:textId="77777777" w:rsidR="00961C7F" w:rsidRDefault="008A042F">
      <w:pPr>
        <w:pStyle w:val="Heading1"/>
      </w:pPr>
      <w:r>
        <w:lastRenderedPageBreak/>
        <w:t>List of Graphs</w:t>
      </w:r>
    </w:p>
    <w:p w14:paraId="798FAF07" w14:textId="77777777" w:rsidR="00961C7F" w:rsidRDefault="008A042F">
      <w:pPr>
        <w:tabs>
          <w:tab w:val="right" w:leader="dot" w:pos="9360"/>
        </w:tabs>
      </w:pPr>
      <w:r>
        <w:t>Graph 1. Descriptive relationship between cumulative net policy-change score and HSRate within 2008-2019.</w:t>
      </w:r>
    </w:p>
    <w:p w14:paraId="183A981B" w14:textId="77777777" w:rsidR="008F026E" w:rsidRDefault="008F026E">
      <w:pPr>
        <w:tabs>
          <w:tab w:val="right" w:leader="dot" w:pos="9360"/>
        </w:tabs>
      </w:pPr>
      <w:r>
        <w:t>Graph 2. EU-directive coefficients in the preferred bilateral specification.</w:t>
      </w:r>
    </w:p>
    <w:p w14:paraId="1AEA0154" w14:textId="77777777" w:rsidR="00961C7F" w:rsidRDefault="008A042F">
      <w:pPr>
        <w:tabs>
          <w:tab w:val="right" w:leader="dot" w:pos="9360"/>
        </w:tabs>
      </w:pPr>
      <w:r>
        <w:t>Graph 3. Coefficient estimates across aggregate, preferred, and robustness specifications.</w:t>
      </w:r>
    </w:p>
    <w:p w14:paraId="1E41ABDD" w14:textId="77777777" w:rsidR="00961C7F" w:rsidRDefault="008A042F">
      <w:pPr>
        <w:tabs>
          <w:tab w:val="right" w:leader="dot" w:pos="9360"/>
        </w:tabs>
      </w:pPr>
      <w:r>
        <w:t>Graph 4. Tool-specific estimates for policy tools with at least three retained events.</w:t>
      </w:r>
    </w:p>
    <w:p w14:paraId="586B078A" w14:textId="77777777" w:rsidR="00961C7F" w:rsidRPr="004015D2" w:rsidRDefault="008A042F" w:rsidP="004015D2">
      <w:pPr>
        <w:pStyle w:val="Heading1"/>
        <w:rPr>
          <w:rFonts w:cstheme="majorHAnsi"/>
          <w:szCs w:val="34"/>
        </w:rPr>
      </w:pPr>
      <w:r>
        <w:br w:type="page"/>
      </w:r>
      <w:r>
        <w:rPr>
          <w:rFonts w:cstheme="majorHAnsi"/>
          <w:szCs w:val="34"/>
        </w:rPr>
        <w:lastRenderedPageBreak/>
        <w:t>1. Introduction</w:t>
      </w:r>
    </w:p>
    <w:p w14:paraId="1D0D1333" w14:textId="77777777" w:rsidR="002467CE" w:rsidRPr="00542E2D" w:rsidRDefault="002467CE"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Over the past two decades, most European countries have redesigned their legal-entry rules for non-EU workers to become more selective. The reforms include salary thresholds, points systems, employer-sponsorship rules, labor-market tests, and national implementation of the EU Blue Card (Cerna 2016; Czaika and Parsons 2017). They share a common concern: advanced economies increasingly rely on high-skilled migrants. The OECD's International Migration Outlook 2024 records a historic high in permanent-type immigration to the OECD area in 2023, alongside widespread labor shortages and the onset of population ageing (OECD 2024).</w:t>
      </w:r>
    </w:p>
    <w:p w14:paraId="19A64BBE" w14:textId="77777777" w:rsidR="002467CE" w:rsidRPr="00542E2D" w:rsidRDefault="00A36F18"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High-skilled immigration can support innovation, productivity, and public finances (Storesletten 2000; Hunt and Gauthier-Loiselle 2010; Peri 2012). It is especially relevant as European labor markets face persistent shortages. Against this background, the central concern of this thesis is whether labor-migration restrictiveness is associated with the skill composition of legal employment-related entry. The research question is therefore:</w:t>
      </w:r>
    </w:p>
    <w:p w14:paraId="1BB4850D" w14:textId="77777777" w:rsidR="002467CE" w:rsidRPr="008B7D16" w:rsidRDefault="002467CE" w:rsidP="00924A14">
      <w:pPr>
        <w:pStyle w:val="NormalWeb"/>
        <w:suppressAutoHyphens/>
        <w:spacing w:line="360" w:lineRule="auto"/>
        <w:jc w:val="both"/>
        <w:rPr>
          <w:rFonts w:asciiTheme="minorHAnsi" w:hAnsiTheme="minorHAnsi"/>
          <w:i/>
          <w:iCs/>
          <w:sz w:val="22"/>
          <w:szCs w:val="22"/>
        </w:rPr>
      </w:pPr>
      <w:r>
        <w:rPr>
          <w:rFonts w:asciiTheme="minorHAnsi" w:hAnsiTheme="minorHAnsi"/>
          <w:i/>
          <w:iCs/>
          <w:sz w:val="22"/>
          <w:szCs w:val="22"/>
        </w:rPr>
        <w:t>How is labor-migration policy restrictiveness associated with the high-skilled share of employment-related first residence permits in European destination countries between 2008 and 2019?</w:t>
      </w:r>
    </w:p>
    <w:p w14:paraId="77611312" w14:textId="77777777" w:rsidR="002467CE" w:rsidRPr="008B7D16"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question is not whether restrictive policy reduces the number of incoming workers but how it changes the skill composition of the permit pool. The empirical strategy combines two harmonized annual datasets: Eurostat first residence permits issued for remunerated activities, broken down by reason, duration, citizenship, destination, and year, restricted to permits valid for at least twelve months; and the DEMIG-QuantMig Migration Policy Database (Schreier, Skrabal and Czaika 2023) for the policy regressor.</w:t>
      </w:r>
    </w:p>
    <w:p w14:paraId="62258117" w14:textId="77777777" w:rsidR="002467CE" w:rsidRPr="002751DF"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analysis proceeds in two stages: an aggregate destination-year fixed-effects benchmark model with destination-clustered standard errors, and the preferred bilateral origin-destination-year model with destination and origin-year fixed effects, weighted by the employment-permit denominator used to calculate the high-skilled share.</w:t>
      </w:r>
    </w:p>
    <w:p w14:paraId="53D62A3E" w14:textId="77777777" w:rsidR="004015D2" w:rsidRPr="00214486" w:rsidRDefault="002467CE" w:rsidP="00214486">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central argument is compositional: general labor-migration restrictions may reduce lower-skilled entry more than high-skilled entry when high-skilled candidates can use dedicated routes. The predicted result is a higher high-skilled share among employment-related first permits, without a necessary increase in total permit volume. The thesis tests this prediction in aggregate and bilateral 2008-2019 panels and then reintroduces 2020 as a pandemic-year robustness check.</w:t>
      </w:r>
      <w:r w:rsidR="004015D2">
        <w:br w:type="page"/>
      </w:r>
    </w:p>
    <w:p w14:paraId="5A1F7306" w14:textId="77777777" w:rsidR="001F7EAF" w:rsidRDefault="00640B9D" w:rsidP="00214486">
      <w:pPr>
        <w:pStyle w:val="NormalWeb"/>
        <w:spacing w:line="360" w:lineRule="auto"/>
        <w:jc w:val="both"/>
      </w:pPr>
      <w:r>
        <w:rPr>
          <w:rFonts w:asciiTheme="minorHAnsi" w:hAnsiTheme="minorHAnsi"/>
          <w:sz w:val="22"/>
          <w:szCs w:val="22"/>
        </w:rPr>
        <w:lastRenderedPageBreak/>
        <w:t>The thesis proceeds as follows. Section 2 reviews the literature and identifies the gap, Section 3 derives the compositional prediction, and Sections 4-6 present the institutional background, empirical strategy, and data. Sections 7 and 8 report the results and robustness evidence. Sections 9-11 discuss the limitations and policy implications before concluding with the study's contributions and directions for future research.</w:t>
      </w:r>
    </w:p>
    <w:p w14:paraId="038C999B" w14:textId="77777777" w:rsidR="00961C7F" w:rsidRDefault="008A042F">
      <w:pPr>
        <w:pStyle w:val="Heading1"/>
        <w:jc w:val="both"/>
      </w:pPr>
      <w:r>
        <w:t>2. Literature Review</w:t>
      </w:r>
    </w:p>
    <w:p w14:paraId="43ED7C6A" w14:textId="77777777" w:rsidR="00961C7F" w:rsidRDefault="008A042F" w:rsidP="00CE7FC0">
      <w:pPr>
        <w:pStyle w:val="Heading2"/>
        <w:jc w:val="both"/>
      </w:pPr>
      <w:r>
        <w:t>2.1 Self-selection and the Roy model</w:t>
      </w:r>
    </w:p>
    <w:p w14:paraId="08CAD5B0" w14:textId="77777777" w:rsidR="000E7EDD" w:rsidRPr="00542E2D" w:rsidRDefault="000E7EDD" w:rsidP="00604AAF">
      <w:pPr>
        <w:pStyle w:val="isselectedend"/>
        <w:suppressAutoHyphens/>
        <w:spacing w:line="360" w:lineRule="auto"/>
        <w:ind w:firstLine="720"/>
        <w:jc w:val="both"/>
        <w:rPr>
          <w:rFonts w:asciiTheme="minorHAnsi" w:hAnsiTheme="minorHAnsi"/>
          <w:sz w:val="22"/>
          <w:szCs w:val="22"/>
        </w:rPr>
      </w:pPr>
      <w:r>
        <w:rPr>
          <w:rFonts w:asciiTheme="minorHAnsi" w:hAnsiTheme="minorHAnsi"/>
          <w:sz w:val="22"/>
          <w:szCs w:val="22"/>
        </w:rPr>
        <w:t>The theoretical starting point is Borjas (1987), who applies a Roy-model framework to migrant self-selection. Migrants compare expected returns across locations after migration costs, and selection depends partly on relative returns to skill and the transferability of skills. This thesis extends that logic by treating legal-entry requirements as part of migration costs and asking whether those requirements affect skill groups differently.</w:t>
      </w:r>
    </w:p>
    <w:p w14:paraId="687478FB" w14:textId="77777777" w:rsidR="000E7EDD" w:rsidRPr="000E7EDD" w:rsidRDefault="000E7EDD"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Grogger and Hanson (2011) provide the empirical counterpart using bilateral data on migrant stocks by education in OECD destinations. They find positive selection, meaning more-educated workers are more likely to emigrate, and positive sorting, meaning emigrants tend to choose destinations with higher returns to skill. Later work adds nuance. Macaluso (2022) finds that skill-selective systems often improve selection on observable human-capital characteristics, but emphasizes that effects vary across policy designs and do not guarantee stronger long-term outcomes. Schmidt, Kristen and Mühlau (2022) document predominantly positive educational selection among first-generation immigrants in 18 European countries.</w:t>
      </w:r>
    </w:p>
    <w:p w14:paraId="5752304A" w14:textId="77777777" w:rsidR="00961C7F" w:rsidRDefault="008A042F">
      <w:pPr>
        <w:pStyle w:val="Heading2"/>
        <w:jc w:val="both"/>
      </w:pPr>
      <w:r>
        <w:t>2.2 Policy effectiveness and channel substitution</w:t>
      </w:r>
    </w:p>
    <w:p w14:paraId="0713716F" w14:textId="77777777" w:rsidR="00961C7F" w:rsidRDefault="008A042F" w:rsidP="00E064AD">
      <w:pPr>
        <w:ind w:firstLine="720"/>
        <w:jc w:val="both"/>
      </w:pPr>
      <w:r>
        <w:t>Czaika and de Haas (2013) argue that policy effectiveness should not be judged only by whether reforms reduce aggregate migration. Restrictions may produce categorical, spatial, inter-temporal, or reverse-flow substitution, although empirical evidence on these effects remains limited. Channel substitution between legal visa types is not directly testable in the permit data used here, which count first permits within each reason category but do not track individuals across categories.</w:t>
      </w:r>
    </w:p>
    <w:p w14:paraId="0FF36E0B" w14:textId="77777777" w:rsidR="00961C7F" w:rsidRDefault="008A042F">
      <w:pPr>
        <w:pStyle w:val="Heading2"/>
        <w:jc w:val="both"/>
      </w:pPr>
      <w:r>
        <w:t>2.3 Skill-selective policy design and instrument heterogeneity</w:t>
      </w:r>
    </w:p>
    <w:p w14:paraId="08D150C0" w14:textId="77777777" w:rsidR="008D6D9A" w:rsidRPr="008D6D9A" w:rsidRDefault="008D6D9A"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Skill-selective migration policy is a set of design choices rather than a single instrument: education requirements, occupational lists, salary thresholds, points systems, researcher or </w:t>
      </w:r>
      <w:r>
        <w:rPr>
          <w:rFonts w:asciiTheme="minorHAnsi" w:hAnsiTheme="minorHAnsi"/>
          <w:sz w:val="22"/>
          <w:szCs w:val="22"/>
        </w:rPr>
        <w:lastRenderedPageBreak/>
        <w:t>talent permits, employer sponsorship rules, labor-market tests, quotas, and qualification recognition. These tools work differently. Some select migrants directly on human capital, others delegate selection to employers, and others limit permit numbers or raise the administrative cost of hiring from abroad.</w:t>
      </w:r>
    </w:p>
    <w:p w14:paraId="6113846E"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Restrictiveness and selectivity are therefore related but not the same. A reform can tighten entry for migrant workers in general while preserving or expanding skilled routes, and a formally skilled route can still be unattractive if thresholds are high, processing slow, family rights limited, or employer obligations heavy. A single aggregate restrictiveness measure can hide these differences: the same numerical change may reflect a tighter quota, a stricter permit condition, a new points system, or heavier employer liability, and these reforms are unlikely to move the high-skilled share identically.</w:t>
      </w:r>
    </w:p>
    <w:p w14:paraId="44CC5005"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Czaika and Parsons (2017) show that the effect of high-skilled migration policy depends on the instrument. Points systems attract and select high-skilled migrants more effectively than job-offer requirements, labor-market tests, or shortage lists. The lesson is not that one tool always dominates, but that design changes the margin of response: a points system changes selection criteria, a salary threshold the minimum market value of an applicant, a labor-market test recruitment frictions, and a quota the scale of entry.</w:t>
      </w:r>
    </w:p>
    <w:p w14:paraId="6D26A468"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Cerna (2016) adds a political and institutional perspective: European high-skilled immigration policy has evolved selectively rather than uniformly, with countries adjusting routes, thresholds, and rights in response to labor-market needs, political constraints, and institutional legacies. This explains the layered European system in which EU frameworks coexist with national talent schemes, researcher permits, shortage-list channels, salary rules, and employer-sponsored permits.</w:t>
      </w:r>
    </w:p>
    <w:p w14:paraId="7E7E2CC1" w14:textId="77777777" w:rsidR="008D6D9A" w:rsidRPr="008D6D9A" w:rsidRDefault="008D6D9A" w:rsidP="00664284">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measurement literature points in the same direction. Rayp, Ruyssen and Standaert (2017), Helbling et al. (2017), and de Haas, Natter and Vezzoli’s (2015) work on migration-policy change show that immigration policy is multidimensional. Visible entry rules and less visible rules on stay, rights, and integration do not necessarily move together. </w:t>
      </w:r>
    </w:p>
    <w:p w14:paraId="4987D56F" w14:textId="77777777" w:rsidR="00961C7F" w:rsidRDefault="008A042F">
      <w:pPr>
        <w:pStyle w:val="Heading2"/>
        <w:jc w:val="both"/>
      </w:pPr>
      <w:r>
        <w:t>2.4 Positioning relative to previous methods</w:t>
      </w:r>
    </w:p>
    <w:p w14:paraId="7B13DDC2" w14:textId="77777777" w:rsidR="0074059F" w:rsidRPr="00B754C4" w:rsidRDefault="0074059F"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Earlier studies use several related designs. Mayda (2010) estimates bilateral migration-flow models with origin and destination fixed effects and a direction-coded annual policy-change indicator. Ortega and Peri (2013) develop a bilateral destination-choice model with a cumulative </w:t>
      </w:r>
      <w:r>
        <w:rPr>
          <w:rFonts w:asciiTheme="minorHAnsi" w:hAnsiTheme="minorHAnsi"/>
          <w:sz w:val="22"/>
          <w:szCs w:val="22"/>
        </w:rPr>
        <w:lastRenderedPageBreak/>
        <w:t>entry-policy index and origin-year fixed effects. Bertoli and Fernández-Huertas Moraga (2013) show how alternative destinations create multilateral-resistance bias and propose Common Correlated Effects estimation, while Czaika and Parsons (2017) estimate a micro-founded bilateral gravity model with separate high-skilled policy instruments. Measurement-focused work, including Rayp, Ruyssen and Standaert (2017) and Helbling et al. (2017), instead builds synthetic country-level policy indices. This thesis combines an aggregate benchmark with a bilateral model; origin-year fixed effects absorb shocks common to each origin-year and therefore reduce, but do not eliminate, multilateral-resistance concerns.</w:t>
      </w:r>
    </w:p>
    <w:p w14:paraId="442F64E5" w14:textId="77777777" w:rsidR="00961C7F" w:rsidRDefault="008A042F">
      <w:pPr>
        <w:pStyle w:val="Heading2"/>
      </w:pPr>
      <w:r>
        <w:t>2.5 Measurement of migration policy</w:t>
      </w:r>
    </w:p>
    <w:p w14:paraId="693E83F9" w14:textId="77777777" w:rsidR="0074059F" w:rsidRPr="00542E2D" w:rsidRDefault="0074059F"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Migration-policy databases differ in coverage and detail. IMPIC provides a structured immigration-policy index through 2010 (Helbling et al. 2017), whereas DEMIG-QuantMig records European policy events through 2020 with fields for policy area, tool, target group, direction, and magnitude (Schreier, Skrabal and Czaika 2023). Because the analysis needs dated, magnitude-weighted events covering the post-2008 European reform period, DEMIG-QuantMig is the most suitable source.</w:t>
      </w:r>
    </w:p>
    <w:p w14:paraId="1E59DF0C" w14:textId="77777777" w:rsidR="00755367" w:rsidRDefault="00755367" w:rsidP="00755367">
      <w:pPr>
        <w:pStyle w:val="Heading2"/>
        <w:jc w:val="both"/>
      </w:pPr>
      <w:r>
        <w:t>2.6 The gap addressed by this thesis</w:t>
      </w:r>
    </w:p>
    <w:p w14:paraId="78CE7EF0" w14:textId="77777777" w:rsidR="00755367" w:rsidRPr="006E5755" w:rsidRDefault="00755367" w:rsidP="00755367">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The literature does not establish whether general labor-migration restrictiveness is associated with the skill composition of legal employment-related entry in an annual, post-2008 European bilateral panel.</w:t>
      </w:r>
    </w:p>
    <w:p w14:paraId="24E8A424" w14:textId="77777777" w:rsidR="00755367" w:rsidRPr="0074059F" w:rsidRDefault="00755367" w:rsidP="00755367">
      <w:pPr>
        <w:pStyle w:val="NormalWeb"/>
        <w:suppressAutoHyphens/>
        <w:spacing w:line="360" w:lineRule="auto"/>
        <w:jc w:val="both"/>
        <w:rPr>
          <w:rFonts w:asciiTheme="minorHAnsi" w:hAnsiTheme="minorHAnsi"/>
          <w:sz w:val="22"/>
          <w:szCs w:val="22"/>
        </w:rPr>
      </w:pPr>
      <w:r>
        <w:rPr>
          <w:rFonts w:asciiTheme="minorHAnsi" w:hAnsiTheme="minorHAnsi"/>
          <w:sz w:val="22"/>
          <w:szCs w:val="22"/>
        </w:rPr>
        <w:t>Earlier studies leave the question open for several reasons: some measure policy as a binary dummy without reform magnitude, some pool all migrant-policy reforms regardless of target group, some study aggregate volume rather than composition, and some estimate only at the destination-year level without origin-side variation. The compositional question has therefore not been answered in the post-2008 European setting at the origin-destination-year level with magnitude-weighted events.</w:t>
      </w:r>
    </w:p>
    <w:p w14:paraId="0BEDC296" w14:textId="77777777" w:rsidR="008F026E" w:rsidRPr="001C2133" w:rsidRDefault="00A36F18">
      <w:pPr>
        <w:pStyle w:val="NormalWeb"/>
        <w:suppressAutoHyphens/>
        <w:spacing w:line="360" w:lineRule="auto"/>
        <w:jc w:val="both"/>
        <w:rPr>
          <w:rFonts w:asciiTheme="minorHAnsi" w:hAnsiTheme="minorHAnsi"/>
          <w:sz w:val="22"/>
          <w:szCs w:val="22"/>
        </w:rPr>
      </w:pPr>
      <w:r>
        <w:rPr>
          <w:rFonts w:asciiTheme="minorHAnsi" w:hAnsiTheme="minorHAnsi"/>
          <w:sz w:val="22"/>
        </w:rPr>
        <w:t xml:space="preserve">The thesis makes five contributions. First, it links Eurostat first-residence-permit statistics to dated DEMIG-QuantMig policy events. Second, its signed, magnitude-weighted policy measure preserves the direction and size of each reform. Third, it separates all-migrant-worker reforms from reforms targeting skilled/high-skilled or low-skilled workers. Fourth, it estimates a bilateral origin-destination-year model with destination and origin-year fixed effects and denominator weights. Fifth, it uses wild-cluster bootstrap inference to address the limited number of </w:t>
      </w:r>
      <w:r>
        <w:rPr>
          <w:rFonts w:asciiTheme="minorHAnsi" w:hAnsiTheme="minorHAnsi"/>
          <w:sz w:val="22"/>
        </w:rPr>
        <w:lastRenderedPageBreak/>
        <w:t>destination clusters. These choices sharpen the analysis, but the estimates remain conditional associations rather than causal effects.</w:t>
      </w:r>
    </w:p>
    <w:p w14:paraId="3B4EAF3D" w14:textId="77777777" w:rsidR="00961C7F" w:rsidRDefault="008A042F">
      <w:pPr>
        <w:pStyle w:val="Heading1"/>
      </w:pPr>
      <w:r>
        <w:t>3. Theoretical Framework</w:t>
      </w:r>
    </w:p>
    <w:p w14:paraId="54A57A38" w14:textId="77777777" w:rsidR="00413303" w:rsidRPr="00542E2D" w:rsidRDefault="00413303"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section explains how destination restrictiveness can shape the skill composition of migration flows. It combines two strands of the literature reviewed in Section 2: the Roy-model logic of migrant self-selection (Borjas 1987) and the gravity-style model of bilateral migration choice with multilateral resistance (Bertoli and Fernández-Huertas Moraga 2013). Together, they produce the testable prediction used in Section 5.</w:t>
      </w:r>
    </w:p>
    <w:p w14:paraId="6B4EA5FC"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In the Roy logic of Section 2.1, a potential migrant from origin o compares each destination d's expected utility, which depends on the wage premium for the migrant's skill and on labor-market access, against the cost of moving. Alongside relocation expenses, language barriers, and information frictions, that cost includes a destination-specific policy component reflecting the legal and administrative difficulty of entry, settlement, and long-run rights. Labor-migration policy therefore enters directly into the cost migrants face.</w:t>
      </w:r>
    </w:p>
    <w:p w14:paraId="4342A71D"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response to destination policy depends on outside options. In the standard reading these are alternative destinations, which high-skilled workers have more of; in the European setting, they also include alternative entry channels within the same destination.</w:t>
      </w:r>
    </w:p>
    <w:p w14:paraId="6F11D308"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Bertoli and Fernández-Huertas Moraga (2013) show that the share of migrants from origin o choosing destination d depends on multilateral resistance, the relative attractiveness of all other destinations: when d tightens, migrants may divert to alternatives. Under the maintained destination-choice structure, origin-year fixed effects absorb shocks common to migrants from the same origin in a given year, including common changes in alternative destinations. They reduce, but do not eliminate, more general multilateral-resistance concerns.</w:t>
      </w:r>
    </w:p>
    <w:p w14:paraId="19D9CF65"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the two frameworks yields the prediction that motivates the empirical specification. High-skilled workers may qualify for the EU Blue Card, intra-company transfers, researcher permits, or national talent schemes; lower-skilled workers rarely meet the salary, skill, or qualification thresholds for these channels and depend more heavily on the general work-permit route.</w:t>
      </w:r>
    </w:p>
    <w:p w14:paraId="53F62856"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A tightening of the general work-permit channel is therefore expected to affect lower-skilled workers more strongly than high-skilled workers who retain a dedicated route. This asymmetric </w:t>
      </w:r>
      <w:r>
        <w:rPr>
          <w:rFonts w:asciiTheme="minorHAnsi" w:hAnsiTheme="minorHAnsi"/>
          <w:sz w:val="22"/>
          <w:szCs w:val="22"/>
        </w:rPr>
        <w:lastRenderedPageBreak/>
        <w:t>entry-channel elasticity argument differs from the standard cross-destination elasticity argument, which predicts the opposite sign: if the only outside option were another destination, high-skilled workers would leave a tightening destination faster and the high-skilled share would fall. Because dedicated high-skill channels operate alongside general work-permit rules in Europe, the within-destination entry-channel interpretation is central to the thesis.</w:t>
      </w:r>
    </w:p>
    <w:p w14:paraId="2576527F" w14:textId="77777777" w:rsidR="00413303" w:rsidRPr="00E366A6"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prediction is compositional, not directional for either count in isolation: the high-skilled share of employment-related permits is expected to rise if lower-skilled permits decline proportionally more than high-skilled permits, while total employment-related permits and the absolute high-skilled count may rise, stay flat, or fall.</w:t>
      </w:r>
    </w:p>
    <w:p w14:paraId="47479127" w14:textId="77777777" w:rsidR="00610185" w:rsidRDefault="00610185">
      <w:pPr>
        <w:spacing w:after="0" w:line="240" w:lineRule="auto"/>
        <w:rPr>
          <w:rFonts w:ascii="Cambria" w:eastAsia="Cambria" w:hAnsi="Cambria" w:cs="Cambria"/>
          <w:b/>
          <w:bCs/>
          <w:color w:val="000000"/>
          <w:sz w:val="34"/>
          <w:szCs w:val="28"/>
        </w:rPr>
      </w:pPr>
      <w:r>
        <w:br w:type="page"/>
      </w:r>
    </w:p>
    <w:p w14:paraId="1F9855CB" w14:textId="77777777" w:rsidR="00961C7F" w:rsidRDefault="008A042F">
      <w:pPr>
        <w:pStyle w:val="Heading1"/>
        <w:jc w:val="both"/>
      </w:pPr>
      <w:r>
        <w:lastRenderedPageBreak/>
        <w:t>4. Institutional Background</w:t>
      </w:r>
    </w:p>
    <w:p w14:paraId="3220114F" w14:textId="77777777" w:rsidR="00E472CB" w:rsidRPr="00297800" w:rsidRDefault="00DA0408" w:rsidP="00297800">
      <w:pPr>
        <w:pStyle w:val="NormalWeb"/>
        <w:suppressAutoHyphens/>
        <w:spacing w:line="360" w:lineRule="auto"/>
        <w:ind w:firstLine="720"/>
        <w:jc w:val="both"/>
        <w:rPr>
          <w:rFonts w:asciiTheme="minorHAnsi" w:hAnsiTheme="minorHAnsi"/>
          <w:sz w:val="22"/>
          <w:szCs w:val="22"/>
        </w:rPr>
      </w:pPr>
      <w:r w:rsidRPr="00297800">
        <w:rPr>
          <w:rFonts w:asciiTheme="minorHAnsi" w:hAnsiTheme="minorHAnsi"/>
          <w:sz w:val="22"/>
          <w:szCs w:val="22"/>
        </w:rPr>
        <w:t>European labor-migration policy is organized in two layers. The EU layer sets minimum standards and harmonizes certain entry categories, notably the Blue Card Directive 2009/50/EC which was subsequently replaced by Directive (EU) 2021/1883, the Researchers Directive 2005/71/EC (replaced by Directive (EU) 2016/801), and the Single Permit Directive 2011/98/EU. These rules do not apply uniformly: Denmark and Ireland are not bound by the Blue Card Directive, and the United Kingdom did not participate while it was a Member State.</w:t>
      </w:r>
    </w:p>
    <w:p w14:paraId="1344BEE5" w14:textId="77777777" w:rsidR="006C70A2" w:rsidRPr="00297800" w:rsidRDefault="00E472CB" w:rsidP="00297800">
      <w:pPr>
        <w:pStyle w:val="NormalWeb"/>
        <w:suppressAutoHyphens/>
        <w:spacing w:line="360" w:lineRule="auto"/>
        <w:ind w:firstLine="720"/>
        <w:jc w:val="both"/>
        <w:rPr>
          <w:rFonts w:asciiTheme="minorHAnsi" w:hAnsiTheme="minorHAnsi" w:cstheme="majorHAnsi"/>
          <w:sz w:val="22"/>
          <w:szCs w:val="22"/>
        </w:rPr>
      </w:pPr>
      <w:r w:rsidRPr="00297800">
        <w:rPr>
          <w:rFonts w:asciiTheme="minorHAnsi" w:hAnsiTheme="minorHAnsi" w:cstheme="majorHAnsi"/>
          <w:sz w:val="22"/>
          <w:szCs w:val="22"/>
        </w:rPr>
        <w:t>The EU framework is not a single European work-permit regime. During the study period the Blue Card Directive allowed Member States to retain parallel national schemes for highly qualified workers, and the Single Permit Directive creates a common application procedure and set of rights while explicitly preserving national powers over admission. Substantive entry criteria therefore continue to vary nationally, which is why meaningful policy variation remains possible within a shared European legal setting (Council of the European Union 2009; European Parliament and Council 2011).</w:t>
      </w:r>
    </w:p>
    <w:p w14:paraId="4F5C1DB3" w14:textId="77777777" w:rsidR="00DA0408" w:rsidRPr="005C00DF" w:rsidRDefault="00DA0408" w:rsidP="00297800">
      <w:pPr>
        <w:pStyle w:val="NormalWeb"/>
        <w:suppressAutoHyphens/>
        <w:spacing w:line="360" w:lineRule="auto"/>
        <w:jc w:val="both"/>
        <w:rPr>
          <w:rFonts w:asciiTheme="minorHAnsi" w:hAnsiTheme="minorHAnsi" w:cstheme="majorHAnsi"/>
          <w:sz w:val="22"/>
          <w:szCs w:val="22"/>
        </w:rPr>
      </w:pPr>
      <w:r w:rsidRPr="00297800">
        <w:rPr>
          <w:rFonts w:asciiTheme="minorHAnsi" w:hAnsiTheme="minorHAnsi" w:cstheme="majorHAnsi"/>
          <w:sz w:val="22"/>
          <w:szCs w:val="22"/>
        </w:rPr>
        <w:t xml:space="preserve">The second layer is the national layer. This is where most of the variation in labor-migration restrictiveness is designed. Member States retain substantial discretion over salary thresholds, language requirements, labor-market tests, shortage-list rules, points systems, employer obligations, family-reunification rights, and national high-skilled permit schemes that operate </w:t>
      </w:r>
      <w:r w:rsidRPr="005C00DF">
        <w:rPr>
          <w:rFonts w:asciiTheme="minorHAnsi" w:hAnsiTheme="minorHAnsi" w:cstheme="majorHAnsi"/>
          <w:sz w:val="22"/>
          <w:szCs w:val="22"/>
        </w:rPr>
        <w:t>alongside the Blue Card.</w:t>
      </w:r>
    </w:p>
    <w:p w14:paraId="1BEC32F2" w14:textId="77777777" w:rsidR="008F026E" w:rsidRPr="005C00DF" w:rsidRDefault="008F026E" w:rsidP="00297800">
      <w:pPr>
        <w:pStyle w:val="NormalWeb"/>
        <w:suppressAutoHyphens/>
        <w:spacing w:line="360" w:lineRule="auto"/>
        <w:jc w:val="both"/>
        <w:rPr>
          <w:rFonts w:asciiTheme="minorHAnsi" w:hAnsiTheme="minorHAnsi" w:cstheme="majorHAnsi"/>
          <w:sz w:val="22"/>
          <w:szCs w:val="22"/>
        </w:rPr>
      </w:pPr>
      <w:r w:rsidRPr="005C00DF">
        <w:rPr>
          <w:rFonts w:asciiTheme="minorHAnsi" w:hAnsiTheme="minorHAnsi" w:cstheme="majorHAnsi"/>
          <w:sz w:val="22"/>
          <w:szCs w:val="22"/>
        </w:rPr>
        <w:t>Under Articles 21 and 45 of the Treaty on the Functioning of the European Union (TFEU) and Directive 2004/38/EC, EU citizens can generally move to and take up employment in another Member State without a national work permit (European Union 2016; European Parliament and Council 2004). Accession dates and temporary labor-market restrictions mean that this did not hold uniformly for every citizenship pair over 2008-2019. National labor-migration reforms aimed at third-country workers should nevertheless affect EU citizens less directly, making them a conceptually useful placebo population.</w:t>
      </w:r>
    </w:p>
    <w:p w14:paraId="4F6B3C5D" w14:textId="77777777" w:rsidR="00C70AE2" w:rsidRDefault="00A36F18">
      <w:pPr>
        <w:pStyle w:val="Heading1"/>
        <w:pageBreakBefore/>
      </w:pPr>
      <w:r>
        <w:lastRenderedPageBreak/>
        <w:t>5. Empirical Strategy</w:t>
      </w:r>
    </w:p>
    <w:p w14:paraId="5FF79C71" w14:textId="77777777" w:rsidR="00C70AE2" w:rsidRDefault="00A36F18">
      <w:pPr>
        <w:pStyle w:val="Heading2"/>
      </w:pPr>
      <w:bookmarkStart w:id="1" w:name="variable-construction"/>
      <w:r>
        <w:t>5.1 Variable construction</w:t>
      </w:r>
    </w:p>
    <w:p w14:paraId="39398107" w14:textId="77777777" w:rsidR="00C70AE2" w:rsidRDefault="00A36F18" w:rsidP="00316B19">
      <w:pPr>
        <w:jc w:val="both"/>
      </w:pPr>
      <w:r>
        <w:t>For destination d, origin o, and year t, the main dependent variable is the high-skilled share of employment-related first residence permits. It is measured at the destination-year level in the aggregate panel and at the origin-destination-year level in the bilateral panel. The main policy regressors are the one-year lags of the all-migrant-worker cumulative net policy-change score and annual policy-flow measure. Parallel high-skilled and low-skilled target-group measures enter as controls because they can affect the numerator or denominator more directly. The aggregate models collapse Non-EU permit totals to one observation per destination-year, so their notation does not require an origin or citizenship-group index.</w:t>
      </w:r>
    </w:p>
    <w:p w14:paraId="6E17CB8C" w14:textId="77777777" w:rsidR="00C70AE2" w:rsidRDefault="00A36F18" w:rsidP="00316B19">
      <w:pPr>
        <w:pStyle w:val="BodyText"/>
        <w:jc w:val="both"/>
      </w:pPr>
      <w:r>
        <w:t>The main outcome variable is the high-skilled share, HSRate. The high-skilled permit count, which adds the Eurostat categories for highly skilled workers and researchers, enters as the numerator of HSRate and is also used as the count outcome in the supporting Poisson Pseudo-Maximum-Likelihood (PPML) test. Because its denominator is Eurostat's employment-reason permit flow, HSRate measures composition within legal employment-permit issuance rather than total employment in the destination economy. The share outcome divides that count by the broader employment-related first-permit flow in the same cell:</w:t>
      </w:r>
    </w:p>
    <w:p w14:paraId="21E8AA2E" w14:textId="77777777" w:rsidR="00611027" w:rsidRDefault="00640B9D">
      <w:pPr>
        <w:pStyle w:val="BodyText"/>
        <w:jc w:val="both"/>
      </w:pPr>
      <w:proofErr w:type="gramStart"/>
      <w:r>
        <w:rPr>
          <w:i/>
        </w:rPr>
        <w:t>EmploymentPermitFlow</w:t>
      </w:r>
      <w:r>
        <w:rPr>
          <w:i/>
          <w:vertAlign w:val="subscript"/>
        </w:rPr>
        <w:t>o,d</w:t>
      </w:r>
      <w:proofErr w:type="gramEnd"/>
      <w:r>
        <w:rPr>
          <w:i/>
          <w:vertAlign w:val="subscript"/>
        </w:rPr>
        <w:t>,t</w:t>
      </w:r>
      <w:r>
        <w:t xml:space="preserve">, denoted </w:t>
      </w:r>
      <w:proofErr w:type="gramStart"/>
      <w:r>
        <w:rPr>
          <w:i/>
        </w:rPr>
        <w:t>EMP</w:t>
      </w:r>
      <w:r>
        <w:rPr>
          <w:i/>
          <w:vertAlign w:val="subscript"/>
        </w:rPr>
        <w:t>o,d</w:t>
      </w:r>
      <w:proofErr w:type="gramEnd"/>
      <w:r>
        <w:rPr>
          <w:i/>
          <w:vertAlign w:val="subscript"/>
        </w:rPr>
        <w:t>,t</w:t>
      </w:r>
      <w:r>
        <w:t xml:space="preserve"> in the PPML count model, is Eurostat's total number of first residence permits issued for remunerated activities in an origin-destination-year cell. In the aggregate models, these flows are summed across the retained </w:t>
      </w:r>
      <w:proofErr w:type="gramStart"/>
      <w:r>
        <w:t>Non-EU</w:t>
      </w:r>
      <w:proofErr w:type="gramEnd"/>
      <w:r>
        <w:t xml:space="preserve"> origins for each destination-year.</w:t>
      </w:r>
    </w:p>
    <w:p w14:paraId="75D564F9" w14:textId="77777777" w:rsidR="00C70AE2"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HighSkilledWorkerPermits</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ResearcherPermits</m:t>
              </m:r>
            </m:e>
            <m:sub>
              <m:r>
                <w:rPr>
                  <w:rFonts w:ascii="Cambria Math" w:hAnsi="Cambria Math"/>
                </w:rPr>
                <m:t>d</m:t>
              </m:r>
              <m:r>
                <m:rPr>
                  <m:sty m:val="p"/>
                </m:rPr>
                <w:rPr>
                  <w:rFonts w:ascii="Cambria Math" w:hAnsi="Cambria Math"/>
                </w:rPr>
                <m:t>,</m:t>
              </m:r>
              <m:r>
                <w:rPr>
                  <w:rFonts w:ascii="Cambria Math" w:hAnsi="Cambria Math"/>
                </w:rPr>
                <m:t>t</m:t>
              </m:r>
            </m:sub>
          </m:sSub>
        </m:oMath>
      </m:oMathPara>
    </w:p>
    <w:p w14:paraId="168FA27D" w14:textId="77777777" w:rsidR="00C70AE2" w:rsidRDefault="00000000">
      <m:oMathPara>
        <m:oMathParaPr>
          <m:jc m:val="center"/>
        </m:oMathParaPr>
        <m:oMath>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sub>
              </m:sSub>
            </m:den>
          </m:f>
        </m:oMath>
      </m:oMathPara>
    </w:p>
    <w:p w14:paraId="1F595CD2" w14:textId="77777777" w:rsidR="00C70AE2" w:rsidRDefault="00A36F18" w:rsidP="00316B19">
      <w:pPr>
        <w:jc w:val="both"/>
      </w:pPr>
      <w:r>
        <w:t>PermitScale is the logged one-year lag of all employment-related first residence permits in the relevant cell: destination-year in the aggregate model and origin-destination-year in the bilateral model. It uses the same permit count that forms the HSRate denominator, but at t minus 1 and in logarithms rather than at t as a denominator. It is therefore a scale control, not a duplicate of the dependent variable or a measure of total employment in the destination economy. The preferred bilateral model separately uses the current permit denominator as an estimation weight. PermitScale and the weight serve different purposes, as explained after Equation (3).</w:t>
      </w:r>
    </w:p>
    <w:p w14:paraId="424A9BBC" w14:textId="77777777" w:rsidR="00C70AE2"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43456505" w14:textId="77777777" w:rsidR="00C70AE2" w:rsidRDefault="00A36F18">
      <w:pPr>
        <w:pStyle w:val="Heading2"/>
      </w:pPr>
      <w:bookmarkStart w:id="2" w:name="regression-specifications"/>
      <w:bookmarkEnd w:id="1"/>
      <w:r>
        <w:lastRenderedPageBreak/>
        <w:t>5.2 Regression specifications</w:t>
      </w:r>
    </w:p>
    <w:p w14:paraId="584155F8" w14:textId="77777777" w:rsidR="008F026E" w:rsidRDefault="00A36F18" w:rsidP="00316B19">
      <w:pPr>
        <w:jc w:val="both"/>
      </w:pPr>
      <w:r>
        <w:t>The empirical analysis uses four specifications, each with a distinct role. Specifications 1 and 2 are aggregate benchmarks on the Non-EU sample. Specification 3 is the preferred bilateral share model. Specification 4 applies PPML to bilateral counts to assess whether the composition result is accompanied by changes in permit volumes.</w:t>
      </w:r>
    </w:p>
    <w:p w14:paraId="5D8BED2C" w14:textId="77777777" w:rsidR="00C70AE2" w:rsidRDefault="00A36F18" w:rsidP="00316B19">
      <w:pPr>
        <w:pStyle w:val="BodyText"/>
        <w:jc w:val="both"/>
      </w:pPr>
      <w:r>
        <w:rPr>
          <w:b/>
          <w:bCs/>
        </w:rPr>
        <w:t>Specification 1: Aggregate cumulative-policy model.</w:t>
      </w:r>
      <w:r>
        <w:t xml:space="preserve"> Equation (1) is the aggregate two-way fixed-effects model for the Non-EU sample. Its destination-year outcomes are constructed by summing permit counts across Non-EU citizenships. The equation uses the cumulative policy-change score, while high-skilled and low-skilled target-group policy paths enter as controls:</w:t>
      </w:r>
    </w:p>
    <w:p w14:paraId="5C16A845"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 xml:space="preserve">(1) </m:t>
              </m:r>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6C423F7F" w14:textId="77777777" w:rsidR="008F026E" w:rsidRDefault="00A36F18" w:rsidP="00316B19">
      <w:pPr>
        <w:jc w:val="both"/>
      </w:pPr>
      <w:r>
        <w:t>In Equation (1), d indexes destinations and t indexes years. Non-EU origins are summed into one destination-year total, so the aggregate model has no origin or citizenship-group index. Here, α denotes destination fixed effects, λ denotes year fixed effects, and β is the coefficient on Restrict, the lagged cumulative net policy-change score for all-migrant-worker reforms whose target origin is coded as All foreign nationalities; Section 6.2 describes how this score is constructed from DEMIG-QuantMig reform events. RestrictHS and RestrictLS control for reforms that directly target the high-skilled numerator or the lower-skilled part of the denominator. PermitScale controls for the size of the permit denominator, not total employment in the destination economy.</w:t>
      </w:r>
    </w:p>
    <w:p w14:paraId="448AE293" w14:textId="77777777" w:rsidR="00C70AE2" w:rsidRDefault="00A36F18" w:rsidP="00316B19">
      <w:pPr>
        <w:pStyle w:val="BodyText"/>
        <w:jc w:val="both"/>
      </w:pPr>
      <w:r>
        <w:t>In the aggregate model, PermitScale is computed from the lagged Non-EU employment-permit flow for the same destination. It therefore matches the permit universe used to construct the aggregate Non-EU outcome.</w:t>
      </w:r>
    </w:p>
    <w:p w14:paraId="1F22E969" w14:textId="77777777" w:rsidR="00C70AE2" w:rsidRPr="00316B19" w:rsidRDefault="00A36F18" w:rsidP="00316B19">
      <w:pPr>
        <w:pStyle w:val="BodyText"/>
        <w:jc w:val="both"/>
      </w:pPr>
      <w:r>
        <w:rPr>
          <w:b/>
          <w:bCs/>
        </w:rPr>
        <w:t>Specification 2: Aggregate annual policy-flow model.</w:t>
      </w:r>
      <w:r>
        <w:t xml:space="preserve"> Equation (2) uses the same Non-EU aggregate panel, controls, and fixed effects as the full aggregate model in Equation (1), but replaces the cumulative policy stock with annual policy-flow measures. It tests whether newly adopted all-migrant-worker reforms in a given year are associated with the following year's permit composition, while again controlling for newly adopted high-skilled and low-skilled target-group reforms. PolicyFlow is the annual net policy-change score for all-migrant-worker reforms, and PolicyFlowHS and PolicyFlowLS are the corresponding target-group scores; Section 6.2 describes their construction:</w:t>
      </w:r>
    </w:p>
    <w:p w14:paraId="196129FA"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(2)</m:t>
              </m:r>
              <m:r>
                <w:rPr>
                  <w:rFonts w:ascii="Cambria Math" w:hAnsi="Cambria Math"/>
                </w:rPr>
                <m:t xml:space="preserve"> </m:t>
              </m:r>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PolicyFlow</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PolicyFlowHS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PolicyFlowLS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3F942493" w14:textId="77777777" w:rsidR="00C70AE2" w:rsidRDefault="00A36F18" w:rsidP="00316B19">
      <w:pPr>
        <w:jc w:val="both"/>
      </w:pPr>
      <w:r>
        <w:rPr>
          <w:b/>
          <w:bCs/>
        </w:rPr>
        <w:lastRenderedPageBreak/>
        <w:t xml:space="preserve">Specification 3: Preferred bilateral share model. </w:t>
      </w:r>
      <w:r>
        <w:t>Each observation is an origin-destination-year cell, so the model is bilateral. It is denominator-weighted because cells with larger current employment-permit denominators receive more influence. HSRate is regressed on lagged Restrict, RestrictHS, RestrictLS, bilateral PermitScale, destination unemployment, and destination GDP growth, together with destination and origin-year fixed effects. The coefficient on Restrict remains the coefficient of interest. The skill-targeted controls account for reforms that can directly affect the numerator or the lower-skilled part of the denominator. PermitScale captures the corridor's size in the previous year; the weight is the current denominator used to calculate HSRate. Destination fixed effects absorb stable country differences, while origin-year fixed effects absorb shocks shared by migrants from the same origin in the same year, including origin labor-market conditions and common changes in the attractiveness of alternative destinations. They therefore reduce, rather than eliminate, multilateral-resistance concerns. This design separates general restrictiveness from skill-targeted reforms and reduces noise from small permit cells.</w:t>
      </w:r>
    </w:p>
    <w:p w14:paraId="314C038E"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(3)</m:t>
              </m:r>
              <m:r>
                <w:rPr>
                  <w:rFonts w:ascii="Cambria Math" w:hAnsi="Cambria Math"/>
                </w:rPr>
                <m:t xml:space="preserve"> </m:t>
              </m:r>
              <m:sSub>
                <m:sSubPr>
                  <m:ctrlPr>
                    <w:rPr>
                      <w:rFonts w:ascii="Cambria Math" w:hAnsi="Cambria Math"/>
                    </w:rPr>
                  </m:ctrlPr>
                </m:sSubPr>
                <m:e>
                  <m:r>
                    <m:rPr>
                      <m:sty m:val="p"/>
                    </m:rPr>
                    <w:rPr>
                      <w:rFonts w:ascii="Cambria Math" w:hAnsi="Cambria Math"/>
                    </w:rPr>
                    <m:t>HSRate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4C31247E" w14:textId="77777777" w:rsidR="00C70AE2" w:rsidRPr="00316B19" w:rsidRDefault="00A36F18" w:rsidP="00316B19">
      <w:pPr>
        <w:jc w:val="both"/>
      </w:pPr>
      <w:r>
        <w:t xml:space="preserve">In Equation (3), o indexes origin countries and </w:t>
      </w:r>
      <m:oMath>
        <m:r>
          <w:rPr>
            <w:rFonts w:ascii="Cambria Math" w:hAnsi="Cambria Math"/>
          </w:rPr>
          <m:t>μ</m:t>
        </m:r>
      </m:oMath>
      <w:r>
        <w:t xml:space="preserve"> represents origin-year fixed effects. Restrict is the cumulative net policy-change score for all-migrant-worker reforms targeting All foreign nationalities and remains the coefficient of interest. RestrictHS and RestrictLS are parallel cumulative scores for reforms targeting skilled/high-skilled workers and low-skilled workers. They enter as controls so that </w:t>
      </w:r>
      <m:oMath>
        <m:r>
          <w:rPr>
            <w:rFonts w:ascii="Cambria Math" w:hAnsi="Cambria Math"/>
          </w:rPr>
          <m:t>β</m:t>
        </m:r>
      </m:oMath>
      <w:r>
        <w:t xml:space="preserve"> is interpreted as the association of general employment-migration restrictiveness with HSRate, holding targeted skill-selective policy paths constant. The preferred estimate is obtained by weighted least squares (WLS) rather than unweighted ordinary least squares (OLS). Both estimators fit Equation (3) by making the model's prediction errors as small as possible; they differ only in how much influence each origin-destination-year cell has on that fit.</w:t>
      </w:r>
    </w:p>
    <w:p w14:paraId="1451E1AC" w14:textId="77777777" w:rsidR="00C70AE2" w:rsidRPr="00316B19" w:rsidRDefault="00A36F18" w:rsidP="00316B19">
      <w:pPr>
        <w:jc w:val="both"/>
      </w:pPr>
      <w:r>
        <w:t xml:space="preserve">The weight is the current number of employment-related permits in the origin-destination-year cell. Weighted least squares gives larger permit flows more influence and down-weights small cells whose calculated shares are more volatile. It therefore asks whether restrictiveness is associated with skill composition across the permits actually issued, rather than across an average corridor in which every cell counts equally. </w:t>
      </w:r>
      <w:r w:rsidR="00384A5D" w:rsidRPr="00384A5D">
        <w:t>Weighting changes each cell’s influence; it does not add another explanatory variable to Equation (3).</w:t>
      </w:r>
    </w:p>
    <w:p w14:paraId="244B4C8B" w14:textId="77777777" w:rsidR="00C70AE2" w:rsidRDefault="00A36F18" w:rsidP="00316B19">
      <w:pPr>
        <w:pStyle w:val="BodyText"/>
        <w:keepNext/>
        <w:jc w:val="both"/>
      </w:pPr>
      <w:r>
        <w:rPr>
          <w:b/>
          <w:bCs/>
        </w:rPr>
        <w:lastRenderedPageBreak/>
        <w:t>Specification 4: Bilateral PPML volume model.</w:t>
      </w:r>
      <w:r>
        <w:t xml:space="preserve"> The final specification addresses the volume side of the question. It applies Poisson Pseudo-Maximum-Likelihood (PPML) to the same underlying bilateral framework, following Santos Silva and Tenreyro (2006):</w:t>
      </w:r>
    </w:p>
    <w:p w14:paraId="77C427CA"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(4) E</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e>
              </m:d>
              <m:r>
                <m:rPr>
                  <m:sty m:val="p"/>
                </m:rPr>
                <w:rPr>
                  <w:rFonts w:ascii="Cambria Math" w:hAnsi="Cambria Math"/>
                </w:rPr>
                <m:t>=exp</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e>
              <m:r>
                <m:rPr>
                  <m:sty m:val="p"/>
                </m:rPr>
                <w:rPr>
                  <w:rFonts w:ascii="Cambria Math" w:hAnsi="Cambria Math"/>
                </w:rPr>
                <m:t xml:space="preserve">where </m:t>
              </m:r>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HSNumber</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EMP</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e>
              </m:d>
            </m:e>
          </m:eqArr>
        </m:oMath>
      </m:oMathPara>
    </w:p>
    <w:p w14:paraId="3B377289" w14:textId="77777777" w:rsidR="00FF58EB" w:rsidRPr="00542E2D" w:rsidRDefault="00FF58EB" w:rsidP="00316B19">
      <w:pPr>
        <w:spacing w:after="0"/>
        <w:jc w:val="both"/>
      </w:pPr>
      <w:r>
        <w:t>Equation (4) is different from the share models because it uses permit counts as the outcome. Since counts cannot be negative, the PPML model uses an exponential form that always predicts non-negative permit numbers. The coefficients are interpreted as percentage changes: a one-unit increase in the policy score changes the expected permit count by 100 × [exp(β) − 1] percent.</w:t>
      </w:r>
    </w:p>
    <w:p w14:paraId="5931B8E0" w14:textId="77777777" w:rsidR="00C70AE2" w:rsidRPr="00542E2D" w:rsidRDefault="00A36F18" w:rsidP="00316B19">
      <w:pPr>
        <w:spacing w:after="0"/>
        <w:jc w:val="both"/>
      </w:pPr>
      <w:r>
        <w:rPr>
          <w:rFonts w:eastAsia="Times New Roman"/>
        </w:rPr>
        <w:t>Equation (4) is therefore estimated twice. In the high-skilled-count version, Y is HSNumber, which tests whether the lagged cumulative all-migrant-worker policy score is associated with the absolute number of high-skilled permits. In the total-count version, Y is EMP, the total employment-permit count, which tests whether the denominator of HSRate changes. Both PPML models include the all-migrant-worker policy measure, the high-skilled and low-skilled policy controls, lagged destination unemployment and GDP growth, destination fixed effects, and origin-year fixed effects. Standard errors are clustered by destination. Unlike the share specifications, Equation (4) does not include PermitScale or denominator weights: it models the permit count itself rather than the precision of a calculated share. Within the retained positive-denominator analysis corridors, PPML retains zero HSNumber cells and avoids the log-of-zero problem that would affect an OLS with log specification.</w:t>
      </w:r>
    </w:p>
    <w:p w14:paraId="638E51AC" w14:textId="77777777" w:rsidR="00C70AE2" w:rsidRDefault="00A36F18">
      <w:pPr>
        <w:pStyle w:val="Heading2"/>
      </w:pPr>
      <w:bookmarkStart w:id="3" w:name="identification-and-inference"/>
      <w:bookmarkEnd w:id="2"/>
      <w:r>
        <w:t>5.3 Identification and inference</w:t>
      </w:r>
    </w:p>
    <w:p w14:paraId="65E02DB1" w14:textId="77777777" w:rsidR="008F026E" w:rsidRDefault="00A36F18" w:rsidP="00316B19">
      <w:pPr>
        <w:jc w:val="both"/>
      </w:pPr>
      <w:r>
        <w:t>The main identification problem is that migration policy is endogenous to economic conditions, and the empirical strategy addresses this partially. Destination fixed effects absorb stable country differences, such as geography, language, administrative capacity, and persistent openness to immigration. Year fixed effects in the aggregate model absorb common European shocks. Origin-year fixed effects in the preferred bilateral model absorb shocks shared by migrants from the same origin in the same year, including origin-country crises, conflicts, and changes in the attractiveness of alternative destinations. Lagged unemployment and GDP growth control for broad destination economic conditions before the outcome year, while the one-year policy lag reduces direct simultaneity between a policy event and permits issued in the same year.</w:t>
      </w:r>
    </w:p>
    <w:p w14:paraId="6445C2F4" w14:textId="0EB2C0AF" w:rsidR="008F026E" w:rsidRDefault="007E07B4" w:rsidP="00316B19">
      <w:pPr>
        <w:jc w:val="both"/>
      </w:pPr>
      <w:r>
        <w:t xml:space="preserve">Common EU labor-migration directives create a separate identification concern. </w:t>
      </w:r>
      <w:r w:rsidR="009A0EA9" w:rsidRPr="009A0EA9">
        <w:t>Origin-year fixed effects absorb EU-level shocks common to sampled destinations, but not differences in whether and when EU directives apply across destinations.</w:t>
      </w:r>
      <w:r w:rsidR="009A0EA9" w:rsidRPr="009A0EA9">
        <w:t xml:space="preserve"> </w:t>
      </w:r>
      <w:r>
        <w:t>The coefficient on the cumulative all-migrant-</w:t>
      </w:r>
      <w:r>
        <w:lastRenderedPageBreak/>
        <w:t>worker score is therefore identified from differences in national policy paths within each origin-year.</w:t>
      </w:r>
    </w:p>
    <w:p w14:paraId="6354FACE" w14:textId="77777777" w:rsidR="00C70AE2" w:rsidRDefault="00A36F18" w:rsidP="00316B19">
      <w:pPr>
        <w:pStyle w:val="BodyText"/>
        <w:jc w:val="both"/>
      </w:pPr>
      <w:r>
        <w:t>Stricter causal designs were considered but not adopted. A difference-in-differences or event-study design needs a few clearly timed, comparable reforms and a credible untreated group, whereas DEMIG-QuantMig records many overlapping reforms with different magnitudes, tools, and target groups, often within the same country-year; forcing them onto a single treatment date would discard most of the policy variation. An instrumental variable would need to shift restrictiveness without directly affecting permit composition, and no credible harmonized instrument exists for the full panel. The fixed-effects design is therefore chosen as the most transparent way to use the annual policy-event variation while making the identifying assumptions explicit, not because it proves causality.</w:t>
      </w:r>
    </w:p>
    <w:p w14:paraId="4E26ADD1" w14:textId="77777777" w:rsidR="00C70AE2" w:rsidRDefault="00A36F18" w:rsidP="00316B19">
      <w:pPr>
        <w:pStyle w:val="BodyText"/>
        <w:jc w:val="both"/>
      </w:pPr>
      <w:r>
        <w:t>Standard errors are clustered by destination country. The preferred bilateral model contains 30 destination clusters, so the thesis treats marginal results cautiously and does not describe 10-percent findings as main evidence. Supporting specifications may contain fewer clusters because missing observations, sample restrictions, or PPML separation remove destinations; each table reports the applicable value of G. This caution is consistent with the cluster-robust inference literature, where few-cluster settings require especially careful interpretation (Liang and Zeger 1986; Cameron, Gelbach and Miller 2008; MacKinnon and Webb 2018).</w:t>
      </w:r>
    </w:p>
    <w:p w14:paraId="3CE703DE" w14:textId="77777777" w:rsidR="00C70AE2" w:rsidRDefault="00A36F18" w:rsidP="00316B19">
      <w:pPr>
        <w:pStyle w:val="BodyText"/>
        <w:jc w:val="both"/>
      </w:pPr>
      <w:r>
        <w:t>To address the few-cluster concern directly, the preferred bilateral model is also evaluated with a wild-cluster bootstrap following Cameron, Gelbach and Miller (2008). The bootstrap imposes the null of β = 0, draws Rademacher weights at the destination-cluster level, constructs bootstrap outcomes, and re-estimates the preferred bilateral model in each replication. The resulting bootstrap p-value is reported with the preferred estimate in Section 7.2.</w:t>
      </w:r>
    </w:p>
    <w:p w14:paraId="058C266E" w14:textId="65C8D39B" w:rsidR="00994FB4" w:rsidRDefault="00A36F18" w:rsidP="00316B19">
      <w:pPr>
        <w:pStyle w:val="BodyText"/>
        <w:jc w:val="both"/>
      </w:pPr>
      <w:r>
        <w:t xml:space="preserve">The all-migrant-worker-only policy definition addresses a mechanical concern that would otherwise be present. </w:t>
      </w:r>
      <w:r w:rsidR="00994FB4">
        <w:t xml:space="preserve">To avoid conflating general policy exposure with reforms that directly target </w:t>
      </w:r>
      <w:proofErr w:type="spellStart"/>
      <w:r w:rsidR="00994FB4">
        <w:t>HSRate’s</w:t>
      </w:r>
      <w:proofErr w:type="spellEnd"/>
      <w:r w:rsidR="00994FB4">
        <w:t xml:space="preserve"> numerator or the lower-skilled part of its denominator, the all-migrant-worker-only score remains the main regressor, while high- and low-skilled policy scores enter as controls</w:t>
      </w:r>
      <w:r>
        <w:t>.</w:t>
      </w:r>
    </w:p>
    <w:p w14:paraId="646ADAC4" w14:textId="77777777" w:rsidR="00994FB4" w:rsidRDefault="00994FB4">
      <w:pPr>
        <w:spacing w:after="0" w:line="240" w:lineRule="auto"/>
      </w:pPr>
      <w:r>
        <w:br w:type="page"/>
      </w:r>
    </w:p>
    <w:bookmarkEnd w:id="3"/>
    <w:p w14:paraId="6CAB0813" w14:textId="71F9605A" w:rsidR="00961C7F" w:rsidRDefault="008A042F">
      <w:pPr>
        <w:pStyle w:val="Heading1"/>
      </w:pPr>
      <w:r>
        <w:lastRenderedPageBreak/>
        <w:t>6. Data</w:t>
      </w:r>
    </w:p>
    <w:p w14:paraId="7861B0FE" w14:textId="77777777" w:rsidR="00961C7F" w:rsidRDefault="008A042F">
      <w:pPr>
        <w:pStyle w:val="Heading2"/>
      </w:pPr>
      <w:r>
        <w:t>6.1 Outcome data: Eurostat residence-permit statistics</w:t>
      </w:r>
    </w:p>
    <w:p w14:paraId="56CFF649" w14:textId="77777777" w:rsidR="0078507D" w:rsidRPr="00542E2D" w:rsidRDefault="0078507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outcome data come from Eurostat's harmonized residence-permit statistics on first permits issued for remunerated activities (Eurostat 2026b). The dataset reports annual permit counts by reason for entry, length of validity, citizenship, destination country, and year. The baseline analysis covers 2008-2019, keeps observations measured as persons, and restricts the sample to permits valid for at least twelve months.</w:t>
      </w:r>
    </w:p>
    <w:p w14:paraId="03282BA9" w14:textId="77777777" w:rsidR="008F026E" w:rsidRPr="00F36226" w:rsidRDefault="00A36F18" w:rsidP="00580EF0">
      <w:pPr>
        <w:pStyle w:val="NormalWeb"/>
        <w:suppressAutoHyphens/>
        <w:adjustRightInd w:val="0"/>
        <w:snapToGrid w:val="0"/>
        <w:spacing w:line="360" w:lineRule="auto"/>
        <w:jc w:val="both"/>
        <w:rPr>
          <w:rFonts w:asciiTheme="minorHAnsi" w:hAnsiTheme="minorHAnsi"/>
          <w:sz w:val="22"/>
          <w:szCs w:val="22"/>
        </w:rPr>
      </w:pPr>
      <w:r>
        <w:rPr>
          <w:rFonts w:asciiTheme="minorHAnsi" w:hAnsiTheme="minorHAnsi"/>
          <w:sz w:val="22"/>
          <w:szCs w:val="22"/>
        </w:rPr>
        <w:t>The baseline excludes 2020 because the worldwide COVID-19 pandemic affected migration through several channels at once: border and travel restrictions, administrative delays, abrupt changes in employer demand, and uneven sectoral shutdowns. Year fixed effects absorb a shock shared uniformly across destinations, but they cannot remove country-specific differences in the timing and severity of these disruptions or in permit-processing backlogs. Including 2020 in the main sample could therefore make temporary pandemic conditions look like a response to ordinary labor-migration policy.</w:t>
      </w:r>
    </w:p>
    <w:p w14:paraId="371F9D67" w14:textId="77777777" w:rsidR="0078507D" w:rsidRPr="00F36226" w:rsidRDefault="0078507D" w:rsidP="00C36469">
      <w:pPr>
        <w:pStyle w:val="NormalWeb"/>
        <w:suppressAutoHyphens/>
        <w:spacing w:line="360" w:lineRule="auto"/>
        <w:jc w:val="both"/>
        <w:rPr>
          <w:rFonts w:asciiTheme="minorHAnsi" w:hAnsiTheme="minorHAnsi"/>
          <w:sz w:val="22"/>
          <w:szCs w:val="22"/>
        </w:rPr>
      </w:pPr>
      <w:r>
        <w:rPr>
          <w:rFonts w:asciiTheme="minorHAnsi" w:hAnsiTheme="minorHAnsi"/>
          <w:sz w:val="22"/>
        </w:rPr>
        <w:t>The main outcome is built from the employment-related permit categories. The denominator is the broad employment-permit category, while the high-skilled numerator combines permits issued to highly skilled workers and researchers. EU Blue Card permits are not included in the main high-skilled numerator, for two reasons. First, the Blue Card is an EU-level channel with common legal foundations but uneven national implementation and participation, so it is not governed by the national policy changes that identify the models in the same way as national permit routes are. Second, the scheme only begins issuing permits in 2011-2012 and does not operate in all sample destinations, including the United Kingdom, Denmark, Ireland, and the non-EU European Economic Area (EEA) countries, so adding it would build a mechanical post-2012 break into the outcome series. Blue Card counts are instead examined separately in the permit-category diagnostic in Section 7.3, and the timing of the Blue Card and related directives is controlled for directly in the EU directive-window check.</w:t>
      </w:r>
    </w:p>
    <w:p w14:paraId="52E65C4D" w14:textId="77777777" w:rsidR="008F026E" w:rsidRDefault="008F026E">
      <w:pPr>
        <w:pStyle w:val="NormalWeb"/>
        <w:suppressAutoHyphens/>
        <w:spacing w:line="360" w:lineRule="auto"/>
        <w:jc w:val="both"/>
        <w:rPr>
          <w:rFonts w:asciiTheme="minorHAnsi" w:hAnsiTheme="minorHAnsi"/>
          <w:sz w:val="22"/>
          <w:szCs w:val="22"/>
        </w:rPr>
      </w:pPr>
      <w:r>
        <w:rPr>
          <w:rFonts w:asciiTheme="minorHAnsi" w:hAnsiTheme="minorHAnsi"/>
          <w:sz w:val="22"/>
        </w:rPr>
        <w:t xml:space="preserve">Eurostat's classification is administrative rather than a harmonized classification based on occupation or educational attainment. Its </w:t>
      </w:r>
      <w:r w:rsidR="00F70AF0">
        <w:rPr>
          <w:rFonts w:asciiTheme="minorHAnsi" w:hAnsiTheme="minorHAnsi"/>
          <w:sz w:val="22"/>
        </w:rPr>
        <w:t>h</w:t>
      </w:r>
      <w:r>
        <w:rPr>
          <w:rFonts w:asciiTheme="minorHAnsi" w:hAnsiTheme="minorHAnsi"/>
          <w:sz w:val="22"/>
        </w:rPr>
        <w:t xml:space="preserve">ighly skilled workers category (EMP_HSW) covers first permits issued to third-country nationals admitted under national programmes that facilitate the admission of highly skilled workers. Eurostat uses the EU Blue Card concepts only as guidance for this category: the indicative profile is paid employment requiring adequate and specific competence demonstrated by a higher-education qualification based on at least three years of </w:t>
      </w:r>
      <w:r>
        <w:rPr>
          <w:rFonts w:asciiTheme="minorHAnsi" w:hAnsiTheme="minorHAnsi"/>
          <w:sz w:val="22"/>
        </w:rPr>
        <w:lastRenderedPageBreak/>
        <w:t>study or, where national law permits, at least five years of relevant professional experience at a comparable level. The binding eligibility rules nevertheless come from each country's national programme and may differ across destinations. The Researchers category (EMP_RSE) covers third-country nationals with an appropriate higher-education qualification giving access to doctoral programmes who are selected by a research organisation to conduct a project for which that qualification is normally required. Accordingly, HSNumber = EMP_HSW + EMP_RSE measures permits issued through these two administrative admission routes; it does not classify every entrant independently by occupation, degree, or realised job after arrival (Eurostat 2019).</w:t>
      </w:r>
    </w:p>
    <w:p w14:paraId="6A6FC552"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“Employment” here refers to Eurostat's reason category for first permits issued for employment or remunerated activities, not to total employment or a stock of employed people. The denominator is a permit flow: first employment-reason permits issued to the relevant citizenship group in a destination-year. The high-skilled numerator counts highly skilled worker and researcher permits from the same universe.</w:t>
      </w:r>
    </w:p>
    <w:p w14:paraId="5CF1C257"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Eurostat reports annual counts by permit reason rather than individual histories, so the data record the administrative route of first admission, not underlying occupation or later movement between categories. Someone entering on a highly skilled worker or researcher permit is counted in the numerator regardless of the job performed after arrival; someone entering through the general employment category stays in the denominator even if they later move into a high-skilled role. This distinction is central to interpreting the count results in Section 7.3. This first-permit classification also matches the margin where the DEMIG-QuantMig policy changes operate: initial admission.</w:t>
      </w:r>
    </w:p>
    <w:p w14:paraId="41B95E7E"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main dependent variable is the high-skilled share of employment-related first residence permits: high-skilled permits divided by all employment-related permits. It is not the high-skilled share of all workers in the destination economy. The supporting PPML outcome in Section 7.3 is the number of high-skilled permits, labelled HSNumber.</w:t>
      </w:r>
    </w:p>
    <w:p w14:paraId="7F6AEE46" w14:textId="77777777" w:rsidR="008F026E" w:rsidRDefault="008F026E">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Eurostat export provides no ready-made Non-EU aggregate, so the code sums individual citizenship rows using a fixed EU27-2020 classification. The Non-EU group contains citizenships outside those 27 members and excludes the reporting country. Constant membership places UK citizenship inside the Non-EU group and Croatian citizenship outside it throughout the panel; this is a transparent measurement choice rather than a time-varying rule for legal exposure. EU-citizen rows from this residence-permit source are not used for the placebo diagnostic because they do not represent intra-EU movement under free-movement law.</w:t>
      </w:r>
    </w:p>
    <w:p w14:paraId="4443DFDA" w14:textId="77777777" w:rsidR="00961C7F" w:rsidRDefault="008A042F">
      <w:pPr>
        <w:pStyle w:val="Heading2"/>
      </w:pPr>
      <w:r>
        <w:lastRenderedPageBreak/>
        <w:t>6.2 Policy regressor: DEMIG-QuantMig</w:t>
      </w:r>
    </w:p>
    <w:p w14:paraId="7AEF81BD" w14:textId="77777777" w:rsidR="00961C7F" w:rsidRDefault="008A042F" w:rsidP="00C36469">
      <w:pPr>
        <w:jc w:val="both"/>
      </w:pPr>
      <w:r>
        <w:t>The restrictiveness measure used in this thesis is not a ready-made numerical score supplied in the dataset. It is constructed from the event-level DEMIG-QuantMig Migration Policy Database (Schreier, Skrabal, and Czaika 2023), which records dated migration-policy reforms rather than legal-stock snapshots. The local export used for replication contains 7,643 rows for 31 European countries, with dated policy records running from 1989 through 2020. Each row is one recorded policy event, with fields for destination country, year, policy area, policy tool, target group, target origin, restrictiveness direction, and magnitude.</w:t>
      </w:r>
    </w:p>
    <w:p w14:paraId="51511DCE" w14:textId="77777777" w:rsidR="00961C7F" w:rsidRDefault="008A042F" w:rsidP="00C36469">
      <w:pPr>
        <w:jc w:val="both"/>
      </w:pPr>
      <w:r>
        <w:t>The construction proceeds in four steps. First, only events between 2007 and 2019 in the policy area Legal entry and stay are retained, because the outcome is based on first residence permits issued for employment-related entry and stay rather than asylum, border control, exit, or integration policy. In the extended-window robustness check, the 2020 outcome is matched to the cumulative policy score through 2019. Policy events adopted in 2020 are not used because no 2021 outcome is analyzed. Second, only events targeting the relevant migrant group and coded for All foreign nationalities enter each measure. The analysis distinguishes three policy definitions: the skilled/high-skilled-targeted measure, the low-skilled-targeted measure, and the all-migrant-worker-only measure. The all-migrant-worker-only definition remains the coefficient of interest in the preferred model, while the skilled/high-skilled and low-skilled definitions enter as policy controls. Events aimed only at EU citizens are not relevant to the Non-EU outcome, while events aimed at specific nationalities are excluded because assigning them to every bilateral origin would misclassify exposure.</w:t>
      </w:r>
    </w:p>
    <w:p w14:paraId="2FF14220" w14:textId="77777777" w:rsidR="00FC7713" w:rsidRDefault="008A042F" w:rsidP="00C36469">
      <w:pPr>
        <w:jc w:val="both"/>
      </w:pPr>
      <w:r>
        <w:t>These two target-group measures are included to avoid mixing the main policy channel with reforms that directly affect one side of the ratio. The skilled/high-skilled control captures changes aimed specifically at skilled or high-skilled migrants, which may directly affect the high-skilled numerator. The low-skilled control captures changes aimed specifically at lower-skilled migrants, which may affect the lower-skilled part of the denominator. They are therefore adjustment variables; the main coefficient remains the all-migrant-worker policy-change score.</w:t>
      </w:r>
    </w:p>
    <w:p w14:paraId="55829ABE" w14:textId="77777777" w:rsidR="00961C7F" w:rsidRDefault="008A042F" w:rsidP="00C36469">
      <w:pPr>
        <w:jc w:val="both"/>
      </w:pPr>
      <w:r>
        <w:t xml:space="preserve">The remaining two steps translate retained events into a numerical score. Each event is converted into a signed magnitude, where direction is coded as More restrictive = +1, Less restrictive = -1, and No change = 0, and where magnitude is coded as Fine-tuning = 1, Minor = 2, Mid-level = 3, and Major = 4. Events with N/A magnitude are retained with weight 1, so that an assessable restrictiveness change is not dropped only because its size is not separately graded. Finally, the event score is the product of direction and magnitude, annual policy-flow scores are summed </w:t>
      </w:r>
      <w:r>
        <w:lastRenderedPageBreak/>
        <w:t>within each country-year, and the cumulative net policy-change score is the running country-year sum of those annual scores.</w:t>
      </w:r>
    </w:p>
    <w:p w14:paraId="0E77520E" w14:textId="77777777" w:rsidR="00943A63" w:rsidRDefault="00943A63" w:rsidP="00C36469">
      <w:pPr>
        <w:jc w:val="both"/>
      </w:pPr>
      <w:r>
        <w:t xml:space="preserve">Let i index a recorded DEMIG-QuantMig event with assigned restrictiveness-direction code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in {+1, 0, -1}, and magnitude weight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in {1, 2, 3, 4}. The signed event score, denoted </w:t>
      </w:r>
      <w:r>
        <w:rPr>
          <w:i/>
        </w:rPr>
        <w:t>e</w:t>
      </w:r>
      <w:r>
        <w:rPr>
          <w:i/>
          <w:vertAlign w:val="subscript"/>
        </w:rPr>
        <w:t>i</w:t>
      </w:r>
      <w:r>
        <w:t xml:space="preserve">, is the product of direction and magnitude. Thus, </w:t>
      </w:r>
      <w:r>
        <w:rPr>
          <w:i/>
        </w:rPr>
        <w:t>i</w:t>
      </w:r>
      <w:r>
        <w:t xml:space="preserve"> identifies the event, while </w:t>
      </w:r>
      <w:r>
        <w:rPr>
          <w:i/>
        </w:rPr>
        <w:t>e</w:t>
      </w:r>
      <w:r>
        <w:rPr>
          <w:i/>
          <w:vertAlign w:val="subscript"/>
        </w:rPr>
        <w:t>i</w:t>
      </w:r>
      <w:r>
        <w:t xml:space="preserve"> is its numerical score:</w:t>
      </w:r>
    </w:p>
    <w:p w14:paraId="12938D33" w14:textId="77777777" w:rsidR="00AF669C" w:rsidRDefault="008A042F" w:rsidP="006B4C5C">
      <w:r>
        <w:rPr>
          <w:b/>
        </w:rPr>
        <w:t>Magnitude weight assignment used to build the Restrict measure:</w:t>
      </w:r>
      <w:r>
        <w:rPr>
          <w:rFonts w:ascii="Cambria Math" w:hAnsi="Cambria Math"/>
          <w:i/>
        </w:rPr>
        <w:t xml:space="preserve"> </w:t>
      </w:r>
      <m:oMath>
        <m: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oMath>
    </w:p>
    <w:p w14:paraId="419C9426" w14:textId="77777777" w:rsidR="007830C2" w:rsidRDefault="008A042F" w:rsidP="006B4C5C">
      <w:r>
        <w:t>For destination d and year t, E(d,t) denotes the set of retained events in that destination-year. The annual policy-flow score is the sum of their signed event scores:</w:t>
      </w:r>
    </w:p>
    <w:p w14:paraId="2EEC5F9B"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PolicyFlow</m:t>
              </m:r>
            </m:e>
            <m:sub>
              <m:r>
                <w:rPr>
                  <w:rFonts w:ascii="Cambria Math" w:hAnsi="Cambria Math"/>
                </w:rPr>
                <m:t>d,t</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i∈E(d,t)</m:t>
              </m:r>
            </m:sub>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p w14:paraId="3D1C8311" w14:textId="77777777" w:rsidR="007830C2" w:rsidRDefault="008A042F" w:rsidP="001B5A82">
      <w:pPr>
        <w:jc w:val="both"/>
      </w:pPr>
      <w:r>
        <w:t>The cumulative version of Restrict is the running country-year sum of the annual policy-flow scores from the 2007 baseline through year t. The baseline permit outcomes are observed from 2008 to 2019, while the policy-score panel begins in 2007 so that the one-year policy lag is defined for the first outcome year. Under this lag structure, the 2019 baseline outcome uses the cumulative score through 2018. The extended-window robustness adds the 2020 outcome and pairs it with the score through 2019.</w:t>
      </w:r>
    </w:p>
    <w:p w14:paraId="09DD0124"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Restrict</m:t>
              </m:r>
            </m:e>
            <m:sub>
              <m:r>
                <w:rPr>
                  <w:rFonts w:ascii="Cambria Math" w:hAnsi="Cambria Math"/>
                </w:rPr>
                <m:t>d,t</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s=2007</m:t>
              </m:r>
            </m:sub>
            <m:sup>
              <m:r>
                <w:rPr>
                  <w:rFonts w:ascii="Cambria Math" w:hAnsi="Cambria Math"/>
                </w:rPr>
                <m:t>t</m:t>
              </m:r>
            </m:sup>
            <m:e>
              <m:sSub>
                <m:sSubPr>
                  <m:ctrlPr>
                    <w:rPr>
                      <w:rFonts w:ascii="Cambria Math" w:hAnsi="Cambria Math"/>
                    </w:rPr>
                  </m:ctrlPr>
                </m:sSubPr>
                <m:e>
                  <m:r>
                    <w:rPr>
                      <w:rFonts w:ascii="Cambria Math" w:hAnsi="Cambria Math"/>
                    </w:rPr>
                    <m:t>PolicyFlow</m:t>
                  </m:r>
                </m:e>
                <m:sub>
                  <m:r>
                    <w:rPr>
                      <w:rFonts w:ascii="Cambria Math" w:hAnsi="Cambria Math"/>
                    </w:rPr>
                    <m:t>d,s</m:t>
                  </m:r>
                </m:sub>
              </m:sSub>
            </m:e>
          </m:nary>
        </m:oMath>
      </m:oMathPara>
    </w:p>
    <w:p w14:paraId="7E816D02" w14:textId="77777777" w:rsidR="00FD065E" w:rsidRPr="006B4C5C" w:rsidRDefault="008A042F" w:rsidP="006B4C5C">
      <w:pPr>
        <w:jc w:val="both"/>
      </w:pPr>
      <w:r>
        <w:t>The empirical specifications use the one-year lag of this cumulative score, Restrict</w:t>
      </w:r>
      <w:r>
        <w:rPr>
          <w:vertAlign w:val="subscript"/>
        </w:rPr>
        <w:t>d,t-1</w:t>
      </w:r>
      <w:r>
        <w:t>, and the annual-flow regressor is the one-year lag of the annual policy-flow score, PolicyFlow</w:t>
      </w:r>
      <w:r>
        <w:rPr>
          <w:vertAlign w:val="subscript"/>
        </w:rPr>
        <w:t>d,t-1</w:t>
      </w:r>
      <w:r>
        <w:t>. By construction, positive values of Restrict</w:t>
      </w:r>
      <w:r>
        <w:rPr>
          <w:vertAlign w:val="subscript"/>
        </w:rPr>
        <w:t>d,t</w:t>
      </w:r>
      <w:r>
        <w:t xml:space="preserve"> indicate that the retained policy changes through year t are net restrictive, and negative values indicate net liberalizing. A value of zero corresponds to either no change since the baseline or restrictive and liberalizing changes that exactly offset each other in magnitude-weighted terms.</w:t>
      </w:r>
    </w:p>
    <w:p w14:paraId="24FF96C4" w14:textId="77777777" w:rsidR="00BB34D0" w:rsidRDefault="00BB34D0">
      <w:pPr>
        <w:spacing w:after="0" w:line="240" w:lineRule="auto"/>
        <w:rPr>
          <w:rFonts w:eastAsia="Times New Roman"/>
          <w:b/>
          <w:i/>
          <w:iCs/>
        </w:rPr>
      </w:pPr>
      <w:r>
        <w:rPr>
          <w:rFonts w:eastAsia="Times New Roman"/>
          <w:b/>
          <w:i/>
          <w:iCs/>
        </w:rPr>
        <w:br w:type="page"/>
      </w:r>
    </w:p>
    <w:p w14:paraId="463FE900" w14:textId="056F96FA" w:rsidR="00961C7F" w:rsidRPr="0038122C" w:rsidRDefault="008A042F" w:rsidP="0038122C">
      <w:pPr>
        <w:spacing w:before="120" w:after="80"/>
        <w:jc w:val="center"/>
        <w:rPr>
          <w:b/>
          <w:i/>
          <w:iCs/>
        </w:rPr>
      </w:pPr>
      <w:r>
        <w:rPr>
          <w:rFonts w:eastAsia="Times New Roman"/>
          <w:b/>
          <w:i/>
          <w:iCs/>
        </w:rPr>
        <w:lastRenderedPageBreak/>
        <w:t>Table 1. Construction of the cumulative net policy-change measure, step by step.</w:t>
      </w:r>
    </w:p>
    <w:tbl>
      <w:tblPr>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04"/>
        <w:gridCol w:w="4408"/>
        <w:gridCol w:w="2714"/>
      </w:tblGrid>
      <w:tr w:rsidR="00961C7F" w14:paraId="44844622" w14:textId="77777777" w:rsidTr="00A65EA8">
        <w:trPr>
          <w:cantSplit/>
          <w:tblHeader/>
          <w:jc w:val="center"/>
        </w:trPr>
        <w:tc>
          <w:tcPr>
            <w:tcW w:w="1904" w:type="dxa"/>
            <w:tcBorders>
              <w:top w:val="single" w:sz="12" w:space="0" w:color="000000"/>
              <w:left w:val="nil"/>
              <w:bottom w:val="single" w:sz="8" w:space="0" w:color="000000"/>
              <w:right w:val="nil"/>
            </w:tcBorders>
            <w:tcMar>
              <w:top w:w="70" w:type="dxa"/>
              <w:left w:w="70" w:type="dxa"/>
              <w:bottom w:w="70" w:type="dxa"/>
              <w:right w:w="70" w:type="dxa"/>
            </w:tcMar>
          </w:tcPr>
          <w:p w14:paraId="1CDA87D5" w14:textId="77777777" w:rsidR="00961C7F" w:rsidRDefault="008A042F">
            <w:pPr>
              <w:spacing w:after="0" w:line="240" w:lineRule="auto"/>
            </w:pPr>
            <w:r>
              <w:rPr>
                <w:rFonts w:ascii="Times New Roman" w:eastAsia="Times New Roman" w:hAnsi="Times New Roman"/>
                <w:b/>
                <w:sz w:val="21"/>
                <w:szCs w:val="20"/>
              </w:rPr>
              <w:t>Construction step</w:t>
            </w:r>
          </w:p>
        </w:tc>
        <w:tc>
          <w:tcPr>
            <w:tcW w:w="4408" w:type="dxa"/>
            <w:tcBorders>
              <w:top w:val="single" w:sz="12" w:space="0" w:color="000000"/>
              <w:left w:val="nil"/>
              <w:bottom w:val="single" w:sz="8" w:space="0" w:color="000000"/>
              <w:right w:val="nil"/>
            </w:tcBorders>
            <w:tcMar>
              <w:top w:w="70" w:type="dxa"/>
              <w:left w:w="70" w:type="dxa"/>
              <w:bottom w:w="70" w:type="dxa"/>
              <w:right w:w="70" w:type="dxa"/>
            </w:tcMar>
          </w:tcPr>
          <w:p w14:paraId="0699C043" w14:textId="77777777" w:rsidR="00961C7F" w:rsidRDefault="008A042F">
            <w:pPr>
              <w:spacing w:after="0" w:line="240" w:lineRule="auto"/>
            </w:pPr>
            <w:r>
              <w:rPr>
                <w:rFonts w:ascii="Times New Roman" w:eastAsia="Times New Roman" w:hAnsi="Times New Roman"/>
                <w:b/>
                <w:sz w:val="21"/>
                <w:szCs w:val="20"/>
              </w:rPr>
              <w:t>Information taken from DEMIG-QuantMig</w:t>
            </w:r>
          </w:p>
        </w:tc>
        <w:tc>
          <w:tcPr>
            <w:tcW w:w="2714" w:type="dxa"/>
            <w:tcBorders>
              <w:top w:val="single" w:sz="12" w:space="0" w:color="000000"/>
              <w:left w:val="nil"/>
              <w:bottom w:val="single" w:sz="8" w:space="0" w:color="000000"/>
              <w:right w:val="nil"/>
            </w:tcBorders>
            <w:tcMar>
              <w:top w:w="70" w:type="dxa"/>
              <w:left w:w="70" w:type="dxa"/>
              <w:bottom w:w="70" w:type="dxa"/>
              <w:right w:w="70" w:type="dxa"/>
            </w:tcMar>
          </w:tcPr>
          <w:p w14:paraId="53718190" w14:textId="77777777" w:rsidR="00961C7F" w:rsidRDefault="008A042F">
            <w:pPr>
              <w:spacing w:after="0" w:line="240" w:lineRule="auto"/>
            </w:pPr>
            <w:r>
              <w:rPr>
                <w:rFonts w:ascii="Times New Roman" w:eastAsia="Times New Roman" w:hAnsi="Times New Roman"/>
                <w:b/>
                <w:sz w:val="21"/>
                <w:szCs w:val="20"/>
              </w:rPr>
              <w:t>Measure created in this thesis</w:t>
            </w:r>
          </w:p>
        </w:tc>
      </w:tr>
      <w:tr w:rsidR="00961C7F" w14:paraId="2ED9FCD1"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21835182" w14:textId="77777777" w:rsidR="00961C7F" w:rsidRDefault="008A042F">
            <w:pPr>
              <w:spacing w:after="0" w:line="240" w:lineRule="auto"/>
            </w:pPr>
            <w:r>
              <w:rPr>
                <w:rFonts w:ascii="Times New Roman" w:eastAsia="Times New Roman" w:hAnsi="Times New Roman"/>
                <w:sz w:val="21"/>
                <w:szCs w:val="20"/>
              </w:rPr>
              <w:t>Raw event source</w:t>
            </w:r>
          </w:p>
        </w:tc>
        <w:tc>
          <w:tcPr>
            <w:tcW w:w="4408" w:type="dxa"/>
            <w:tcBorders>
              <w:top w:val="nil"/>
              <w:left w:val="nil"/>
              <w:bottom w:val="nil"/>
              <w:right w:val="nil"/>
            </w:tcBorders>
            <w:tcMar>
              <w:top w:w="70" w:type="dxa"/>
              <w:left w:w="70" w:type="dxa"/>
              <w:bottom w:w="70" w:type="dxa"/>
              <w:right w:w="70" w:type="dxa"/>
            </w:tcMar>
          </w:tcPr>
          <w:p w14:paraId="45DAA2D2" w14:textId="77777777" w:rsidR="00961C7F" w:rsidRDefault="008A042F">
            <w:pPr>
              <w:spacing w:after="0" w:line="240" w:lineRule="auto"/>
            </w:pPr>
            <w:r>
              <w:rPr>
                <w:rFonts w:ascii="Times New Roman" w:eastAsia="Times New Roman" w:hAnsi="Times New Roman"/>
                <w:sz w:val="21"/>
                <w:szCs w:val="20"/>
              </w:rPr>
              <w:t>Destination country, year, policy area, policy tool, target group, target origin, restrictiveness direction, and magnitude</w:t>
            </w:r>
          </w:p>
        </w:tc>
        <w:tc>
          <w:tcPr>
            <w:tcW w:w="2714" w:type="dxa"/>
            <w:tcBorders>
              <w:top w:val="nil"/>
              <w:left w:val="nil"/>
              <w:bottom w:val="nil"/>
              <w:right w:val="nil"/>
            </w:tcBorders>
            <w:tcMar>
              <w:top w:w="70" w:type="dxa"/>
              <w:left w:w="70" w:type="dxa"/>
              <w:bottom w:w="70" w:type="dxa"/>
              <w:right w:w="70" w:type="dxa"/>
            </w:tcMar>
          </w:tcPr>
          <w:p w14:paraId="6FA52DC6" w14:textId="77777777" w:rsidR="00961C7F" w:rsidRDefault="008A042F">
            <w:pPr>
              <w:spacing w:after="0" w:line="240" w:lineRule="auto"/>
            </w:pPr>
            <w:r>
              <w:rPr>
                <w:rFonts w:ascii="Times New Roman" w:eastAsia="Times New Roman" w:hAnsi="Times New Roman"/>
                <w:sz w:val="21"/>
                <w:szCs w:val="20"/>
              </w:rPr>
              <w:t>Event-level policy reform file</w:t>
            </w:r>
          </w:p>
        </w:tc>
      </w:tr>
      <w:tr w:rsidR="00961C7F" w14:paraId="1DE5CB80"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7BC4A960" w14:textId="77777777" w:rsidR="00961C7F" w:rsidRDefault="008A042F">
            <w:pPr>
              <w:spacing w:after="0" w:line="240" w:lineRule="auto"/>
            </w:pPr>
            <w:r>
              <w:rPr>
                <w:rFonts w:ascii="Times New Roman" w:eastAsia="Times New Roman" w:hAnsi="Times New Roman"/>
                <w:sz w:val="21"/>
                <w:szCs w:val="20"/>
              </w:rPr>
              <w:t>Sample filter</w:t>
            </w:r>
          </w:p>
        </w:tc>
        <w:tc>
          <w:tcPr>
            <w:tcW w:w="4408" w:type="dxa"/>
            <w:tcBorders>
              <w:top w:val="nil"/>
              <w:left w:val="nil"/>
              <w:bottom w:val="nil"/>
              <w:right w:val="nil"/>
            </w:tcBorders>
            <w:tcMar>
              <w:top w:w="70" w:type="dxa"/>
              <w:left w:w="70" w:type="dxa"/>
              <w:bottom w:w="70" w:type="dxa"/>
              <w:right w:w="70" w:type="dxa"/>
            </w:tcMar>
          </w:tcPr>
          <w:p w14:paraId="42A2C4B5" w14:textId="77777777" w:rsidR="00961C7F" w:rsidRDefault="008A042F">
            <w:pPr>
              <w:spacing w:after="0" w:line="240" w:lineRule="auto"/>
            </w:pPr>
            <w:r>
              <w:rPr>
                <w:rFonts w:ascii="Times New Roman" w:eastAsia="Times New Roman" w:hAnsi="Times New Roman"/>
                <w:sz w:val="21"/>
                <w:szCs w:val="20"/>
              </w:rPr>
              <w:t>2007-2019 policy events; Legal entry and stay; relevant labor-migration target group; target origin All foreign nationalities (baseline permit outcomes: 2008-2019; 2020 added only in robustness)</w:t>
            </w:r>
          </w:p>
        </w:tc>
        <w:tc>
          <w:tcPr>
            <w:tcW w:w="2714" w:type="dxa"/>
            <w:tcBorders>
              <w:top w:val="nil"/>
              <w:left w:val="nil"/>
              <w:bottom w:val="nil"/>
              <w:right w:val="nil"/>
            </w:tcBorders>
            <w:tcMar>
              <w:top w:w="70" w:type="dxa"/>
              <w:left w:w="70" w:type="dxa"/>
              <w:bottom w:w="70" w:type="dxa"/>
              <w:right w:w="70" w:type="dxa"/>
            </w:tcMar>
          </w:tcPr>
          <w:p w14:paraId="79611EC1" w14:textId="77777777" w:rsidR="00961C7F" w:rsidRDefault="008A042F">
            <w:pPr>
              <w:spacing w:after="0" w:line="240" w:lineRule="auto"/>
            </w:pPr>
            <w:r>
              <w:rPr>
                <w:rFonts w:ascii="Times New Roman" w:eastAsia="Times New Roman" w:hAnsi="Times New Roman"/>
                <w:sz w:val="21"/>
                <w:szCs w:val="20"/>
              </w:rPr>
              <w:t>Retained policy events</w:t>
            </w:r>
          </w:p>
        </w:tc>
      </w:tr>
      <w:tr w:rsidR="00961C7F" w14:paraId="30070B40"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13BCAADF" w14:textId="77777777" w:rsidR="00961C7F" w:rsidRDefault="008A042F">
            <w:pPr>
              <w:spacing w:after="0" w:line="240" w:lineRule="auto"/>
            </w:pPr>
            <w:r>
              <w:rPr>
                <w:rFonts w:ascii="Times New Roman" w:eastAsia="Times New Roman" w:hAnsi="Times New Roman"/>
                <w:sz w:val="21"/>
                <w:szCs w:val="20"/>
              </w:rPr>
              <w:t>Direction coding</w:t>
            </w:r>
          </w:p>
        </w:tc>
        <w:tc>
          <w:tcPr>
            <w:tcW w:w="4408" w:type="dxa"/>
            <w:tcBorders>
              <w:top w:val="nil"/>
              <w:left w:val="nil"/>
              <w:bottom w:val="nil"/>
              <w:right w:val="nil"/>
            </w:tcBorders>
            <w:tcMar>
              <w:top w:w="70" w:type="dxa"/>
              <w:left w:w="70" w:type="dxa"/>
              <w:bottom w:w="70" w:type="dxa"/>
              <w:right w:w="70" w:type="dxa"/>
            </w:tcMar>
          </w:tcPr>
          <w:p w14:paraId="47F3D76C" w14:textId="77777777" w:rsidR="00961C7F" w:rsidRDefault="008A042F">
            <w:pPr>
              <w:spacing w:after="0" w:line="240" w:lineRule="auto"/>
            </w:pPr>
            <w:r>
              <w:rPr>
                <w:rFonts w:ascii="Times New Roman" w:eastAsia="Times New Roman" w:hAnsi="Times New Roman"/>
                <w:sz w:val="21"/>
                <w:szCs w:val="20"/>
              </w:rPr>
              <w:t>More restrictive, Less restrictive, No change</w:t>
            </w:r>
          </w:p>
        </w:tc>
        <w:tc>
          <w:tcPr>
            <w:tcW w:w="2714" w:type="dxa"/>
            <w:tcBorders>
              <w:top w:val="nil"/>
              <w:left w:val="nil"/>
              <w:bottom w:val="nil"/>
              <w:right w:val="nil"/>
            </w:tcBorders>
            <w:tcMar>
              <w:top w:w="70" w:type="dxa"/>
              <w:left w:w="70" w:type="dxa"/>
              <w:bottom w:w="70" w:type="dxa"/>
              <w:right w:w="70" w:type="dxa"/>
            </w:tcMar>
          </w:tcPr>
          <w:p w14:paraId="709C1CBA" w14:textId="77777777" w:rsidR="00961C7F" w:rsidRDefault="008A042F">
            <w:pPr>
              <w:spacing w:after="0" w:line="240" w:lineRule="auto"/>
            </w:pPr>
            <w:r>
              <w:rPr>
                <w:rFonts w:ascii="Times New Roman" w:eastAsia="Times New Roman" w:hAnsi="Times New Roman"/>
                <w:sz w:val="21"/>
                <w:szCs w:val="20"/>
              </w:rPr>
              <w:t>+1, -1, or 0</w:t>
            </w:r>
          </w:p>
        </w:tc>
      </w:tr>
      <w:tr w:rsidR="00961C7F" w14:paraId="692BB1C3"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19475D82" w14:textId="77777777" w:rsidR="00961C7F" w:rsidRDefault="008A042F">
            <w:pPr>
              <w:spacing w:after="0" w:line="240" w:lineRule="auto"/>
            </w:pPr>
            <w:r>
              <w:rPr>
                <w:rFonts w:ascii="Times New Roman" w:eastAsia="Times New Roman" w:hAnsi="Times New Roman"/>
                <w:sz w:val="21"/>
                <w:szCs w:val="20"/>
              </w:rPr>
              <w:t>Magnitude coding</w:t>
            </w:r>
          </w:p>
        </w:tc>
        <w:tc>
          <w:tcPr>
            <w:tcW w:w="4408" w:type="dxa"/>
            <w:tcBorders>
              <w:top w:val="nil"/>
              <w:left w:val="nil"/>
              <w:bottom w:val="nil"/>
              <w:right w:val="nil"/>
            </w:tcBorders>
            <w:tcMar>
              <w:top w:w="70" w:type="dxa"/>
              <w:left w:w="70" w:type="dxa"/>
              <w:bottom w:w="70" w:type="dxa"/>
              <w:right w:w="70" w:type="dxa"/>
            </w:tcMar>
          </w:tcPr>
          <w:p w14:paraId="61DB1419" w14:textId="77777777" w:rsidR="00961C7F" w:rsidRDefault="008A042F">
            <w:pPr>
              <w:spacing w:after="0" w:line="240" w:lineRule="auto"/>
            </w:pPr>
            <w:r>
              <w:rPr>
                <w:rFonts w:ascii="Times New Roman" w:eastAsia="Times New Roman" w:hAnsi="Times New Roman"/>
                <w:sz w:val="21"/>
                <w:szCs w:val="20"/>
              </w:rPr>
              <w:t>Fine-tuning, Minor, Mid-level, Major, or N/A</w:t>
            </w:r>
          </w:p>
        </w:tc>
        <w:tc>
          <w:tcPr>
            <w:tcW w:w="2714" w:type="dxa"/>
            <w:tcBorders>
              <w:top w:val="nil"/>
              <w:left w:val="nil"/>
              <w:bottom w:val="nil"/>
              <w:right w:val="nil"/>
            </w:tcBorders>
            <w:tcMar>
              <w:top w:w="70" w:type="dxa"/>
              <w:left w:w="70" w:type="dxa"/>
              <w:bottom w:w="70" w:type="dxa"/>
              <w:right w:w="70" w:type="dxa"/>
            </w:tcMar>
          </w:tcPr>
          <w:p w14:paraId="2C9EF50D" w14:textId="77777777" w:rsidR="00961C7F" w:rsidRDefault="008A042F">
            <w:pPr>
              <w:spacing w:after="0" w:line="240" w:lineRule="auto"/>
            </w:pPr>
            <w:r>
              <w:rPr>
                <w:rFonts w:ascii="Times New Roman" w:eastAsia="Times New Roman" w:hAnsi="Times New Roman"/>
                <w:sz w:val="21"/>
                <w:szCs w:val="20"/>
              </w:rPr>
              <w:t>1, 2, 3, 4, or retained weight 1</w:t>
            </w:r>
          </w:p>
        </w:tc>
      </w:tr>
      <w:tr w:rsidR="00961C7F" w14:paraId="7BB3F35C"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4C4F6EF7" w14:textId="77777777" w:rsidR="00961C7F" w:rsidRDefault="008A042F">
            <w:pPr>
              <w:spacing w:after="0" w:line="240" w:lineRule="auto"/>
            </w:pPr>
            <w:r>
              <w:rPr>
                <w:rFonts w:ascii="Times New Roman" w:eastAsia="Times New Roman" w:hAnsi="Times New Roman"/>
                <w:sz w:val="21"/>
                <w:szCs w:val="20"/>
              </w:rPr>
              <w:t>Annual policy flow</w:t>
            </w:r>
          </w:p>
        </w:tc>
        <w:tc>
          <w:tcPr>
            <w:tcW w:w="4408" w:type="dxa"/>
            <w:tcBorders>
              <w:top w:val="nil"/>
              <w:left w:val="nil"/>
              <w:bottom w:val="nil"/>
              <w:right w:val="nil"/>
            </w:tcBorders>
            <w:tcMar>
              <w:top w:w="70" w:type="dxa"/>
              <w:left w:w="70" w:type="dxa"/>
              <w:bottom w:w="70" w:type="dxa"/>
              <w:right w:w="70" w:type="dxa"/>
            </w:tcMar>
          </w:tcPr>
          <w:p w14:paraId="1E60CD81" w14:textId="77777777" w:rsidR="00961C7F" w:rsidRDefault="008A042F">
            <w:pPr>
              <w:spacing w:after="0" w:line="240" w:lineRule="auto"/>
            </w:pPr>
            <w:r>
              <w:rPr>
                <w:rFonts w:ascii="Times New Roman" w:eastAsia="Times New Roman" w:hAnsi="Times New Roman"/>
                <w:sz w:val="21"/>
                <w:szCs w:val="20"/>
              </w:rPr>
              <w:t>All retained events in a country-year</w:t>
            </w:r>
          </w:p>
        </w:tc>
        <w:tc>
          <w:tcPr>
            <w:tcW w:w="2714" w:type="dxa"/>
            <w:tcBorders>
              <w:top w:val="nil"/>
              <w:left w:val="nil"/>
              <w:bottom w:val="nil"/>
              <w:right w:val="nil"/>
            </w:tcBorders>
            <w:tcMar>
              <w:top w:w="70" w:type="dxa"/>
              <w:left w:w="70" w:type="dxa"/>
              <w:bottom w:w="70" w:type="dxa"/>
              <w:right w:w="70" w:type="dxa"/>
            </w:tcMar>
          </w:tcPr>
          <w:p w14:paraId="02B88431" w14:textId="77777777" w:rsidR="00961C7F" w:rsidRDefault="008A042F">
            <w:pPr>
              <w:spacing w:after="0" w:line="240" w:lineRule="auto"/>
            </w:pPr>
            <w:r>
              <w:rPr>
                <w:rFonts w:ascii="Times New Roman" w:eastAsia="Times New Roman" w:hAnsi="Times New Roman"/>
                <w:sz w:val="21"/>
                <w:szCs w:val="20"/>
              </w:rPr>
              <w:t>Sum of signed event scores</w:t>
            </w:r>
          </w:p>
        </w:tc>
      </w:tr>
      <w:tr w:rsidR="00961C7F" w14:paraId="5EE8816D" w14:textId="77777777" w:rsidTr="00A65EA8">
        <w:trPr>
          <w:cantSplit/>
          <w:jc w:val="center"/>
        </w:trPr>
        <w:tc>
          <w:tcPr>
            <w:tcW w:w="1904" w:type="dxa"/>
            <w:tcBorders>
              <w:top w:val="nil"/>
              <w:left w:val="nil"/>
              <w:bottom w:val="single" w:sz="12" w:space="0" w:color="000000"/>
              <w:right w:val="nil"/>
            </w:tcBorders>
            <w:tcMar>
              <w:top w:w="70" w:type="dxa"/>
              <w:left w:w="70" w:type="dxa"/>
              <w:bottom w:w="70" w:type="dxa"/>
              <w:right w:w="70" w:type="dxa"/>
            </w:tcMar>
          </w:tcPr>
          <w:p w14:paraId="418C0D08" w14:textId="77777777" w:rsidR="00961C7F" w:rsidRDefault="008A042F">
            <w:pPr>
              <w:spacing w:after="0" w:line="240" w:lineRule="auto"/>
            </w:pPr>
            <w:r>
              <w:rPr>
                <w:rFonts w:ascii="Times New Roman" w:eastAsia="Times New Roman" w:hAnsi="Times New Roman"/>
                <w:sz w:val="21"/>
                <w:szCs w:val="20"/>
              </w:rPr>
              <w:t>Cumulative measure</w:t>
            </w:r>
          </w:p>
        </w:tc>
        <w:tc>
          <w:tcPr>
            <w:tcW w:w="4408" w:type="dxa"/>
            <w:tcBorders>
              <w:top w:val="nil"/>
              <w:left w:val="nil"/>
              <w:bottom w:val="single" w:sz="12" w:space="0" w:color="000000"/>
              <w:right w:val="nil"/>
            </w:tcBorders>
            <w:tcMar>
              <w:top w:w="70" w:type="dxa"/>
              <w:left w:w="70" w:type="dxa"/>
              <w:bottom w:w="70" w:type="dxa"/>
              <w:right w:w="70" w:type="dxa"/>
            </w:tcMar>
          </w:tcPr>
          <w:p w14:paraId="34DCB902" w14:textId="77777777" w:rsidR="00961C7F" w:rsidRDefault="008A042F">
            <w:pPr>
              <w:spacing w:after="0" w:line="240" w:lineRule="auto"/>
            </w:pPr>
            <w:r>
              <w:rPr>
                <w:rFonts w:ascii="Times New Roman" w:eastAsia="Times New Roman" w:hAnsi="Times New Roman"/>
                <w:sz w:val="21"/>
                <w:szCs w:val="20"/>
              </w:rPr>
              <w:t>Country-year running total of annual policy-flow scores</w:t>
            </w:r>
          </w:p>
        </w:tc>
        <w:tc>
          <w:tcPr>
            <w:tcW w:w="2714" w:type="dxa"/>
            <w:tcBorders>
              <w:top w:val="nil"/>
              <w:left w:val="nil"/>
              <w:bottom w:val="single" w:sz="12" w:space="0" w:color="000000"/>
              <w:right w:val="nil"/>
            </w:tcBorders>
            <w:tcMar>
              <w:top w:w="70" w:type="dxa"/>
              <w:left w:w="70" w:type="dxa"/>
              <w:bottom w:w="70" w:type="dxa"/>
              <w:right w:w="70" w:type="dxa"/>
            </w:tcMar>
          </w:tcPr>
          <w:p w14:paraId="12B2580C" w14:textId="77777777" w:rsidR="00961C7F" w:rsidRDefault="008A042F">
            <w:pPr>
              <w:spacing w:after="0" w:line="240" w:lineRule="auto"/>
            </w:pPr>
            <w:r>
              <w:rPr>
                <w:rFonts w:ascii="Times New Roman" w:eastAsia="Times New Roman" w:hAnsi="Times New Roman"/>
                <w:sz w:val="21"/>
                <w:szCs w:val="20"/>
              </w:rPr>
              <w:t>Cumulative net policy change</w:t>
            </w:r>
          </w:p>
        </w:tc>
      </w:tr>
    </w:tbl>
    <w:p w14:paraId="18BA0DDD" w14:textId="77777777" w:rsidR="00961C7F" w:rsidRDefault="008A042F" w:rsidP="001B5A82">
      <w:pPr>
        <w:jc w:val="both"/>
      </w:pPr>
      <w:r>
        <w:t>This is a thesis-specific, magnitude-weighted summary of DEMIG-QuantMig policy events, not an official DEMIG score.</w:t>
      </w:r>
    </w:p>
    <w:p w14:paraId="41E0DCBC" w14:textId="232CB6DA" w:rsidR="009C3434" w:rsidRDefault="008A042F" w:rsidP="00BB34D0">
      <w:pPr>
        <w:jc w:val="both"/>
      </w:pPr>
      <w:r>
        <w:t>The retained events comprise 245 skilled/high-skilled reforms, 59 low-skilled reforms, and 178 all-migrant-worker reforms. The all-migrant-worker score is the main measure; the two skill-targeted scores enter as controls.</w:t>
      </w:r>
    </w:p>
    <w:p w14:paraId="6A80EDA3" w14:textId="77777777" w:rsidR="00961C7F" w:rsidRPr="0038122C" w:rsidRDefault="008A042F" w:rsidP="0038122C">
      <w:pPr>
        <w:spacing w:before="120" w:after="80"/>
        <w:jc w:val="center"/>
        <w:rPr>
          <w:b/>
          <w:i/>
          <w:iCs/>
        </w:rPr>
      </w:pPr>
      <w:r>
        <w:rPr>
          <w:rFonts w:eastAsia="Times New Roman"/>
          <w:b/>
          <w:i/>
          <w:iCs/>
        </w:rPr>
        <w:t>Table 2. Policy event counts under three target-group definitions, target origin All foreign nationalities, 2007-2019.</w:t>
      </w:r>
    </w:p>
    <w:tbl>
      <w:tblPr>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2522"/>
        <w:gridCol w:w="971"/>
        <w:gridCol w:w="1456"/>
        <w:gridCol w:w="1456"/>
        <w:gridCol w:w="1162"/>
        <w:gridCol w:w="1459"/>
      </w:tblGrid>
      <w:tr w:rsidR="00961C7F" w14:paraId="7CB12742" w14:textId="77777777" w:rsidTr="00937886">
        <w:trPr>
          <w:cantSplit/>
          <w:tblHeader/>
          <w:jc w:val="center"/>
        </w:trPr>
        <w:tc>
          <w:tcPr>
            <w:tcW w:w="2522" w:type="dxa"/>
            <w:tcBorders>
              <w:top w:val="single" w:sz="12" w:space="0" w:color="000000"/>
              <w:left w:val="nil"/>
              <w:bottom w:val="single" w:sz="8" w:space="0" w:color="000000"/>
              <w:right w:val="nil"/>
            </w:tcBorders>
            <w:tcMar>
              <w:top w:w="70" w:type="dxa"/>
              <w:left w:w="70" w:type="dxa"/>
              <w:bottom w:w="70" w:type="dxa"/>
              <w:right w:w="70" w:type="dxa"/>
            </w:tcMar>
          </w:tcPr>
          <w:p w14:paraId="6F298225" w14:textId="77777777" w:rsidR="00961C7F" w:rsidRDefault="008A042F">
            <w:pPr>
              <w:spacing w:after="0" w:line="240" w:lineRule="auto"/>
            </w:pPr>
            <w:r>
              <w:rPr>
                <w:rFonts w:ascii="Times New Roman" w:eastAsia="Times New Roman" w:hAnsi="Times New Roman"/>
                <w:b/>
                <w:sz w:val="21"/>
                <w:szCs w:val="20"/>
              </w:rPr>
              <w:t>Policy definition</w:t>
            </w:r>
          </w:p>
        </w:tc>
        <w:tc>
          <w:tcPr>
            <w:tcW w:w="971" w:type="dxa"/>
            <w:tcBorders>
              <w:top w:val="single" w:sz="12" w:space="0" w:color="000000"/>
              <w:left w:val="nil"/>
              <w:bottom w:val="single" w:sz="8" w:space="0" w:color="000000"/>
              <w:right w:val="nil"/>
            </w:tcBorders>
            <w:tcMar>
              <w:top w:w="70" w:type="dxa"/>
              <w:left w:w="70" w:type="dxa"/>
              <w:bottom w:w="70" w:type="dxa"/>
              <w:right w:w="70" w:type="dxa"/>
            </w:tcMar>
          </w:tcPr>
          <w:p w14:paraId="2672AFEB" w14:textId="77777777" w:rsidR="00961C7F" w:rsidRDefault="008A042F">
            <w:pPr>
              <w:spacing w:after="0" w:line="240" w:lineRule="auto"/>
              <w:jc w:val="center"/>
            </w:pPr>
            <w:r>
              <w:rPr>
                <w:rFonts w:ascii="Times New Roman" w:eastAsia="Times New Roman" w:hAnsi="Times New Roman"/>
                <w:b/>
                <w:sz w:val="21"/>
                <w:szCs w:val="20"/>
              </w:rPr>
              <w:t>Events</w:t>
            </w:r>
          </w:p>
        </w:tc>
        <w:tc>
          <w:tcPr>
            <w:tcW w:w="1456" w:type="dxa"/>
            <w:tcBorders>
              <w:top w:val="single" w:sz="12" w:space="0" w:color="000000"/>
              <w:left w:val="nil"/>
              <w:bottom w:val="single" w:sz="8" w:space="0" w:color="000000"/>
              <w:right w:val="nil"/>
            </w:tcBorders>
            <w:tcMar>
              <w:top w:w="70" w:type="dxa"/>
              <w:left w:w="70" w:type="dxa"/>
              <w:bottom w:w="70" w:type="dxa"/>
              <w:right w:w="70" w:type="dxa"/>
            </w:tcMar>
          </w:tcPr>
          <w:p w14:paraId="18D38232" w14:textId="77777777" w:rsidR="00961C7F" w:rsidRDefault="008A042F">
            <w:pPr>
              <w:spacing w:after="0" w:line="240" w:lineRule="auto"/>
              <w:jc w:val="center"/>
            </w:pPr>
            <w:r>
              <w:rPr>
                <w:rFonts w:ascii="Times New Roman" w:eastAsia="Times New Roman" w:hAnsi="Times New Roman"/>
                <w:b/>
                <w:sz w:val="21"/>
                <w:szCs w:val="20"/>
              </w:rPr>
              <w:t>Work-visa events</w:t>
            </w:r>
          </w:p>
        </w:tc>
        <w:tc>
          <w:tcPr>
            <w:tcW w:w="1456" w:type="dxa"/>
            <w:tcBorders>
              <w:top w:val="single" w:sz="12" w:space="0" w:color="000000"/>
              <w:left w:val="nil"/>
              <w:bottom w:val="single" w:sz="8" w:space="0" w:color="000000"/>
              <w:right w:val="nil"/>
            </w:tcBorders>
            <w:tcMar>
              <w:top w:w="70" w:type="dxa"/>
              <w:left w:w="70" w:type="dxa"/>
              <w:bottom w:w="70" w:type="dxa"/>
              <w:right w:w="70" w:type="dxa"/>
            </w:tcMar>
          </w:tcPr>
          <w:p w14:paraId="05367802" w14:textId="77777777" w:rsidR="00961C7F" w:rsidRDefault="008A042F">
            <w:pPr>
              <w:spacing w:after="0" w:line="240" w:lineRule="auto"/>
              <w:jc w:val="center"/>
            </w:pPr>
            <w:r>
              <w:rPr>
                <w:rFonts w:ascii="Times New Roman" w:eastAsia="Times New Roman" w:hAnsi="Times New Roman"/>
                <w:b/>
                <w:sz w:val="21"/>
                <w:szCs w:val="20"/>
              </w:rPr>
              <w:t>Less restrictive</w:t>
            </w:r>
          </w:p>
        </w:tc>
        <w:tc>
          <w:tcPr>
            <w:tcW w:w="1162" w:type="dxa"/>
            <w:tcBorders>
              <w:top w:val="single" w:sz="12" w:space="0" w:color="000000"/>
              <w:left w:val="nil"/>
              <w:bottom w:val="single" w:sz="8" w:space="0" w:color="000000"/>
              <w:right w:val="nil"/>
            </w:tcBorders>
            <w:tcMar>
              <w:top w:w="70" w:type="dxa"/>
              <w:left w:w="70" w:type="dxa"/>
              <w:bottom w:w="70" w:type="dxa"/>
              <w:right w:w="70" w:type="dxa"/>
            </w:tcMar>
          </w:tcPr>
          <w:p w14:paraId="15A68EEA" w14:textId="77777777" w:rsidR="00961C7F" w:rsidRDefault="008A042F">
            <w:pPr>
              <w:spacing w:after="0" w:line="240" w:lineRule="auto"/>
              <w:jc w:val="center"/>
            </w:pPr>
            <w:r>
              <w:rPr>
                <w:rFonts w:ascii="Times New Roman" w:eastAsia="Times New Roman" w:hAnsi="Times New Roman"/>
                <w:b/>
                <w:sz w:val="21"/>
                <w:szCs w:val="20"/>
              </w:rPr>
              <w:t>No change</w:t>
            </w:r>
          </w:p>
        </w:tc>
        <w:tc>
          <w:tcPr>
            <w:tcW w:w="1459" w:type="dxa"/>
            <w:tcBorders>
              <w:top w:val="single" w:sz="12" w:space="0" w:color="000000"/>
              <w:left w:val="nil"/>
              <w:bottom w:val="single" w:sz="8" w:space="0" w:color="000000"/>
              <w:right w:val="nil"/>
            </w:tcBorders>
            <w:tcMar>
              <w:top w:w="70" w:type="dxa"/>
              <w:left w:w="70" w:type="dxa"/>
              <w:bottom w:w="70" w:type="dxa"/>
              <w:right w:w="70" w:type="dxa"/>
            </w:tcMar>
          </w:tcPr>
          <w:p w14:paraId="31C5649A" w14:textId="77777777" w:rsidR="00961C7F" w:rsidRDefault="008A042F">
            <w:pPr>
              <w:spacing w:after="0" w:line="240" w:lineRule="auto"/>
              <w:jc w:val="center"/>
            </w:pPr>
            <w:r>
              <w:rPr>
                <w:rFonts w:ascii="Times New Roman" w:eastAsia="Times New Roman" w:hAnsi="Times New Roman"/>
                <w:b/>
                <w:sz w:val="21"/>
                <w:szCs w:val="20"/>
              </w:rPr>
              <w:t>More restrictive</w:t>
            </w:r>
          </w:p>
        </w:tc>
      </w:tr>
      <w:tr w:rsidR="00961C7F" w14:paraId="119A7B1E" w14:textId="77777777" w:rsidTr="00937886">
        <w:trPr>
          <w:cantSplit/>
          <w:jc w:val="center"/>
        </w:trPr>
        <w:tc>
          <w:tcPr>
            <w:tcW w:w="2522" w:type="dxa"/>
            <w:tcBorders>
              <w:top w:val="nil"/>
              <w:left w:val="nil"/>
              <w:bottom w:val="nil"/>
              <w:right w:val="nil"/>
            </w:tcBorders>
            <w:tcMar>
              <w:top w:w="70" w:type="dxa"/>
              <w:left w:w="70" w:type="dxa"/>
              <w:bottom w:w="70" w:type="dxa"/>
              <w:right w:w="70" w:type="dxa"/>
            </w:tcMar>
          </w:tcPr>
          <w:p w14:paraId="333BFB79" w14:textId="77777777" w:rsidR="00961C7F" w:rsidRDefault="008A042F">
            <w:pPr>
              <w:spacing w:after="0" w:line="240" w:lineRule="auto"/>
            </w:pPr>
            <w:r>
              <w:rPr>
                <w:rFonts w:ascii="Times New Roman" w:eastAsia="Times New Roman" w:hAnsi="Times New Roman"/>
                <w:sz w:val="21"/>
                <w:szCs w:val="20"/>
              </w:rPr>
              <w:t>Skilled/high-skilled targeted only</w:t>
            </w:r>
          </w:p>
        </w:tc>
        <w:tc>
          <w:tcPr>
            <w:tcW w:w="971" w:type="dxa"/>
            <w:tcBorders>
              <w:top w:val="nil"/>
              <w:left w:val="nil"/>
              <w:bottom w:val="nil"/>
              <w:right w:val="nil"/>
            </w:tcBorders>
            <w:tcMar>
              <w:top w:w="70" w:type="dxa"/>
              <w:left w:w="70" w:type="dxa"/>
              <w:bottom w:w="70" w:type="dxa"/>
              <w:right w:w="70" w:type="dxa"/>
            </w:tcMar>
          </w:tcPr>
          <w:p w14:paraId="1F2B2B66" w14:textId="77777777" w:rsidR="00961C7F" w:rsidRDefault="008A042F">
            <w:pPr>
              <w:spacing w:after="0" w:line="240" w:lineRule="auto"/>
              <w:jc w:val="center"/>
            </w:pPr>
            <w:r>
              <w:rPr>
                <w:rFonts w:ascii="Times New Roman" w:eastAsia="Times New Roman" w:hAnsi="Times New Roman"/>
                <w:sz w:val="21"/>
                <w:szCs w:val="20"/>
              </w:rPr>
              <w:t>245</w:t>
            </w:r>
          </w:p>
        </w:tc>
        <w:tc>
          <w:tcPr>
            <w:tcW w:w="1456" w:type="dxa"/>
            <w:tcBorders>
              <w:top w:val="nil"/>
              <w:left w:val="nil"/>
              <w:bottom w:val="nil"/>
              <w:right w:val="nil"/>
            </w:tcBorders>
            <w:tcMar>
              <w:top w:w="70" w:type="dxa"/>
              <w:left w:w="70" w:type="dxa"/>
              <w:bottom w:w="70" w:type="dxa"/>
              <w:right w:w="70" w:type="dxa"/>
            </w:tcMar>
          </w:tcPr>
          <w:p w14:paraId="562CA4BF" w14:textId="77777777" w:rsidR="00961C7F" w:rsidRDefault="008A042F">
            <w:pPr>
              <w:spacing w:after="0" w:line="240" w:lineRule="auto"/>
              <w:jc w:val="center"/>
            </w:pPr>
            <w:r>
              <w:rPr>
                <w:rFonts w:ascii="Times New Roman" w:eastAsia="Times New Roman" w:hAnsi="Times New Roman"/>
                <w:sz w:val="21"/>
                <w:szCs w:val="20"/>
              </w:rPr>
              <w:t>150</w:t>
            </w:r>
          </w:p>
        </w:tc>
        <w:tc>
          <w:tcPr>
            <w:tcW w:w="1456" w:type="dxa"/>
            <w:tcBorders>
              <w:top w:val="nil"/>
              <w:left w:val="nil"/>
              <w:bottom w:val="nil"/>
              <w:right w:val="nil"/>
            </w:tcBorders>
            <w:tcMar>
              <w:top w:w="70" w:type="dxa"/>
              <w:left w:w="70" w:type="dxa"/>
              <w:bottom w:w="70" w:type="dxa"/>
              <w:right w:w="70" w:type="dxa"/>
            </w:tcMar>
          </w:tcPr>
          <w:p w14:paraId="09B9122D" w14:textId="77777777" w:rsidR="00961C7F" w:rsidRDefault="008A042F">
            <w:pPr>
              <w:spacing w:after="0" w:line="240" w:lineRule="auto"/>
              <w:jc w:val="center"/>
            </w:pPr>
            <w:r>
              <w:rPr>
                <w:rFonts w:ascii="Times New Roman" w:eastAsia="Times New Roman" w:hAnsi="Times New Roman"/>
                <w:sz w:val="21"/>
                <w:szCs w:val="20"/>
              </w:rPr>
              <w:t>225</w:t>
            </w:r>
          </w:p>
        </w:tc>
        <w:tc>
          <w:tcPr>
            <w:tcW w:w="1162" w:type="dxa"/>
            <w:tcBorders>
              <w:top w:val="nil"/>
              <w:left w:val="nil"/>
              <w:bottom w:val="nil"/>
              <w:right w:val="nil"/>
            </w:tcBorders>
            <w:tcMar>
              <w:top w:w="70" w:type="dxa"/>
              <w:left w:w="70" w:type="dxa"/>
              <w:bottom w:w="70" w:type="dxa"/>
              <w:right w:w="70" w:type="dxa"/>
            </w:tcMar>
          </w:tcPr>
          <w:p w14:paraId="1BFAF336" w14:textId="77777777" w:rsidR="00961C7F" w:rsidRDefault="008A042F">
            <w:pPr>
              <w:spacing w:after="0" w:line="240" w:lineRule="auto"/>
              <w:jc w:val="center"/>
            </w:pPr>
            <w:r>
              <w:rPr>
                <w:rFonts w:ascii="Times New Roman" w:eastAsia="Times New Roman" w:hAnsi="Times New Roman"/>
                <w:sz w:val="21"/>
                <w:szCs w:val="20"/>
              </w:rPr>
              <w:t>1</w:t>
            </w:r>
          </w:p>
        </w:tc>
        <w:tc>
          <w:tcPr>
            <w:tcW w:w="1459" w:type="dxa"/>
            <w:tcBorders>
              <w:top w:val="nil"/>
              <w:left w:val="nil"/>
              <w:bottom w:val="nil"/>
              <w:right w:val="nil"/>
            </w:tcBorders>
            <w:tcMar>
              <w:top w:w="70" w:type="dxa"/>
              <w:left w:w="70" w:type="dxa"/>
              <w:bottom w:w="70" w:type="dxa"/>
              <w:right w:w="70" w:type="dxa"/>
            </w:tcMar>
          </w:tcPr>
          <w:p w14:paraId="05510E33" w14:textId="77777777" w:rsidR="00961C7F" w:rsidRDefault="008A042F">
            <w:pPr>
              <w:spacing w:after="0" w:line="240" w:lineRule="auto"/>
              <w:jc w:val="center"/>
            </w:pPr>
            <w:r>
              <w:rPr>
                <w:rFonts w:ascii="Times New Roman" w:eastAsia="Times New Roman" w:hAnsi="Times New Roman"/>
                <w:sz w:val="21"/>
                <w:szCs w:val="20"/>
              </w:rPr>
              <w:t>19</w:t>
            </w:r>
          </w:p>
        </w:tc>
      </w:tr>
      <w:tr w:rsidR="00961C7F" w14:paraId="6CC4CF08" w14:textId="77777777" w:rsidTr="00937886">
        <w:trPr>
          <w:cantSplit/>
          <w:jc w:val="center"/>
        </w:trPr>
        <w:tc>
          <w:tcPr>
            <w:tcW w:w="2522" w:type="dxa"/>
            <w:tcBorders>
              <w:top w:val="nil"/>
              <w:left w:val="nil"/>
              <w:bottom w:val="nil"/>
              <w:right w:val="nil"/>
            </w:tcBorders>
            <w:tcMar>
              <w:top w:w="70" w:type="dxa"/>
              <w:left w:w="70" w:type="dxa"/>
              <w:bottom w:w="70" w:type="dxa"/>
              <w:right w:w="70" w:type="dxa"/>
            </w:tcMar>
          </w:tcPr>
          <w:p w14:paraId="6E71F767" w14:textId="77777777" w:rsidR="00961C7F" w:rsidRDefault="008A042F">
            <w:pPr>
              <w:spacing w:after="0" w:line="240" w:lineRule="auto"/>
            </w:pPr>
            <w:r>
              <w:rPr>
                <w:rFonts w:ascii="Times New Roman" w:eastAsia="Times New Roman" w:hAnsi="Times New Roman"/>
                <w:sz w:val="21"/>
                <w:szCs w:val="20"/>
              </w:rPr>
              <w:t>Low-skilled targeted only</w:t>
            </w:r>
          </w:p>
        </w:tc>
        <w:tc>
          <w:tcPr>
            <w:tcW w:w="971" w:type="dxa"/>
            <w:tcBorders>
              <w:top w:val="nil"/>
              <w:left w:val="nil"/>
              <w:bottom w:val="nil"/>
              <w:right w:val="nil"/>
            </w:tcBorders>
            <w:tcMar>
              <w:top w:w="70" w:type="dxa"/>
              <w:left w:w="70" w:type="dxa"/>
              <w:bottom w:w="70" w:type="dxa"/>
              <w:right w:w="70" w:type="dxa"/>
            </w:tcMar>
          </w:tcPr>
          <w:p w14:paraId="252D0B87" w14:textId="77777777" w:rsidR="00961C7F" w:rsidRDefault="008A042F">
            <w:pPr>
              <w:spacing w:after="0" w:line="240" w:lineRule="auto"/>
              <w:jc w:val="center"/>
            </w:pPr>
            <w:r>
              <w:rPr>
                <w:rFonts w:ascii="Times New Roman" w:eastAsia="Times New Roman" w:hAnsi="Times New Roman"/>
                <w:sz w:val="21"/>
                <w:szCs w:val="20"/>
              </w:rPr>
              <w:t>59</w:t>
            </w:r>
          </w:p>
        </w:tc>
        <w:tc>
          <w:tcPr>
            <w:tcW w:w="1456" w:type="dxa"/>
            <w:tcBorders>
              <w:top w:val="nil"/>
              <w:left w:val="nil"/>
              <w:bottom w:val="nil"/>
              <w:right w:val="nil"/>
            </w:tcBorders>
            <w:tcMar>
              <w:top w:w="70" w:type="dxa"/>
              <w:left w:w="70" w:type="dxa"/>
              <w:bottom w:w="70" w:type="dxa"/>
              <w:right w:w="70" w:type="dxa"/>
            </w:tcMar>
          </w:tcPr>
          <w:p w14:paraId="4C1FFD1A" w14:textId="77777777" w:rsidR="00961C7F" w:rsidRDefault="008A042F">
            <w:pPr>
              <w:spacing w:after="0" w:line="240" w:lineRule="auto"/>
              <w:jc w:val="center"/>
            </w:pPr>
            <w:r>
              <w:rPr>
                <w:rFonts w:ascii="Times New Roman" w:eastAsia="Times New Roman" w:hAnsi="Times New Roman"/>
                <w:sz w:val="21"/>
                <w:szCs w:val="20"/>
              </w:rPr>
              <w:t>36</w:t>
            </w:r>
          </w:p>
        </w:tc>
        <w:tc>
          <w:tcPr>
            <w:tcW w:w="1456" w:type="dxa"/>
            <w:tcBorders>
              <w:top w:val="nil"/>
              <w:left w:val="nil"/>
              <w:bottom w:val="nil"/>
              <w:right w:val="nil"/>
            </w:tcBorders>
            <w:tcMar>
              <w:top w:w="70" w:type="dxa"/>
              <w:left w:w="70" w:type="dxa"/>
              <w:bottom w:w="70" w:type="dxa"/>
              <w:right w:w="70" w:type="dxa"/>
            </w:tcMar>
          </w:tcPr>
          <w:p w14:paraId="023DBE18" w14:textId="77777777" w:rsidR="00961C7F" w:rsidRDefault="008A042F">
            <w:pPr>
              <w:spacing w:after="0" w:line="240" w:lineRule="auto"/>
              <w:jc w:val="center"/>
            </w:pPr>
            <w:r>
              <w:rPr>
                <w:rFonts w:ascii="Times New Roman" w:eastAsia="Times New Roman" w:hAnsi="Times New Roman"/>
                <w:sz w:val="21"/>
                <w:szCs w:val="20"/>
              </w:rPr>
              <w:t>37</w:t>
            </w:r>
          </w:p>
        </w:tc>
        <w:tc>
          <w:tcPr>
            <w:tcW w:w="1162" w:type="dxa"/>
            <w:tcBorders>
              <w:top w:val="nil"/>
              <w:left w:val="nil"/>
              <w:bottom w:val="nil"/>
              <w:right w:val="nil"/>
            </w:tcBorders>
            <w:tcMar>
              <w:top w:w="70" w:type="dxa"/>
              <w:left w:w="70" w:type="dxa"/>
              <w:bottom w:w="70" w:type="dxa"/>
              <w:right w:w="70" w:type="dxa"/>
            </w:tcMar>
          </w:tcPr>
          <w:p w14:paraId="15B2448F" w14:textId="77777777" w:rsidR="00961C7F" w:rsidRDefault="008A042F">
            <w:pPr>
              <w:spacing w:after="0" w:line="240" w:lineRule="auto"/>
              <w:jc w:val="center"/>
            </w:pPr>
            <w:r>
              <w:rPr>
                <w:rFonts w:ascii="Times New Roman" w:eastAsia="Times New Roman" w:hAnsi="Times New Roman"/>
                <w:sz w:val="21"/>
                <w:szCs w:val="20"/>
              </w:rPr>
              <w:t>0</w:t>
            </w:r>
          </w:p>
        </w:tc>
        <w:tc>
          <w:tcPr>
            <w:tcW w:w="1459" w:type="dxa"/>
            <w:tcBorders>
              <w:top w:val="nil"/>
              <w:left w:val="nil"/>
              <w:bottom w:val="nil"/>
              <w:right w:val="nil"/>
            </w:tcBorders>
            <w:tcMar>
              <w:top w:w="70" w:type="dxa"/>
              <w:left w:w="70" w:type="dxa"/>
              <w:bottom w:w="70" w:type="dxa"/>
              <w:right w:w="70" w:type="dxa"/>
            </w:tcMar>
          </w:tcPr>
          <w:p w14:paraId="72FCF15F" w14:textId="77777777" w:rsidR="00961C7F" w:rsidRDefault="008A042F">
            <w:pPr>
              <w:spacing w:after="0" w:line="240" w:lineRule="auto"/>
              <w:jc w:val="center"/>
            </w:pPr>
            <w:r>
              <w:rPr>
                <w:rFonts w:ascii="Times New Roman" w:eastAsia="Times New Roman" w:hAnsi="Times New Roman"/>
                <w:sz w:val="21"/>
                <w:szCs w:val="20"/>
              </w:rPr>
              <w:t>22</w:t>
            </w:r>
          </w:p>
        </w:tc>
      </w:tr>
      <w:tr w:rsidR="00961C7F" w14:paraId="32D9D4C2" w14:textId="77777777" w:rsidTr="00937886">
        <w:trPr>
          <w:cantSplit/>
          <w:jc w:val="center"/>
        </w:trPr>
        <w:tc>
          <w:tcPr>
            <w:tcW w:w="2522" w:type="dxa"/>
            <w:tcBorders>
              <w:top w:val="nil"/>
              <w:left w:val="nil"/>
              <w:bottom w:val="single" w:sz="12" w:space="0" w:color="000000"/>
              <w:right w:val="nil"/>
            </w:tcBorders>
            <w:tcMar>
              <w:top w:w="70" w:type="dxa"/>
              <w:left w:w="70" w:type="dxa"/>
              <w:bottom w:w="70" w:type="dxa"/>
              <w:right w:w="70" w:type="dxa"/>
            </w:tcMar>
          </w:tcPr>
          <w:p w14:paraId="554759F8" w14:textId="77777777" w:rsidR="00961C7F" w:rsidRDefault="008A042F">
            <w:pPr>
              <w:spacing w:after="0" w:line="240" w:lineRule="auto"/>
            </w:pPr>
            <w:r>
              <w:rPr>
                <w:rFonts w:ascii="Times New Roman" w:eastAsia="Times New Roman" w:hAnsi="Times New Roman"/>
                <w:sz w:val="21"/>
                <w:szCs w:val="20"/>
              </w:rPr>
              <w:t>All-migrant-worker-only</w:t>
            </w:r>
          </w:p>
        </w:tc>
        <w:tc>
          <w:tcPr>
            <w:tcW w:w="971" w:type="dxa"/>
            <w:tcBorders>
              <w:top w:val="nil"/>
              <w:left w:val="nil"/>
              <w:bottom w:val="single" w:sz="12" w:space="0" w:color="000000"/>
              <w:right w:val="nil"/>
            </w:tcBorders>
            <w:tcMar>
              <w:top w:w="70" w:type="dxa"/>
              <w:left w:w="70" w:type="dxa"/>
              <w:bottom w:w="70" w:type="dxa"/>
              <w:right w:w="70" w:type="dxa"/>
            </w:tcMar>
          </w:tcPr>
          <w:p w14:paraId="2D5366DF" w14:textId="77777777" w:rsidR="00961C7F" w:rsidRDefault="008A042F">
            <w:pPr>
              <w:spacing w:after="0" w:line="240" w:lineRule="auto"/>
              <w:jc w:val="center"/>
            </w:pPr>
            <w:r>
              <w:rPr>
                <w:rFonts w:ascii="Times New Roman" w:eastAsia="Times New Roman" w:hAnsi="Times New Roman"/>
                <w:sz w:val="21"/>
                <w:szCs w:val="20"/>
              </w:rPr>
              <w:t>178</w:t>
            </w:r>
          </w:p>
        </w:tc>
        <w:tc>
          <w:tcPr>
            <w:tcW w:w="1456" w:type="dxa"/>
            <w:tcBorders>
              <w:top w:val="nil"/>
              <w:left w:val="nil"/>
              <w:bottom w:val="single" w:sz="12" w:space="0" w:color="000000"/>
              <w:right w:val="nil"/>
            </w:tcBorders>
            <w:tcMar>
              <w:top w:w="70" w:type="dxa"/>
              <w:left w:w="70" w:type="dxa"/>
              <w:bottom w:w="70" w:type="dxa"/>
              <w:right w:w="70" w:type="dxa"/>
            </w:tcMar>
          </w:tcPr>
          <w:p w14:paraId="739E4270" w14:textId="77777777" w:rsidR="00961C7F" w:rsidRDefault="008A042F">
            <w:pPr>
              <w:spacing w:after="0" w:line="240" w:lineRule="auto"/>
              <w:jc w:val="center"/>
            </w:pPr>
            <w:r>
              <w:rPr>
                <w:rFonts w:ascii="Times New Roman" w:eastAsia="Times New Roman" w:hAnsi="Times New Roman"/>
                <w:sz w:val="21"/>
                <w:szCs w:val="20"/>
              </w:rPr>
              <w:t>91</w:t>
            </w:r>
          </w:p>
        </w:tc>
        <w:tc>
          <w:tcPr>
            <w:tcW w:w="1456" w:type="dxa"/>
            <w:tcBorders>
              <w:top w:val="nil"/>
              <w:left w:val="nil"/>
              <w:bottom w:val="single" w:sz="12" w:space="0" w:color="000000"/>
              <w:right w:val="nil"/>
            </w:tcBorders>
            <w:tcMar>
              <w:top w:w="70" w:type="dxa"/>
              <w:left w:w="70" w:type="dxa"/>
              <w:bottom w:w="70" w:type="dxa"/>
              <w:right w:w="70" w:type="dxa"/>
            </w:tcMar>
          </w:tcPr>
          <w:p w14:paraId="1967C331" w14:textId="77777777" w:rsidR="00961C7F" w:rsidRDefault="008A042F">
            <w:pPr>
              <w:spacing w:after="0" w:line="240" w:lineRule="auto"/>
              <w:jc w:val="center"/>
            </w:pPr>
            <w:r>
              <w:rPr>
                <w:rFonts w:ascii="Times New Roman" w:eastAsia="Times New Roman" w:hAnsi="Times New Roman"/>
                <w:sz w:val="21"/>
                <w:szCs w:val="20"/>
              </w:rPr>
              <w:t>111</w:t>
            </w:r>
          </w:p>
        </w:tc>
        <w:tc>
          <w:tcPr>
            <w:tcW w:w="1162" w:type="dxa"/>
            <w:tcBorders>
              <w:top w:val="nil"/>
              <w:left w:val="nil"/>
              <w:bottom w:val="single" w:sz="12" w:space="0" w:color="000000"/>
              <w:right w:val="nil"/>
            </w:tcBorders>
            <w:tcMar>
              <w:top w:w="70" w:type="dxa"/>
              <w:left w:w="70" w:type="dxa"/>
              <w:bottom w:w="70" w:type="dxa"/>
              <w:right w:w="70" w:type="dxa"/>
            </w:tcMar>
          </w:tcPr>
          <w:p w14:paraId="3CB7F60F" w14:textId="77777777" w:rsidR="00961C7F" w:rsidRDefault="008A042F">
            <w:pPr>
              <w:spacing w:after="0" w:line="240" w:lineRule="auto"/>
              <w:jc w:val="center"/>
            </w:pPr>
            <w:r>
              <w:rPr>
                <w:rFonts w:ascii="Times New Roman" w:eastAsia="Times New Roman" w:hAnsi="Times New Roman"/>
                <w:sz w:val="21"/>
                <w:szCs w:val="20"/>
              </w:rPr>
              <w:t>3</w:t>
            </w:r>
          </w:p>
        </w:tc>
        <w:tc>
          <w:tcPr>
            <w:tcW w:w="1459" w:type="dxa"/>
            <w:tcBorders>
              <w:top w:val="nil"/>
              <w:left w:val="nil"/>
              <w:bottom w:val="single" w:sz="12" w:space="0" w:color="000000"/>
              <w:right w:val="nil"/>
            </w:tcBorders>
            <w:tcMar>
              <w:top w:w="70" w:type="dxa"/>
              <w:left w:w="70" w:type="dxa"/>
              <w:bottom w:w="70" w:type="dxa"/>
              <w:right w:w="70" w:type="dxa"/>
            </w:tcMar>
          </w:tcPr>
          <w:p w14:paraId="78676D52" w14:textId="77777777" w:rsidR="00961C7F" w:rsidRDefault="008A042F">
            <w:pPr>
              <w:spacing w:after="0" w:line="240" w:lineRule="auto"/>
              <w:jc w:val="center"/>
            </w:pPr>
            <w:r>
              <w:rPr>
                <w:rFonts w:ascii="Times New Roman" w:eastAsia="Times New Roman" w:hAnsi="Times New Roman"/>
                <w:sz w:val="21"/>
                <w:szCs w:val="20"/>
              </w:rPr>
              <w:t>64</w:t>
            </w:r>
          </w:p>
        </w:tc>
      </w:tr>
    </w:tbl>
    <w:p w14:paraId="69C3D497" w14:textId="77777777" w:rsidR="00333C79" w:rsidRDefault="00333C79" w:rsidP="001B5A82">
      <w:pPr>
        <w:jc w:val="both"/>
      </w:pPr>
    </w:p>
    <w:p w14:paraId="18BF94F3" w14:textId="77777777" w:rsidR="009401EE" w:rsidRDefault="008A042F" w:rsidP="001B5A82">
      <w:pPr>
        <w:jc w:val="both"/>
      </w:pPr>
      <w:r>
        <w:t>Restrictiveness is a signed summary of Legal entry and stay reforms across multiple tools, not the effect of one legal instrument. The preferred all-migrant-worker score aggregates magnitude-weighted event values across these retained tools. Table 3 reports the policy-tool composition of the current all-migrant-worker-only measure.</w:t>
      </w:r>
    </w:p>
    <w:p w14:paraId="08C1FDEE" w14:textId="77777777" w:rsidR="007830C2" w:rsidRDefault="008A042F" w:rsidP="001B5A82">
      <w:pPr>
        <w:jc w:val="both"/>
      </w:pPr>
      <w:r>
        <w:t xml:space="preserve">Work visa/permit is the largest tool category (91 events), followed by Quota/target (24 events) and entry-visa/stay rules (20 events, including one recorded under the near-duplicate source label 'Entry visa and stay'). Table 3 reports every policy-tool category with at least one event. The </w:t>
      </w:r>
      <w:r>
        <w:lastRenderedPageBreak/>
        <w:t>three smallest categories together account for four events: action plans/strategy/reports (2), a points-based-system event (1), and a language, housing and cultural integration programme event (1).</w:t>
      </w:r>
    </w:p>
    <w:p w14:paraId="15374A29" w14:textId="77777777" w:rsidR="00AF669C" w:rsidRPr="00A93D57" w:rsidRDefault="008A042F" w:rsidP="00A93D57">
      <w:pPr>
        <w:jc w:val="both"/>
      </w:pPr>
      <w:r>
        <w:t>These categories are retained because they are coded as Legal entry and stay reforms in DEMIG-QuantMig. The core labor-entry robustness check later narrows this broader all-tools measure by excluding categories that do not directly govern employer-permit admission.</w:t>
      </w:r>
    </w:p>
    <w:p w14:paraId="0524D14D" w14:textId="77777777" w:rsidR="00AF669C" w:rsidRDefault="00AF669C" w:rsidP="0038122C">
      <w:pPr>
        <w:spacing w:before="120" w:after="80"/>
        <w:jc w:val="center"/>
        <w:rPr>
          <w:rFonts w:eastAsia="Times New Roman"/>
          <w:b/>
          <w:i/>
          <w:iCs/>
        </w:rPr>
      </w:pPr>
    </w:p>
    <w:p w14:paraId="707E389B" w14:textId="77777777" w:rsidR="00961C7F" w:rsidRPr="0038122C" w:rsidRDefault="008A042F" w:rsidP="0038122C">
      <w:pPr>
        <w:spacing w:before="120" w:after="80"/>
        <w:jc w:val="center"/>
        <w:rPr>
          <w:b/>
          <w:i/>
          <w:iCs/>
        </w:rPr>
      </w:pPr>
      <w:r>
        <w:rPr>
          <w:rFonts w:eastAsia="Times New Roman"/>
          <w:b/>
          <w:i/>
          <w:iCs/>
        </w:rPr>
        <w:t>Table 3. Preferred all-migrant-worker cumulative policy measure by policy tool, target origin All foreign nationalities.</w:t>
      </w:r>
    </w:p>
    <w:tbl>
      <w:tblPr>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2676"/>
        <w:gridCol w:w="1099"/>
        <w:gridCol w:w="1122"/>
        <w:gridCol w:w="4129"/>
      </w:tblGrid>
      <w:tr w:rsidR="00961C7F" w14:paraId="2D4B6AFE" w14:textId="77777777" w:rsidTr="001F1C47">
        <w:trPr>
          <w:cantSplit/>
          <w:tblHeader/>
          <w:jc w:val="center"/>
        </w:trPr>
        <w:tc>
          <w:tcPr>
            <w:tcW w:w="2676" w:type="dxa"/>
            <w:tcBorders>
              <w:top w:val="single" w:sz="12" w:space="0" w:color="000000"/>
              <w:left w:val="nil"/>
              <w:bottom w:val="single" w:sz="8" w:space="0" w:color="000000"/>
              <w:right w:val="nil"/>
            </w:tcBorders>
            <w:tcMar>
              <w:top w:w="70" w:type="dxa"/>
              <w:left w:w="70" w:type="dxa"/>
              <w:bottom w:w="70" w:type="dxa"/>
              <w:right w:w="70" w:type="dxa"/>
            </w:tcMar>
          </w:tcPr>
          <w:p w14:paraId="354E9702" w14:textId="77777777" w:rsidR="00961C7F" w:rsidRDefault="008A042F">
            <w:pPr>
              <w:spacing w:after="0" w:line="240" w:lineRule="auto"/>
            </w:pPr>
            <w:r>
              <w:rPr>
                <w:rFonts w:ascii="Times New Roman" w:eastAsia="Times New Roman" w:hAnsi="Times New Roman"/>
                <w:b/>
                <w:sz w:val="20"/>
                <w:szCs w:val="20"/>
              </w:rPr>
              <w:t>Policy tool in preferred all-migrant-worker measure</w:t>
            </w:r>
          </w:p>
        </w:tc>
        <w:tc>
          <w:tcPr>
            <w:tcW w:w="1099" w:type="dxa"/>
            <w:tcBorders>
              <w:top w:val="single" w:sz="12" w:space="0" w:color="000000"/>
              <w:left w:val="nil"/>
              <w:bottom w:val="single" w:sz="8" w:space="0" w:color="000000"/>
              <w:right w:val="nil"/>
            </w:tcBorders>
            <w:tcMar>
              <w:top w:w="70" w:type="dxa"/>
              <w:left w:w="70" w:type="dxa"/>
              <w:bottom w:w="70" w:type="dxa"/>
              <w:right w:w="70" w:type="dxa"/>
            </w:tcMar>
          </w:tcPr>
          <w:p w14:paraId="2303F594" w14:textId="77777777" w:rsidR="00961C7F" w:rsidRDefault="008A042F">
            <w:pPr>
              <w:spacing w:after="0" w:line="240" w:lineRule="auto"/>
              <w:jc w:val="center"/>
            </w:pPr>
            <w:r>
              <w:rPr>
                <w:rFonts w:ascii="Times New Roman" w:eastAsia="Times New Roman" w:hAnsi="Times New Roman"/>
                <w:b/>
                <w:sz w:val="20"/>
                <w:szCs w:val="20"/>
              </w:rPr>
              <w:t>All events</w:t>
            </w:r>
          </w:p>
        </w:tc>
        <w:tc>
          <w:tcPr>
            <w:tcW w:w="1122" w:type="dxa"/>
            <w:tcBorders>
              <w:top w:val="single" w:sz="12" w:space="0" w:color="000000"/>
              <w:left w:val="nil"/>
              <w:bottom w:val="single" w:sz="8" w:space="0" w:color="000000"/>
              <w:right w:val="nil"/>
            </w:tcBorders>
            <w:tcMar>
              <w:top w:w="70" w:type="dxa"/>
              <w:left w:w="70" w:type="dxa"/>
              <w:bottom w:w="70" w:type="dxa"/>
              <w:right w:w="70" w:type="dxa"/>
            </w:tcMar>
          </w:tcPr>
          <w:p w14:paraId="69F0FE0A" w14:textId="77777777" w:rsidR="00961C7F" w:rsidRDefault="008A042F">
            <w:pPr>
              <w:spacing w:after="0" w:line="240" w:lineRule="auto"/>
              <w:jc w:val="center"/>
            </w:pPr>
            <w:r>
              <w:rPr>
                <w:rFonts w:ascii="Times New Roman" w:eastAsia="Times New Roman" w:hAnsi="Times New Roman"/>
                <w:b/>
                <w:sz w:val="20"/>
                <w:szCs w:val="20"/>
              </w:rPr>
              <w:t>More restrictive events</w:t>
            </w:r>
          </w:p>
        </w:tc>
        <w:tc>
          <w:tcPr>
            <w:tcW w:w="4129" w:type="dxa"/>
            <w:tcBorders>
              <w:top w:val="single" w:sz="12" w:space="0" w:color="000000"/>
              <w:left w:val="nil"/>
              <w:bottom w:val="single" w:sz="8" w:space="0" w:color="000000"/>
              <w:right w:val="nil"/>
            </w:tcBorders>
            <w:tcMar>
              <w:top w:w="70" w:type="dxa"/>
              <w:left w:w="70" w:type="dxa"/>
              <w:bottom w:w="70" w:type="dxa"/>
              <w:right w:w="70" w:type="dxa"/>
            </w:tcMar>
          </w:tcPr>
          <w:p w14:paraId="5D4EA637" w14:textId="77777777" w:rsidR="00961C7F" w:rsidRDefault="008A042F">
            <w:pPr>
              <w:spacing w:after="0" w:line="240" w:lineRule="auto"/>
            </w:pPr>
            <w:r>
              <w:rPr>
                <w:rFonts w:ascii="Times New Roman" w:eastAsia="Times New Roman" w:hAnsi="Times New Roman"/>
                <w:b/>
                <w:sz w:val="20"/>
                <w:szCs w:val="20"/>
              </w:rPr>
              <w:t>Role in the measure</w:t>
            </w:r>
          </w:p>
        </w:tc>
      </w:tr>
      <w:tr w:rsidR="00961C7F" w14:paraId="353B78F7"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4154520A" w14:textId="77777777" w:rsidR="00961C7F" w:rsidRDefault="008A042F">
            <w:pPr>
              <w:spacing w:after="0" w:line="240" w:lineRule="auto"/>
            </w:pPr>
            <w:r>
              <w:rPr>
                <w:rFonts w:ascii="Times New Roman" w:eastAsia="Times New Roman" w:hAnsi="Times New Roman"/>
                <w:sz w:val="20"/>
                <w:szCs w:val="20"/>
              </w:rPr>
              <w:t>Work visa/permit</w:t>
            </w:r>
          </w:p>
        </w:tc>
        <w:tc>
          <w:tcPr>
            <w:tcW w:w="1099" w:type="dxa"/>
            <w:tcBorders>
              <w:top w:val="nil"/>
              <w:left w:val="nil"/>
              <w:bottom w:val="nil"/>
              <w:right w:val="nil"/>
            </w:tcBorders>
            <w:tcMar>
              <w:top w:w="70" w:type="dxa"/>
              <w:left w:w="70" w:type="dxa"/>
              <w:bottom w:w="70" w:type="dxa"/>
              <w:right w:w="70" w:type="dxa"/>
            </w:tcMar>
          </w:tcPr>
          <w:p w14:paraId="5ADC1336" w14:textId="77777777" w:rsidR="00961C7F" w:rsidRDefault="008A042F">
            <w:pPr>
              <w:spacing w:after="0" w:line="240" w:lineRule="auto"/>
              <w:jc w:val="center"/>
            </w:pPr>
            <w:r>
              <w:rPr>
                <w:rFonts w:ascii="Times New Roman" w:eastAsia="Times New Roman" w:hAnsi="Times New Roman"/>
                <w:sz w:val="20"/>
                <w:szCs w:val="20"/>
              </w:rPr>
              <w:t>91</w:t>
            </w:r>
          </w:p>
        </w:tc>
        <w:tc>
          <w:tcPr>
            <w:tcW w:w="1122" w:type="dxa"/>
            <w:tcBorders>
              <w:top w:val="nil"/>
              <w:left w:val="nil"/>
              <w:bottom w:val="nil"/>
              <w:right w:val="nil"/>
            </w:tcBorders>
            <w:tcMar>
              <w:top w:w="70" w:type="dxa"/>
              <w:left w:w="70" w:type="dxa"/>
              <w:bottom w:w="70" w:type="dxa"/>
              <w:right w:w="70" w:type="dxa"/>
            </w:tcMar>
          </w:tcPr>
          <w:p w14:paraId="47D9E6B1" w14:textId="77777777" w:rsidR="00961C7F" w:rsidRDefault="008A042F">
            <w:pPr>
              <w:spacing w:after="0" w:line="240" w:lineRule="auto"/>
              <w:jc w:val="center"/>
            </w:pPr>
            <w:r>
              <w:rPr>
                <w:rFonts w:ascii="Times New Roman" w:eastAsia="Times New Roman" w:hAnsi="Times New Roman"/>
                <w:sz w:val="20"/>
                <w:szCs w:val="20"/>
              </w:rPr>
              <w:t>24</w:t>
            </w:r>
          </w:p>
        </w:tc>
        <w:tc>
          <w:tcPr>
            <w:tcW w:w="4129" w:type="dxa"/>
            <w:tcBorders>
              <w:top w:val="nil"/>
              <w:left w:val="nil"/>
              <w:bottom w:val="nil"/>
              <w:right w:val="nil"/>
            </w:tcBorders>
            <w:tcMar>
              <w:top w:w="70" w:type="dxa"/>
              <w:left w:w="70" w:type="dxa"/>
              <w:bottom w:w="70" w:type="dxa"/>
              <w:right w:w="70" w:type="dxa"/>
            </w:tcMar>
          </w:tcPr>
          <w:p w14:paraId="0D73F99B" w14:textId="77777777" w:rsidR="00961C7F" w:rsidRDefault="008A042F">
            <w:pPr>
              <w:spacing w:after="0" w:line="240" w:lineRule="auto"/>
            </w:pPr>
            <w:r>
              <w:rPr>
                <w:rFonts w:ascii="Times New Roman" w:eastAsia="Times New Roman" w:hAnsi="Times New Roman"/>
                <w:sz w:val="20"/>
                <w:szCs w:val="20"/>
              </w:rPr>
              <w:t>Core channel for legal labor entry and work authorization</w:t>
            </w:r>
          </w:p>
        </w:tc>
      </w:tr>
      <w:tr w:rsidR="00961C7F" w14:paraId="25BD6178"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459C6469" w14:textId="77777777" w:rsidR="00961C7F" w:rsidRDefault="008A042F">
            <w:pPr>
              <w:spacing w:after="0" w:line="240" w:lineRule="auto"/>
            </w:pPr>
            <w:r>
              <w:rPr>
                <w:rFonts w:ascii="Times New Roman" w:eastAsia="Times New Roman" w:hAnsi="Times New Roman"/>
                <w:sz w:val="20"/>
                <w:szCs w:val="20"/>
              </w:rPr>
              <w:t>Employer liabilities</w:t>
            </w:r>
          </w:p>
        </w:tc>
        <w:tc>
          <w:tcPr>
            <w:tcW w:w="1099" w:type="dxa"/>
            <w:tcBorders>
              <w:top w:val="nil"/>
              <w:left w:val="nil"/>
              <w:bottom w:val="nil"/>
              <w:right w:val="nil"/>
            </w:tcBorders>
            <w:tcMar>
              <w:top w:w="70" w:type="dxa"/>
              <w:left w:w="70" w:type="dxa"/>
              <w:bottom w:w="70" w:type="dxa"/>
              <w:right w:w="70" w:type="dxa"/>
            </w:tcMar>
          </w:tcPr>
          <w:p w14:paraId="1BC4F154" w14:textId="77777777" w:rsidR="00961C7F" w:rsidRDefault="008A042F">
            <w:pPr>
              <w:spacing w:after="0" w:line="240" w:lineRule="auto"/>
              <w:jc w:val="center"/>
            </w:pPr>
            <w:r>
              <w:rPr>
                <w:rFonts w:ascii="Times New Roman" w:eastAsia="Times New Roman" w:hAnsi="Times New Roman"/>
                <w:sz w:val="20"/>
                <w:szCs w:val="20"/>
              </w:rPr>
              <w:t>19</w:t>
            </w:r>
          </w:p>
        </w:tc>
        <w:tc>
          <w:tcPr>
            <w:tcW w:w="1122" w:type="dxa"/>
            <w:tcBorders>
              <w:top w:val="nil"/>
              <w:left w:val="nil"/>
              <w:bottom w:val="nil"/>
              <w:right w:val="nil"/>
            </w:tcBorders>
            <w:tcMar>
              <w:top w:w="70" w:type="dxa"/>
              <w:left w:w="70" w:type="dxa"/>
              <w:bottom w:w="70" w:type="dxa"/>
              <w:right w:w="70" w:type="dxa"/>
            </w:tcMar>
          </w:tcPr>
          <w:p w14:paraId="6D6AED8B" w14:textId="77777777" w:rsidR="00961C7F" w:rsidRDefault="008A042F">
            <w:pPr>
              <w:spacing w:after="0" w:line="240" w:lineRule="auto"/>
              <w:jc w:val="center"/>
            </w:pPr>
            <w:r>
              <w:rPr>
                <w:rFonts w:ascii="Times New Roman" w:eastAsia="Times New Roman" w:hAnsi="Times New Roman"/>
                <w:sz w:val="20"/>
                <w:szCs w:val="20"/>
              </w:rPr>
              <w:t>17</w:t>
            </w:r>
          </w:p>
        </w:tc>
        <w:tc>
          <w:tcPr>
            <w:tcW w:w="4129" w:type="dxa"/>
            <w:tcBorders>
              <w:top w:val="nil"/>
              <w:left w:val="nil"/>
              <w:bottom w:val="nil"/>
              <w:right w:val="nil"/>
            </w:tcBorders>
            <w:tcMar>
              <w:top w:w="70" w:type="dxa"/>
              <w:left w:w="70" w:type="dxa"/>
              <w:bottom w:w="70" w:type="dxa"/>
              <w:right w:w="70" w:type="dxa"/>
            </w:tcMar>
          </w:tcPr>
          <w:p w14:paraId="3A27D905" w14:textId="77777777" w:rsidR="00961C7F" w:rsidRDefault="008A042F">
            <w:pPr>
              <w:spacing w:after="0" w:line="240" w:lineRule="auto"/>
            </w:pPr>
            <w:r>
              <w:rPr>
                <w:rFonts w:ascii="Times New Roman" w:eastAsia="Times New Roman" w:hAnsi="Times New Roman"/>
                <w:sz w:val="20"/>
                <w:szCs w:val="20"/>
              </w:rPr>
              <w:t>Employer duties, sanctions, or sponsorship obligations</w:t>
            </w:r>
          </w:p>
        </w:tc>
      </w:tr>
      <w:tr w:rsidR="00961C7F" w14:paraId="712730E4"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6D510B76" w14:textId="77777777" w:rsidR="00961C7F" w:rsidRDefault="008A042F">
            <w:pPr>
              <w:spacing w:after="0" w:line="240" w:lineRule="auto"/>
            </w:pPr>
            <w:r>
              <w:rPr>
                <w:rFonts w:ascii="Times New Roman" w:eastAsia="Times New Roman" w:hAnsi="Times New Roman"/>
                <w:sz w:val="20"/>
                <w:szCs w:val="20"/>
              </w:rPr>
              <w:t>Quota/target</w:t>
            </w:r>
          </w:p>
        </w:tc>
        <w:tc>
          <w:tcPr>
            <w:tcW w:w="1099" w:type="dxa"/>
            <w:tcBorders>
              <w:top w:val="nil"/>
              <w:left w:val="nil"/>
              <w:bottom w:val="nil"/>
              <w:right w:val="nil"/>
            </w:tcBorders>
            <w:tcMar>
              <w:top w:w="70" w:type="dxa"/>
              <w:left w:w="70" w:type="dxa"/>
              <w:bottom w:w="70" w:type="dxa"/>
              <w:right w:w="70" w:type="dxa"/>
            </w:tcMar>
          </w:tcPr>
          <w:p w14:paraId="5931AA06" w14:textId="77777777" w:rsidR="00961C7F" w:rsidRDefault="008A042F">
            <w:pPr>
              <w:spacing w:after="0" w:line="240" w:lineRule="auto"/>
              <w:jc w:val="center"/>
            </w:pPr>
            <w:r>
              <w:rPr>
                <w:rFonts w:ascii="Times New Roman" w:eastAsia="Times New Roman" w:hAnsi="Times New Roman"/>
                <w:sz w:val="20"/>
                <w:szCs w:val="20"/>
              </w:rPr>
              <w:t>24</w:t>
            </w:r>
          </w:p>
        </w:tc>
        <w:tc>
          <w:tcPr>
            <w:tcW w:w="1122" w:type="dxa"/>
            <w:tcBorders>
              <w:top w:val="nil"/>
              <w:left w:val="nil"/>
              <w:bottom w:val="nil"/>
              <w:right w:val="nil"/>
            </w:tcBorders>
            <w:tcMar>
              <w:top w:w="70" w:type="dxa"/>
              <w:left w:w="70" w:type="dxa"/>
              <w:bottom w:w="70" w:type="dxa"/>
              <w:right w:w="70" w:type="dxa"/>
            </w:tcMar>
          </w:tcPr>
          <w:p w14:paraId="61548145" w14:textId="77777777" w:rsidR="00961C7F" w:rsidRDefault="008A042F">
            <w:pPr>
              <w:spacing w:after="0" w:line="240" w:lineRule="auto"/>
              <w:jc w:val="center"/>
            </w:pPr>
            <w:r>
              <w:rPr>
                <w:rFonts w:ascii="Times New Roman" w:eastAsia="Times New Roman" w:hAnsi="Times New Roman"/>
                <w:sz w:val="20"/>
                <w:szCs w:val="20"/>
              </w:rPr>
              <w:t>11</w:t>
            </w:r>
          </w:p>
        </w:tc>
        <w:tc>
          <w:tcPr>
            <w:tcW w:w="4129" w:type="dxa"/>
            <w:tcBorders>
              <w:top w:val="nil"/>
              <w:left w:val="nil"/>
              <w:bottom w:val="nil"/>
              <w:right w:val="nil"/>
            </w:tcBorders>
            <w:tcMar>
              <w:top w:w="70" w:type="dxa"/>
              <w:left w:w="70" w:type="dxa"/>
              <w:bottom w:w="70" w:type="dxa"/>
              <w:right w:w="70" w:type="dxa"/>
            </w:tcMar>
          </w:tcPr>
          <w:p w14:paraId="01F00CC9" w14:textId="77777777" w:rsidR="00961C7F" w:rsidRDefault="008A042F">
            <w:pPr>
              <w:spacing w:after="0" w:line="240" w:lineRule="auto"/>
            </w:pPr>
            <w:r>
              <w:rPr>
                <w:rFonts w:ascii="Times New Roman" w:eastAsia="Times New Roman" w:hAnsi="Times New Roman"/>
                <w:sz w:val="20"/>
                <w:szCs w:val="20"/>
              </w:rPr>
              <w:t>Numerical caps, targets, or quota rules</w:t>
            </w:r>
          </w:p>
        </w:tc>
      </w:tr>
      <w:tr w:rsidR="00961C7F" w14:paraId="3C197FA2"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078B8BAD" w14:textId="77777777" w:rsidR="00961C7F" w:rsidRDefault="008A042F">
            <w:pPr>
              <w:spacing w:after="0" w:line="240" w:lineRule="auto"/>
            </w:pPr>
            <w:r>
              <w:rPr>
                <w:rFonts w:ascii="Times New Roman" w:eastAsia="Times New Roman" w:hAnsi="Times New Roman"/>
                <w:sz w:val="20"/>
                <w:szCs w:val="20"/>
              </w:rPr>
              <w:t>Other sanctions</w:t>
            </w:r>
          </w:p>
        </w:tc>
        <w:tc>
          <w:tcPr>
            <w:tcW w:w="1099" w:type="dxa"/>
            <w:tcBorders>
              <w:top w:val="nil"/>
              <w:left w:val="nil"/>
              <w:bottom w:val="nil"/>
              <w:right w:val="nil"/>
            </w:tcBorders>
            <w:tcMar>
              <w:top w:w="70" w:type="dxa"/>
              <w:left w:w="70" w:type="dxa"/>
              <w:bottom w:w="70" w:type="dxa"/>
              <w:right w:w="70" w:type="dxa"/>
            </w:tcMar>
          </w:tcPr>
          <w:p w14:paraId="0F7A2505" w14:textId="77777777" w:rsidR="00961C7F" w:rsidRDefault="008A042F">
            <w:pPr>
              <w:spacing w:after="0" w:line="240" w:lineRule="auto"/>
              <w:jc w:val="center"/>
            </w:pPr>
            <w:r>
              <w:rPr>
                <w:rFonts w:ascii="Times New Roman" w:eastAsia="Times New Roman" w:hAnsi="Times New Roman"/>
                <w:sz w:val="20"/>
                <w:szCs w:val="20"/>
              </w:rPr>
              <w:t>4</w:t>
            </w:r>
          </w:p>
        </w:tc>
        <w:tc>
          <w:tcPr>
            <w:tcW w:w="1122" w:type="dxa"/>
            <w:tcBorders>
              <w:top w:val="nil"/>
              <w:left w:val="nil"/>
              <w:bottom w:val="nil"/>
              <w:right w:val="nil"/>
            </w:tcBorders>
            <w:tcMar>
              <w:top w:w="70" w:type="dxa"/>
              <w:left w:w="70" w:type="dxa"/>
              <w:bottom w:w="70" w:type="dxa"/>
              <w:right w:w="70" w:type="dxa"/>
            </w:tcMar>
          </w:tcPr>
          <w:p w14:paraId="5BEAFAFE" w14:textId="77777777" w:rsidR="00961C7F" w:rsidRDefault="008A042F">
            <w:pPr>
              <w:spacing w:after="0" w:line="240" w:lineRule="auto"/>
              <w:jc w:val="center"/>
            </w:pPr>
            <w:r>
              <w:rPr>
                <w:rFonts w:ascii="Times New Roman" w:eastAsia="Times New Roman" w:hAnsi="Times New Roman"/>
                <w:sz w:val="20"/>
                <w:szCs w:val="20"/>
              </w:rPr>
              <w:t>4</w:t>
            </w:r>
          </w:p>
        </w:tc>
        <w:tc>
          <w:tcPr>
            <w:tcW w:w="4129" w:type="dxa"/>
            <w:tcBorders>
              <w:top w:val="nil"/>
              <w:left w:val="nil"/>
              <w:bottom w:val="nil"/>
              <w:right w:val="nil"/>
            </w:tcBorders>
            <w:tcMar>
              <w:top w:w="70" w:type="dxa"/>
              <w:left w:w="70" w:type="dxa"/>
              <w:bottom w:w="70" w:type="dxa"/>
              <w:right w:w="70" w:type="dxa"/>
            </w:tcMar>
          </w:tcPr>
          <w:p w14:paraId="60ABDBBB" w14:textId="77777777" w:rsidR="00961C7F" w:rsidRDefault="008A042F">
            <w:pPr>
              <w:spacing w:after="0" w:line="240" w:lineRule="auto"/>
            </w:pPr>
            <w:r>
              <w:rPr>
                <w:rFonts w:ascii="Times New Roman" w:eastAsia="Times New Roman" w:hAnsi="Times New Roman"/>
                <w:sz w:val="20"/>
                <w:szCs w:val="20"/>
              </w:rPr>
              <w:t>Penalties linked to non-compliance</w:t>
            </w:r>
          </w:p>
        </w:tc>
      </w:tr>
      <w:tr w:rsidR="00961C7F" w14:paraId="60B5B842"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39423681" w14:textId="77777777" w:rsidR="00961C7F" w:rsidRDefault="008A042F">
            <w:pPr>
              <w:spacing w:after="0" w:line="240" w:lineRule="auto"/>
            </w:pPr>
            <w:r>
              <w:rPr>
                <w:rFonts w:ascii="Times New Roman" w:eastAsia="Times New Roman" w:hAnsi="Times New Roman"/>
                <w:sz w:val="20"/>
                <w:szCs w:val="20"/>
              </w:rPr>
              <w:t>Access to social and socio-economic rights</w:t>
            </w:r>
          </w:p>
        </w:tc>
        <w:tc>
          <w:tcPr>
            <w:tcW w:w="1099" w:type="dxa"/>
            <w:tcBorders>
              <w:top w:val="nil"/>
              <w:left w:val="nil"/>
              <w:bottom w:val="nil"/>
              <w:right w:val="nil"/>
            </w:tcBorders>
            <w:tcMar>
              <w:top w:w="70" w:type="dxa"/>
              <w:left w:w="70" w:type="dxa"/>
              <w:bottom w:w="70" w:type="dxa"/>
              <w:right w:w="70" w:type="dxa"/>
            </w:tcMar>
          </w:tcPr>
          <w:p w14:paraId="3C31C5BC" w14:textId="77777777" w:rsidR="00961C7F" w:rsidRDefault="008A042F">
            <w:pPr>
              <w:spacing w:after="0" w:line="240" w:lineRule="auto"/>
              <w:jc w:val="center"/>
            </w:pPr>
            <w:r>
              <w:rPr>
                <w:rFonts w:ascii="Times New Roman" w:eastAsia="Times New Roman" w:hAnsi="Times New Roman"/>
                <w:sz w:val="20"/>
                <w:szCs w:val="20"/>
              </w:rPr>
              <w:t>10</w:t>
            </w:r>
          </w:p>
        </w:tc>
        <w:tc>
          <w:tcPr>
            <w:tcW w:w="1122" w:type="dxa"/>
            <w:tcBorders>
              <w:top w:val="nil"/>
              <w:left w:val="nil"/>
              <w:bottom w:val="nil"/>
              <w:right w:val="nil"/>
            </w:tcBorders>
            <w:tcMar>
              <w:top w:w="70" w:type="dxa"/>
              <w:left w:w="70" w:type="dxa"/>
              <w:bottom w:w="70" w:type="dxa"/>
              <w:right w:w="70" w:type="dxa"/>
            </w:tcMar>
          </w:tcPr>
          <w:p w14:paraId="5C7B9317" w14:textId="77777777" w:rsidR="00961C7F" w:rsidRDefault="008A042F">
            <w:pPr>
              <w:spacing w:after="0" w:line="240" w:lineRule="auto"/>
              <w:jc w:val="center"/>
            </w:pPr>
            <w:r>
              <w:rPr>
                <w:rFonts w:ascii="Times New Roman" w:eastAsia="Times New Roman" w:hAnsi="Times New Roman"/>
                <w:sz w:val="20"/>
                <w:szCs w:val="20"/>
              </w:rPr>
              <w:t>4</w:t>
            </w:r>
          </w:p>
        </w:tc>
        <w:tc>
          <w:tcPr>
            <w:tcW w:w="4129" w:type="dxa"/>
            <w:tcBorders>
              <w:top w:val="nil"/>
              <w:left w:val="nil"/>
              <w:bottom w:val="nil"/>
              <w:right w:val="nil"/>
            </w:tcBorders>
            <w:tcMar>
              <w:top w:w="70" w:type="dxa"/>
              <w:left w:w="70" w:type="dxa"/>
              <w:bottom w:w="70" w:type="dxa"/>
              <w:right w:w="70" w:type="dxa"/>
            </w:tcMar>
          </w:tcPr>
          <w:p w14:paraId="0BC6B260" w14:textId="77777777" w:rsidR="00961C7F" w:rsidRDefault="008A042F">
            <w:pPr>
              <w:spacing w:after="0" w:line="240" w:lineRule="auto"/>
            </w:pPr>
            <w:r>
              <w:rPr>
                <w:rFonts w:ascii="Times New Roman" w:eastAsia="Times New Roman" w:hAnsi="Times New Roman"/>
                <w:sz w:val="20"/>
                <w:szCs w:val="20"/>
              </w:rPr>
              <w:t>Rights attached to legal stay or work</w:t>
            </w:r>
          </w:p>
        </w:tc>
      </w:tr>
      <w:tr w:rsidR="00961C7F" w14:paraId="6AE8E66D"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366A9C56" w14:textId="77777777" w:rsidR="00961C7F" w:rsidRDefault="008A042F">
            <w:pPr>
              <w:spacing w:after="0" w:line="240" w:lineRule="auto"/>
            </w:pPr>
            <w:r>
              <w:rPr>
                <w:rFonts w:ascii="Times New Roman" w:eastAsia="Times New Roman" w:hAnsi="Times New Roman"/>
                <w:sz w:val="20"/>
                <w:szCs w:val="20"/>
              </w:rPr>
              <w:t>Entry visa/stay permit (including source label ‘Entry visa and stay’)</w:t>
            </w:r>
          </w:p>
        </w:tc>
        <w:tc>
          <w:tcPr>
            <w:tcW w:w="1099" w:type="dxa"/>
            <w:tcBorders>
              <w:top w:val="nil"/>
              <w:left w:val="nil"/>
              <w:bottom w:val="nil"/>
              <w:right w:val="nil"/>
            </w:tcBorders>
            <w:tcMar>
              <w:top w:w="70" w:type="dxa"/>
              <w:left w:w="70" w:type="dxa"/>
              <w:bottom w:w="70" w:type="dxa"/>
              <w:right w:w="70" w:type="dxa"/>
            </w:tcMar>
          </w:tcPr>
          <w:p w14:paraId="32FC5959" w14:textId="77777777" w:rsidR="00961C7F" w:rsidRDefault="008A042F">
            <w:pPr>
              <w:spacing w:after="0" w:line="240" w:lineRule="auto"/>
              <w:jc w:val="center"/>
            </w:pPr>
            <w:r>
              <w:rPr>
                <w:rFonts w:ascii="Times New Roman" w:eastAsia="Times New Roman" w:hAnsi="Times New Roman"/>
                <w:sz w:val="20"/>
                <w:szCs w:val="20"/>
              </w:rPr>
              <w:t>20</w:t>
            </w:r>
          </w:p>
        </w:tc>
        <w:tc>
          <w:tcPr>
            <w:tcW w:w="1122" w:type="dxa"/>
            <w:tcBorders>
              <w:top w:val="nil"/>
              <w:left w:val="nil"/>
              <w:bottom w:val="nil"/>
              <w:right w:val="nil"/>
            </w:tcBorders>
            <w:tcMar>
              <w:top w:w="70" w:type="dxa"/>
              <w:left w:w="70" w:type="dxa"/>
              <w:bottom w:w="70" w:type="dxa"/>
              <w:right w:w="70" w:type="dxa"/>
            </w:tcMar>
          </w:tcPr>
          <w:p w14:paraId="15FC7776" w14:textId="77777777" w:rsidR="00961C7F" w:rsidRDefault="008A042F">
            <w:pPr>
              <w:spacing w:after="0" w:line="240" w:lineRule="auto"/>
              <w:jc w:val="center"/>
            </w:pPr>
            <w:r>
              <w:rPr>
                <w:rFonts w:ascii="Times New Roman" w:eastAsia="Times New Roman" w:hAnsi="Times New Roman"/>
                <w:sz w:val="20"/>
                <w:szCs w:val="20"/>
              </w:rPr>
              <w:t>1</w:t>
            </w:r>
          </w:p>
        </w:tc>
        <w:tc>
          <w:tcPr>
            <w:tcW w:w="4129" w:type="dxa"/>
            <w:tcBorders>
              <w:top w:val="nil"/>
              <w:left w:val="nil"/>
              <w:bottom w:val="nil"/>
              <w:right w:val="nil"/>
            </w:tcBorders>
            <w:tcMar>
              <w:top w:w="70" w:type="dxa"/>
              <w:left w:w="70" w:type="dxa"/>
              <w:bottom w:w="70" w:type="dxa"/>
              <w:right w:w="70" w:type="dxa"/>
            </w:tcMar>
          </w:tcPr>
          <w:p w14:paraId="117FB253" w14:textId="77777777" w:rsidR="00961C7F" w:rsidRDefault="008A042F">
            <w:pPr>
              <w:spacing w:after="0" w:line="240" w:lineRule="auto"/>
            </w:pPr>
            <w:r>
              <w:rPr>
                <w:rFonts w:ascii="Times New Roman" w:eastAsia="Times New Roman" w:hAnsi="Times New Roman"/>
                <w:sz w:val="20"/>
                <w:szCs w:val="20"/>
              </w:rPr>
              <w:t>Residence, entry, or stay-permit conditions; includes one near-duplicate source tool label</w:t>
            </w:r>
          </w:p>
        </w:tc>
      </w:tr>
      <w:tr w:rsidR="00961C7F" w14:paraId="11D7614B"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03DCE05B" w14:textId="77777777" w:rsidR="00961C7F" w:rsidRDefault="008A042F">
            <w:pPr>
              <w:spacing w:after="0" w:line="240" w:lineRule="auto"/>
            </w:pPr>
            <w:r>
              <w:rPr>
                <w:rFonts w:ascii="Times New Roman" w:eastAsia="Times New Roman" w:hAnsi="Times New Roman"/>
                <w:sz w:val="20"/>
                <w:szCs w:val="20"/>
              </w:rPr>
              <w:t>Institutional capacities</w:t>
            </w:r>
          </w:p>
        </w:tc>
        <w:tc>
          <w:tcPr>
            <w:tcW w:w="1099" w:type="dxa"/>
            <w:tcBorders>
              <w:top w:val="nil"/>
              <w:left w:val="nil"/>
              <w:bottom w:val="nil"/>
              <w:right w:val="nil"/>
            </w:tcBorders>
            <w:tcMar>
              <w:top w:w="70" w:type="dxa"/>
              <w:left w:w="70" w:type="dxa"/>
              <w:bottom w:w="70" w:type="dxa"/>
              <w:right w:w="70" w:type="dxa"/>
            </w:tcMar>
          </w:tcPr>
          <w:p w14:paraId="4B97C72B" w14:textId="77777777" w:rsidR="00961C7F" w:rsidRDefault="008A042F">
            <w:pPr>
              <w:spacing w:after="0" w:line="240" w:lineRule="auto"/>
              <w:jc w:val="center"/>
            </w:pPr>
            <w:r>
              <w:rPr>
                <w:rFonts w:ascii="Times New Roman" w:eastAsia="Times New Roman" w:hAnsi="Times New Roman"/>
                <w:sz w:val="20"/>
                <w:szCs w:val="20"/>
              </w:rPr>
              <w:t>3</w:t>
            </w:r>
          </w:p>
        </w:tc>
        <w:tc>
          <w:tcPr>
            <w:tcW w:w="1122" w:type="dxa"/>
            <w:tcBorders>
              <w:top w:val="nil"/>
              <w:left w:val="nil"/>
              <w:bottom w:val="nil"/>
              <w:right w:val="nil"/>
            </w:tcBorders>
            <w:tcMar>
              <w:top w:w="70" w:type="dxa"/>
              <w:left w:w="70" w:type="dxa"/>
              <w:bottom w:w="70" w:type="dxa"/>
              <w:right w:w="70" w:type="dxa"/>
            </w:tcMar>
          </w:tcPr>
          <w:p w14:paraId="18C09ABC" w14:textId="77777777" w:rsidR="00961C7F" w:rsidRDefault="008A042F">
            <w:pPr>
              <w:spacing w:after="0" w:line="240" w:lineRule="auto"/>
              <w:jc w:val="center"/>
            </w:pPr>
            <w:r>
              <w:rPr>
                <w:rFonts w:ascii="Times New Roman" w:eastAsia="Times New Roman" w:hAnsi="Times New Roman"/>
                <w:sz w:val="20"/>
                <w:szCs w:val="20"/>
              </w:rPr>
              <w:t>2</w:t>
            </w:r>
          </w:p>
        </w:tc>
        <w:tc>
          <w:tcPr>
            <w:tcW w:w="4129" w:type="dxa"/>
            <w:tcBorders>
              <w:top w:val="nil"/>
              <w:left w:val="nil"/>
              <w:bottom w:val="nil"/>
              <w:right w:val="nil"/>
            </w:tcBorders>
            <w:tcMar>
              <w:top w:w="70" w:type="dxa"/>
              <w:left w:w="70" w:type="dxa"/>
              <w:bottom w:w="70" w:type="dxa"/>
              <w:right w:w="70" w:type="dxa"/>
            </w:tcMar>
          </w:tcPr>
          <w:p w14:paraId="2FFCD72B" w14:textId="77777777" w:rsidR="00961C7F" w:rsidRDefault="008A042F">
            <w:pPr>
              <w:spacing w:after="0" w:line="240" w:lineRule="auto"/>
            </w:pPr>
            <w:r>
              <w:rPr>
                <w:rFonts w:ascii="Times New Roman" w:eastAsia="Times New Roman" w:hAnsi="Times New Roman"/>
                <w:sz w:val="20"/>
                <w:szCs w:val="20"/>
              </w:rPr>
              <w:t>Administrative implementation capacity</w:t>
            </w:r>
          </w:p>
        </w:tc>
      </w:tr>
      <w:tr w:rsidR="00961C7F" w14:paraId="27A86FB4"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0EBC3777" w14:textId="77777777" w:rsidR="00961C7F" w:rsidRDefault="008A042F">
            <w:pPr>
              <w:spacing w:after="0" w:line="240" w:lineRule="auto"/>
            </w:pPr>
            <w:r>
              <w:rPr>
                <w:rFonts w:ascii="Times New Roman" w:eastAsia="Times New Roman" w:hAnsi="Times New Roman"/>
                <w:sz w:val="20"/>
                <w:szCs w:val="20"/>
              </w:rPr>
              <w:t>Points-based system</w:t>
            </w:r>
          </w:p>
        </w:tc>
        <w:tc>
          <w:tcPr>
            <w:tcW w:w="1099" w:type="dxa"/>
            <w:tcBorders>
              <w:top w:val="nil"/>
              <w:left w:val="nil"/>
              <w:bottom w:val="nil"/>
              <w:right w:val="nil"/>
            </w:tcBorders>
            <w:tcMar>
              <w:top w:w="70" w:type="dxa"/>
              <w:left w:w="70" w:type="dxa"/>
              <w:bottom w:w="70" w:type="dxa"/>
              <w:right w:w="70" w:type="dxa"/>
            </w:tcMar>
          </w:tcPr>
          <w:p w14:paraId="65A89311" w14:textId="77777777" w:rsidR="00961C7F" w:rsidRDefault="008A042F">
            <w:pPr>
              <w:spacing w:after="0" w:line="240" w:lineRule="auto"/>
              <w:jc w:val="center"/>
            </w:pPr>
            <w:r>
              <w:rPr>
                <w:rFonts w:ascii="Times New Roman" w:eastAsia="Times New Roman" w:hAnsi="Times New Roman"/>
                <w:sz w:val="20"/>
                <w:szCs w:val="20"/>
              </w:rPr>
              <w:t>1</w:t>
            </w:r>
          </w:p>
        </w:tc>
        <w:tc>
          <w:tcPr>
            <w:tcW w:w="1122" w:type="dxa"/>
            <w:tcBorders>
              <w:top w:val="nil"/>
              <w:left w:val="nil"/>
              <w:bottom w:val="nil"/>
              <w:right w:val="nil"/>
            </w:tcBorders>
            <w:tcMar>
              <w:top w:w="70" w:type="dxa"/>
              <w:left w:w="70" w:type="dxa"/>
              <w:bottom w:w="70" w:type="dxa"/>
              <w:right w:w="70" w:type="dxa"/>
            </w:tcMar>
          </w:tcPr>
          <w:p w14:paraId="0F1ECDEB" w14:textId="77777777" w:rsidR="00961C7F" w:rsidRDefault="008A042F">
            <w:pPr>
              <w:spacing w:after="0" w:line="240" w:lineRule="auto"/>
              <w:jc w:val="center"/>
            </w:pPr>
            <w:r>
              <w:rPr>
                <w:rFonts w:ascii="Times New Roman" w:eastAsia="Times New Roman" w:hAnsi="Times New Roman"/>
                <w:sz w:val="20"/>
                <w:szCs w:val="20"/>
              </w:rPr>
              <w:t>1</w:t>
            </w:r>
          </w:p>
        </w:tc>
        <w:tc>
          <w:tcPr>
            <w:tcW w:w="4129" w:type="dxa"/>
            <w:tcBorders>
              <w:top w:val="nil"/>
              <w:left w:val="nil"/>
              <w:bottom w:val="nil"/>
              <w:right w:val="nil"/>
            </w:tcBorders>
            <w:tcMar>
              <w:top w:w="70" w:type="dxa"/>
              <w:left w:w="70" w:type="dxa"/>
              <w:bottom w:w="70" w:type="dxa"/>
              <w:right w:w="70" w:type="dxa"/>
            </w:tcMar>
          </w:tcPr>
          <w:p w14:paraId="2BCE6293" w14:textId="77777777" w:rsidR="00961C7F" w:rsidRDefault="008A042F">
            <w:pPr>
              <w:spacing w:after="0" w:line="240" w:lineRule="auto"/>
            </w:pPr>
            <w:r>
              <w:rPr>
                <w:rFonts w:ascii="Times New Roman" w:eastAsia="Times New Roman" w:hAnsi="Times New Roman"/>
                <w:sz w:val="20"/>
                <w:szCs w:val="20"/>
              </w:rPr>
              <w:t>Selection rules based on points or criteria</w:t>
            </w:r>
          </w:p>
        </w:tc>
      </w:tr>
      <w:tr w:rsidR="00961C7F" w14:paraId="437755D0"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03D21F1E" w14:textId="77777777" w:rsidR="00961C7F" w:rsidRDefault="008A042F">
            <w:pPr>
              <w:spacing w:after="0" w:line="240" w:lineRule="auto"/>
            </w:pPr>
            <w:r>
              <w:rPr>
                <w:rFonts w:ascii="Times New Roman" w:eastAsia="Times New Roman" w:hAnsi="Times New Roman"/>
                <w:sz w:val="20"/>
                <w:szCs w:val="20"/>
              </w:rPr>
              <w:t>Access to justice and political rights</w:t>
            </w:r>
          </w:p>
        </w:tc>
        <w:tc>
          <w:tcPr>
            <w:tcW w:w="1099" w:type="dxa"/>
            <w:tcBorders>
              <w:top w:val="nil"/>
              <w:left w:val="nil"/>
              <w:bottom w:val="nil"/>
              <w:right w:val="nil"/>
            </w:tcBorders>
            <w:tcMar>
              <w:top w:w="70" w:type="dxa"/>
              <w:left w:w="70" w:type="dxa"/>
              <w:bottom w:w="70" w:type="dxa"/>
              <w:right w:w="70" w:type="dxa"/>
            </w:tcMar>
          </w:tcPr>
          <w:p w14:paraId="2F006365" w14:textId="77777777" w:rsidR="00961C7F" w:rsidRDefault="008A042F">
            <w:pPr>
              <w:spacing w:after="0" w:line="240" w:lineRule="auto"/>
              <w:jc w:val="center"/>
            </w:pPr>
            <w:r>
              <w:rPr>
                <w:rFonts w:ascii="Times New Roman" w:eastAsia="Times New Roman" w:hAnsi="Times New Roman"/>
                <w:sz w:val="20"/>
                <w:szCs w:val="20"/>
              </w:rPr>
              <w:t>3</w:t>
            </w:r>
          </w:p>
        </w:tc>
        <w:tc>
          <w:tcPr>
            <w:tcW w:w="1122" w:type="dxa"/>
            <w:tcBorders>
              <w:top w:val="nil"/>
              <w:left w:val="nil"/>
              <w:bottom w:val="nil"/>
              <w:right w:val="nil"/>
            </w:tcBorders>
            <w:tcMar>
              <w:top w:w="70" w:type="dxa"/>
              <w:left w:w="70" w:type="dxa"/>
              <w:bottom w:w="70" w:type="dxa"/>
              <w:right w:w="70" w:type="dxa"/>
            </w:tcMar>
          </w:tcPr>
          <w:p w14:paraId="3CF1D496" w14:textId="77777777" w:rsidR="00961C7F" w:rsidRDefault="008A042F">
            <w:pPr>
              <w:spacing w:after="0" w:line="240" w:lineRule="auto"/>
              <w:jc w:val="center"/>
            </w:pPr>
            <w:r>
              <w:rPr>
                <w:rFonts w:ascii="Times New Roman" w:eastAsia="Times New Roman" w:hAnsi="Times New Roman"/>
                <w:sz w:val="20"/>
                <w:szCs w:val="20"/>
              </w:rPr>
              <w:t>0</w:t>
            </w:r>
          </w:p>
        </w:tc>
        <w:tc>
          <w:tcPr>
            <w:tcW w:w="4129" w:type="dxa"/>
            <w:tcBorders>
              <w:top w:val="nil"/>
              <w:left w:val="nil"/>
              <w:bottom w:val="nil"/>
              <w:right w:val="nil"/>
            </w:tcBorders>
            <w:tcMar>
              <w:top w:w="70" w:type="dxa"/>
              <w:left w:w="70" w:type="dxa"/>
              <w:bottom w:w="70" w:type="dxa"/>
              <w:right w:w="70" w:type="dxa"/>
            </w:tcMar>
          </w:tcPr>
          <w:p w14:paraId="24754F7E" w14:textId="77777777" w:rsidR="00961C7F" w:rsidRDefault="008A042F">
            <w:pPr>
              <w:spacing w:after="0" w:line="240" w:lineRule="auto"/>
            </w:pPr>
            <w:r>
              <w:rPr>
                <w:rFonts w:ascii="Times New Roman" w:eastAsia="Times New Roman" w:hAnsi="Times New Roman"/>
                <w:sz w:val="20"/>
                <w:szCs w:val="20"/>
              </w:rPr>
              <w:t>Rights and legal-access reforms associated with legal residence or work</w:t>
            </w:r>
          </w:p>
        </w:tc>
      </w:tr>
      <w:tr w:rsidR="00961C7F" w14:paraId="77A90630"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5423D983" w14:textId="77777777" w:rsidR="00961C7F" w:rsidRDefault="008A042F">
            <w:pPr>
              <w:spacing w:after="0" w:line="240" w:lineRule="auto"/>
            </w:pPr>
            <w:r>
              <w:rPr>
                <w:rFonts w:ascii="Times New Roman" w:eastAsia="Times New Roman" w:hAnsi="Times New Roman"/>
                <w:sz w:val="20"/>
                <w:szCs w:val="20"/>
              </w:rPr>
              <w:t>Action Plan, Strategy, Report</w:t>
            </w:r>
          </w:p>
        </w:tc>
        <w:tc>
          <w:tcPr>
            <w:tcW w:w="1099" w:type="dxa"/>
            <w:tcBorders>
              <w:top w:val="nil"/>
              <w:left w:val="nil"/>
              <w:bottom w:val="nil"/>
              <w:right w:val="nil"/>
            </w:tcBorders>
            <w:tcMar>
              <w:top w:w="70" w:type="dxa"/>
              <w:left w:w="70" w:type="dxa"/>
              <w:bottom w:w="70" w:type="dxa"/>
              <w:right w:w="70" w:type="dxa"/>
            </w:tcMar>
          </w:tcPr>
          <w:p w14:paraId="7E5C6555" w14:textId="77777777" w:rsidR="00961C7F" w:rsidRDefault="008A042F">
            <w:pPr>
              <w:spacing w:after="0" w:line="240" w:lineRule="auto"/>
              <w:jc w:val="center"/>
            </w:pPr>
            <w:r>
              <w:rPr>
                <w:rFonts w:ascii="Times New Roman" w:eastAsia="Times New Roman" w:hAnsi="Times New Roman"/>
                <w:sz w:val="20"/>
                <w:szCs w:val="20"/>
              </w:rPr>
              <w:t>2</w:t>
            </w:r>
          </w:p>
        </w:tc>
        <w:tc>
          <w:tcPr>
            <w:tcW w:w="1122" w:type="dxa"/>
            <w:tcBorders>
              <w:top w:val="nil"/>
              <w:left w:val="nil"/>
              <w:bottom w:val="nil"/>
              <w:right w:val="nil"/>
            </w:tcBorders>
            <w:tcMar>
              <w:top w:w="70" w:type="dxa"/>
              <w:left w:w="70" w:type="dxa"/>
              <w:bottom w:w="70" w:type="dxa"/>
              <w:right w:w="70" w:type="dxa"/>
            </w:tcMar>
          </w:tcPr>
          <w:p w14:paraId="39A8598D" w14:textId="77777777" w:rsidR="00961C7F" w:rsidRDefault="008A042F">
            <w:pPr>
              <w:spacing w:after="0" w:line="240" w:lineRule="auto"/>
              <w:jc w:val="center"/>
            </w:pPr>
            <w:r>
              <w:rPr>
                <w:rFonts w:ascii="Times New Roman" w:eastAsia="Times New Roman" w:hAnsi="Times New Roman"/>
                <w:sz w:val="20"/>
                <w:szCs w:val="20"/>
              </w:rPr>
              <w:t>0</w:t>
            </w:r>
          </w:p>
        </w:tc>
        <w:tc>
          <w:tcPr>
            <w:tcW w:w="4129" w:type="dxa"/>
            <w:tcBorders>
              <w:top w:val="nil"/>
              <w:left w:val="nil"/>
              <w:bottom w:val="nil"/>
              <w:right w:val="nil"/>
            </w:tcBorders>
            <w:tcMar>
              <w:top w:w="70" w:type="dxa"/>
              <w:left w:w="70" w:type="dxa"/>
              <w:bottom w:w="70" w:type="dxa"/>
              <w:right w:w="70" w:type="dxa"/>
            </w:tcMar>
          </w:tcPr>
          <w:p w14:paraId="0A8050D1" w14:textId="77777777" w:rsidR="00961C7F" w:rsidRDefault="008A042F">
            <w:pPr>
              <w:spacing w:after="0" w:line="240" w:lineRule="auto"/>
            </w:pPr>
            <w:r>
              <w:rPr>
                <w:rFonts w:ascii="Times New Roman" w:eastAsia="Times New Roman" w:hAnsi="Times New Roman"/>
                <w:sz w:val="20"/>
                <w:szCs w:val="20"/>
              </w:rPr>
              <w:t>Strategy or administrative framework; included in all-tools measure, excluded from core subset</w:t>
            </w:r>
          </w:p>
        </w:tc>
      </w:tr>
      <w:tr w:rsidR="00961C7F" w14:paraId="1DD3AB8F" w14:textId="77777777" w:rsidTr="001F1C47">
        <w:trPr>
          <w:cantSplit/>
          <w:jc w:val="center"/>
        </w:trPr>
        <w:tc>
          <w:tcPr>
            <w:tcW w:w="2676" w:type="dxa"/>
            <w:tcBorders>
              <w:top w:val="nil"/>
              <w:left w:val="nil"/>
              <w:bottom w:val="single" w:sz="12" w:space="0" w:color="000000"/>
              <w:right w:val="nil"/>
            </w:tcBorders>
            <w:tcMar>
              <w:top w:w="70" w:type="dxa"/>
              <w:left w:w="70" w:type="dxa"/>
              <w:bottom w:w="70" w:type="dxa"/>
              <w:right w:w="70" w:type="dxa"/>
            </w:tcMar>
          </w:tcPr>
          <w:p w14:paraId="2A5F5C58" w14:textId="77777777" w:rsidR="00961C7F" w:rsidRDefault="008A042F">
            <w:pPr>
              <w:spacing w:after="0" w:line="240" w:lineRule="auto"/>
            </w:pPr>
            <w:r>
              <w:rPr>
                <w:rFonts w:ascii="Times New Roman" w:eastAsia="Times New Roman" w:hAnsi="Times New Roman"/>
                <w:sz w:val="20"/>
                <w:szCs w:val="20"/>
              </w:rPr>
              <w:t>Language, housing and cultural integration programmes</w:t>
            </w:r>
          </w:p>
        </w:tc>
        <w:tc>
          <w:tcPr>
            <w:tcW w:w="1099" w:type="dxa"/>
            <w:tcBorders>
              <w:top w:val="nil"/>
              <w:left w:val="nil"/>
              <w:bottom w:val="single" w:sz="12" w:space="0" w:color="000000"/>
              <w:right w:val="nil"/>
            </w:tcBorders>
            <w:tcMar>
              <w:top w:w="70" w:type="dxa"/>
              <w:left w:w="70" w:type="dxa"/>
              <w:bottom w:w="70" w:type="dxa"/>
              <w:right w:w="70" w:type="dxa"/>
            </w:tcMar>
          </w:tcPr>
          <w:p w14:paraId="27666E04" w14:textId="77777777" w:rsidR="00961C7F" w:rsidRDefault="008A042F">
            <w:pPr>
              <w:spacing w:after="0" w:line="240" w:lineRule="auto"/>
              <w:jc w:val="center"/>
            </w:pPr>
            <w:r>
              <w:rPr>
                <w:rFonts w:ascii="Times New Roman" w:eastAsia="Times New Roman" w:hAnsi="Times New Roman"/>
                <w:sz w:val="20"/>
                <w:szCs w:val="20"/>
              </w:rPr>
              <w:t>1</w:t>
            </w:r>
          </w:p>
        </w:tc>
        <w:tc>
          <w:tcPr>
            <w:tcW w:w="1122" w:type="dxa"/>
            <w:tcBorders>
              <w:top w:val="nil"/>
              <w:left w:val="nil"/>
              <w:bottom w:val="single" w:sz="12" w:space="0" w:color="000000"/>
              <w:right w:val="nil"/>
            </w:tcBorders>
            <w:tcMar>
              <w:top w:w="70" w:type="dxa"/>
              <w:left w:w="70" w:type="dxa"/>
              <w:bottom w:w="70" w:type="dxa"/>
              <w:right w:w="70" w:type="dxa"/>
            </w:tcMar>
          </w:tcPr>
          <w:p w14:paraId="1F976553" w14:textId="77777777" w:rsidR="00961C7F" w:rsidRDefault="008A042F">
            <w:pPr>
              <w:spacing w:after="0" w:line="240" w:lineRule="auto"/>
              <w:jc w:val="center"/>
            </w:pPr>
            <w:r>
              <w:rPr>
                <w:rFonts w:ascii="Times New Roman" w:eastAsia="Times New Roman" w:hAnsi="Times New Roman"/>
                <w:sz w:val="20"/>
                <w:szCs w:val="20"/>
              </w:rPr>
              <w:t>0</w:t>
            </w:r>
          </w:p>
        </w:tc>
        <w:tc>
          <w:tcPr>
            <w:tcW w:w="4129" w:type="dxa"/>
            <w:tcBorders>
              <w:top w:val="nil"/>
              <w:left w:val="nil"/>
              <w:bottom w:val="single" w:sz="12" w:space="0" w:color="000000"/>
              <w:right w:val="nil"/>
            </w:tcBorders>
            <w:tcMar>
              <w:top w:w="70" w:type="dxa"/>
              <w:left w:w="70" w:type="dxa"/>
              <w:bottom w:w="70" w:type="dxa"/>
              <w:right w:w="70" w:type="dxa"/>
            </w:tcMar>
          </w:tcPr>
          <w:p w14:paraId="0E16DAC7" w14:textId="77777777" w:rsidR="00961C7F" w:rsidRDefault="008A042F">
            <w:pPr>
              <w:spacing w:after="0" w:line="240" w:lineRule="auto"/>
            </w:pPr>
            <w:r>
              <w:rPr>
                <w:rFonts w:ascii="Times New Roman" w:eastAsia="Times New Roman" w:hAnsi="Times New Roman"/>
                <w:sz w:val="20"/>
                <w:szCs w:val="20"/>
              </w:rPr>
              <w:t>Integration-related condition; included in all-tools measure, excluded from core subset</w:t>
            </w:r>
          </w:p>
        </w:tc>
      </w:tr>
    </w:tbl>
    <w:p w14:paraId="5C694751" w14:textId="77777777" w:rsidR="00610185" w:rsidRDefault="00610185">
      <w:pPr>
        <w:pStyle w:val="Heading2"/>
      </w:pPr>
    </w:p>
    <w:p w14:paraId="62270221" w14:textId="77777777" w:rsidR="00BB34D0" w:rsidRDefault="00BB34D0">
      <w:pPr>
        <w:spacing w:after="0" w:line="240" w:lineRule="auto"/>
        <w:rPr>
          <w:rFonts w:ascii="Cambria" w:eastAsia="Cambria" w:hAnsi="Cambria" w:cs="Cambria"/>
          <w:b/>
          <w:bCs/>
          <w:color w:val="000000"/>
          <w:sz w:val="26"/>
          <w:szCs w:val="26"/>
        </w:rPr>
      </w:pPr>
      <w:r>
        <w:br w:type="page"/>
      </w:r>
    </w:p>
    <w:p w14:paraId="4DE1DB5F" w14:textId="7C479B8A" w:rsidR="00961C7F" w:rsidRDefault="008A042F">
      <w:pPr>
        <w:pStyle w:val="Heading2"/>
      </w:pPr>
      <w:r>
        <w:lastRenderedPageBreak/>
        <w:t>6.3 Controls and sample construction</w:t>
      </w:r>
    </w:p>
    <w:p w14:paraId="6CA9A965" w14:textId="77777777" w:rsidR="00961C7F" w:rsidRDefault="008A042F" w:rsidP="00542E2D">
      <w:pPr>
        <w:ind w:firstLine="720"/>
        <w:jc w:val="both"/>
      </w:pPr>
      <w:r>
        <w:t>The destination-year controls are lagged unemployment from the Unemployment by sex and age dataset (Eurostat 2026e) and lagged real GDP growth from Eurostat's Gross domestic product (GDP) and main components dataset (Eurostat 2026c). GDP growth is complete in the current panel, while unemployment has 37 missing country-year values and therefore reduces the full-control aggregate sample.</w:t>
      </w:r>
    </w:p>
    <w:p w14:paraId="43D47862" w14:textId="77777777" w:rsidR="00895870" w:rsidRDefault="00000000">
      <w:pPr>
        <w:ind w:firstLine="720"/>
        <w:jc w:val="both"/>
      </w:pPr>
      <w:r>
        <w:t>The fully controlled aggregate and bilateral regressions begin in 2009 because Eurostat's first-permit series begins in 2008 and cannot supply the lagged PermitScale required for a 2008 full-control observation.</w:t>
      </w:r>
    </w:p>
    <w:p w14:paraId="491B28A2" w14:textId="77777777" w:rsidR="00961C7F" w:rsidRDefault="008A042F" w:rsidP="00B201DE">
      <w:pPr>
        <w:jc w:val="both"/>
      </w:pPr>
      <w:r>
        <w:t>The baseline share regressions retain only cells with at least 30 employment-related permits in the current outcome year. This is the same current-year denominator used to calculate HSRate, not the lagged PermitScale control. A destination-year or origin-destination-year cell with fewer than 30 current employment permits is therefore excluded from the baseline share sample. This transparent minimum-cell rule limits ratios driven by only a handful of permits; denominator weighting then gives larger retained cells more influence. Because both choices use the observed denominator, Section 8 also reports a weighted sensitivity check that retains every positive-denominator corridor.</w:t>
      </w:r>
    </w:p>
    <w:p w14:paraId="31F2B14F" w14:textId="77777777" w:rsidR="00961C7F" w:rsidRDefault="008A042F" w:rsidP="001B5A82">
      <w:pPr>
        <w:jc w:val="both"/>
      </w:pPr>
      <w:r>
        <w:t>The analysis draws on 281,952 filtered Eurostat rows and more than 7,600 DEMIG-QuantMig records. This breadth supports coverage but does not resolve policy endogeneity.</w:t>
      </w:r>
    </w:p>
    <w:p w14:paraId="4688F11A" w14:textId="77777777" w:rsidR="008F026E" w:rsidRDefault="00A36F18">
      <w:pPr>
        <w:jc w:val="both"/>
      </w:pPr>
      <w:r>
        <w:t>Lagged unemployment and GDP growth therefore help account for the economic environment in which policy decisions are made. They remain broad proxies, however, rather than complete measures of labor demand, vacancies, wages, or sector-specific shortages.</w:t>
      </w:r>
    </w:p>
    <w:p w14:paraId="0E963E47" w14:textId="77777777" w:rsidR="002C6307" w:rsidRPr="00F86F57" w:rsidRDefault="008A042F" w:rsidP="00F86F57">
      <w:pPr>
        <w:jc w:val="both"/>
      </w:pPr>
      <w:r>
        <w:t>Table 4 defines the main variables and data sources; robustness-only sources are documented in Section 8.</w:t>
      </w:r>
    </w:p>
    <w:p w14:paraId="72414C45" w14:textId="77777777" w:rsidR="00BB34D0" w:rsidRDefault="00BB34D0">
      <w:pPr>
        <w:spacing w:after="0" w:line="240" w:lineRule="auto"/>
        <w:rPr>
          <w:rFonts w:eastAsia="Times New Roman"/>
          <w:b/>
          <w:i/>
          <w:iCs/>
        </w:rPr>
      </w:pPr>
      <w:r>
        <w:rPr>
          <w:rFonts w:eastAsia="Times New Roman"/>
          <w:b/>
          <w:i/>
          <w:iCs/>
        </w:rPr>
        <w:br w:type="page"/>
      </w:r>
    </w:p>
    <w:p w14:paraId="34DFD660" w14:textId="0D8995B7" w:rsidR="00961C7F" w:rsidRPr="0038122C" w:rsidRDefault="008A042F" w:rsidP="0038122C">
      <w:pPr>
        <w:spacing w:before="120" w:after="80"/>
        <w:jc w:val="center"/>
        <w:rPr>
          <w:b/>
          <w:i/>
          <w:iCs/>
        </w:rPr>
      </w:pPr>
      <w:r>
        <w:rPr>
          <w:rFonts w:eastAsia="Times New Roman"/>
          <w:b/>
          <w:i/>
          <w:iCs/>
        </w:rPr>
        <w:lastRenderedPageBreak/>
        <w:t>Table 4. Variable definitions for the regression specifications.</w:t>
      </w:r>
    </w:p>
    <w:tbl>
      <w:tblPr>
        <w:tblStyle w:val="TableGrid"/>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2350"/>
        <w:gridCol w:w="4573"/>
        <w:gridCol w:w="2103"/>
      </w:tblGrid>
      <w:tr w:rsidR="00961C7F" w14:paraId="3E715115" w14:textId="77777777" w:rsidTr="007F06D5">
        <w:trPr>
          <w:cantSplit/>
          <w:tblHeader/>
          <w:jc w:val="center"/>
        </w:trPr>
        <w:tc>
          <w:tcPr>
            <w:tcW w:w="2350" w:type="dxa"/>
            <w:tcBorders>
              <w:top w:val="single" w:sz="12" w:space="0" w:color="000000"/>
              <w:left w:val="nil"/>
              <w:bottom w:val="single" w:sz="8" w:space="0" w:color="000000"/>
              <w:right w:val="nil"/>
            </w:tcBorders>
            <w:tcMar>
              <w:top w:w="70" w:type="dxa"/>
              <w:left w:w="70" w:type="dxa"/>
              <w:bottom w:w="70" w:type="dxa"/>
              <w:right w:w="70" w:type="dxa"/>
            </w:tcMar>
          </w:tcPr>
          <w:p w14:paraId="0A2FFDA4" w14:textId="77777777" w:rsidR="00961C7F" w:rsidRDefault="007F06D5">
            <w:pPr>
              <w:spacing w:after="0" w:line="240" w:lineRule="auto"/>
              <w:rPr>
                <w:rFonts w:eastAsia="MS Mincho"/>
              </w:rPr>
            </w:pPr>
            <w:r>
              <w:rPr>
                <w:rFonts w:ascii="Times New Roman" w:eastAsia="Times New Roman" w:hAnsi="Times New Roman"/>
                <w:b/>
                <w:sz w:val="18"/>
                <w:szCs w:val="20"/>
              </w:rPr>
              <w:t>Variable (code name)</w:t>
            </w:r>
          </w:p>
        </w:tc>
        <w:tc>
          <w:tcPr>
            <w:tcW w:w="4573" w:type="dxa"/>
            <w:tcBorders>
              <w:top w:val="single" w:sz="12" w:space="0" w:color="000000"/>
              <w:left w:val="nil"/>
              <w:bottom w:val="single" w:sz="8" w:space="0" w:color="000000"/>
              <w:right w:val="nil"/>
            </w:tcBorders>
            <w:tcMar>
              <w:top w:w="70" w:type="dxa"/>
              <w:left w:w="70" w:type="dxa"/>
              <w:bottom w:w="70" w:type="dxa"/>
              <w:right w:w="70" w:type="dxa"/>
            </w:tcMar>
          </w:tcPr>
          <w:p w14:paraId="6E222B1B" w14:textId="77777777" w:rsidR="00961C7F" w:rsidRDefault="008A042F">
            <w:pPr>
              <w:spacing w:after="0" w:line="240" w:lineRule="auto"/>
              <w:rPr>
                <w:rFonts w:eastAsia="MS Mincho"/>
              </w:rPr>
            </w:pPr>
            <w:r>
              <w:rPr>
                <w:rFonts w:ascii="Times New Roman" w:eastAsia="Times New Roman" w:hAnsi="Times New Roman"/>
                <w:b/>
                <w:sz w:val="18"/>
                <w:szCs w:val="20"/>
              </w:rPr>
              <w:t>Definition</w:t>
            </w:r>
          </w:p>
        </w:tc>
        <w:tc>
          <w:tcPr>
            <w:tcW w:w="2103" w:type="dxa"/>
            <w:tcBorders>
              <w:top w:val="single" w:sz="12" w:space="0" w:color="000000"/>
              <w:left w:val="nil"/>
              <w:bottom w:val="single" w:sz="8" w:space="0" w:color="000000"/>
              <w:right w:val="nil"/>
            </w:tcBorders>
            <w:tcMar>
              <w:top w:w="70" w:type="dxa"/>
              <w:left w:w="70" w:type="dxa"/>
              <w:bottom w:w="70" w:type="dxa"/>
              <w:right w:w="70" w:type="dxa"/>
            </w:tcMar>
          </w:tcPr>
          <w:p w14:paraId="2FDCA34B" w14:textId="77777777" w:rsidR="00961C7F" w:rsidRDefault="008A042F">
            <w:pPr>
              <w:spacing w:after="0" w:line="240" w:lineRule="auto"/>
              <w:rPr>
                <w:rFonts w:eastAsia="MS Mincho"/>
              </w:rPr>
            </w:pPr>
            <w:r>
              <w:rPr>
                <w:rFonts w:ascii="Times New Roman" w:eastAsia="Times New Roman" w:hAnsi="Times New Roman"/>
                <w:b/>
                <w:sz w:val="18"/>
                <w:szCs w:val="20"/>
              </w:rPr>
              <w:t>Source</w:t>
            </w:r>
          </w:p>
        </w:tc>
      </w:tr>
      <w:tr w:rsidR="00961C7F" w14:paraId="18218F6C"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1C406E7E" w14:textId="77777777" w:rsidR="00961C7F" w:rsidRDefault="008A042F">
            <w:pPr>
              <w:spacing w:after="0" w:line="240" w:lineRule="auto"/>
              <w:rPr>
                <w:rFonts w:eastAsia="MS Mincho"/>
              </w:rPr>
            </w:pPr>
            <w:r>
              <w:rPr>
                <w:rFonts w:ascii="Times New Roman" w:eastAsia="Times New Roman" w:hAnsi="Times New Roman"/>
                <w:sz w:val="18"/>
                <w:szCs w:val="20"/>
              </w:rPr>
              <w:t>High-skilled permit share (HSRate)</w:t>
            </w:r>
          </w:p>
        </w:tc>
        <w:tc>
          <w:tcPr>
            <w:tcW w:w="4573" w:type="dxa"/>
            <w:tcBorders>
              <w:top w:val="nil"/>
              <w:left w:val="nil"/>
              <w:bottom w:val="nil"/>
              <w:right w:val="nil"/>
            </w:tcBorders>
            <w:tcMar>
              <w:top w:w="70" w:type="dxa"/>
              <w:left w:w="70" w:type="dxa"/>
              <w:bottom w:w="70" w:type="dxa"/>
              <w:right w:w="70" w:type="dxa"/>
            </w:tcMar>
          </w:tcPr>
          <w:p w14:paraId="6EDBA5C5" w14:textId="77777777" w:rsidR="00961C7F" w:rsidRDefault="008A042F">
            <w:pPr>
              <w:spacing w:after="0" w:line="240" w:lineRule="auto"/>
              <w:rPr>
                <w:rFonts w:eastAsia="MS Mincho"/>
              </w:rPr>
            </w:pPr>
            <w:r>
              <w:rPr>
                <w:rFonts w:ascii="Times New Roman" w:eastAsia="Times New Roman" w:hAnsi="Times New Roman"/>
                <w:sz w:val="18"/>
                <w:szCs w:val="20"/>
              </w:rPr>
              <w:t>High-skilled share of employment-related first residence permits, computed as HSNumber divided by the total employment-related permit flow.</w:t>
            </w:r>
          </w:p>
        </w:tc>
        <w:tc>
          <w:tcPr>
            <w:tcW w:w="2103" w:type="dxa"/>
            <w:tcBorders>
              <w:top w:val="nil"/>
              <w:left w:val="nil"/>
              <w:bottom w:val="nil"/>
              <w:right w:val="nil"/>
            </w:tcBorders>
            <w:tcMar>
              <w:top w:w="70" w:type="dxa"/>
              <w:left w:w="70" w:type="dxa"/>
              <w:bottom w:w="70" w:type="dxa"/>
              <w:right w:w="70" w:type="dxa"/>
            </w:tcMar>
          </w:tcPr>
          <w:p w14:paraId="7B737A23" w14: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w14:paraId="6EA5A860"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5A87DBB4" w14:textId="77777777" w:rsidR="00961C7F" w:rsidRDefault="008A042F">
            <w:pPr>
              <w:spacing w:after="0" w:line="240" w:lineRule="auto"/>
              <w:rPr>
                <w:rFonts w:eastAsia="MS Mincho"/>
              </w:rPr>
            </w:pPr>
            <w:r>
              <w:rPr>
                <w:rFonts w:ascii="Times New Roman" w:eastAsia="Times New Roman" w:hAnsi="Times New Roman"/>
                <w:sz w:val="18"/>
                <w:szCs w:val="20"/>
              </w:rPr>
              <w:t>All-first-permits high-skilled share</w:t>
            </w:r>
          </w:p>
        </w:tc>
        <w:tc>
          <w:tcPr>
            <w:tcW w:w="4573" w:type="dxa"/>
            <w:tcBorders>
              <w:top w:val="nil"/>
              <w:left w:val="nil"/>
              <w:bottom w:val="nil"/>
              <w:right w:val="nil"/>
            </w:tcBorders>
            <w:tcMar>
              <w:top w:w="70" w:type="dxa"/>
              <w:left w:w="70" w:type="dxa"/>
              <w:bottom w:w="70" w:type="dxa"/>
              <w:right w:w="70" w:type="dxa"/>
            </w:tcMar>
          </w:tcPr>
          <w:p w14:paraId="29046E72" w14:textId="77777777" w:rsidR="00961C7F" w:rsidRDefault="008A042F">
            <w:pPr>
              <w:spacing w:after="0" w:line="240" w:lineRule="auto"/>
              <w:rPr>
                <w:rFonts w:eastAsia="MS Mincho"/>
              </w:rPr>
            </w:pPr>
            <w:r>
              <w:rPr>
                <w:rFonts w:ascii="Times New Roman" w:eastAsia="Times New Roman" w:hAnsi="Times New Roman"/>
                <w:sz w:val="18"/>
                <w:szCs w:val="20"/>
              </w:rPr>
              <w:t>Robustness outcome: high-skilled employment permits divided by all first residence permits across family, education, employment, and other reasons.</w:t>
            </w:r>
          </w:p>
        </w:tc>
        <w:tc>
          <w:tcPr>
            <w:tcW w:w="2103" w:type="dxa"/>
            <w:tcBorders>
              <w:top w:val="nil"/>
              <w:left w:val="nil"/>
              <w:bottom w:val="nil"/>
              <w:right w:val="nil"/>
            </w:tcBorders>
            <w:tcMar>
              <w:top w:w="70" w:type="dxa"/>
              <w:left w:w="70" w:type="dxa"/>
              <w:bottom w:w="70" w:type="dxa"/>
              <w:right w:w="70" w:type="dxa"/>
            </w:tcMar>
          </w:tcPr>
          <w:p w14:paraId="2A0DCE07" w14:textId="77777777" w:rsidR="00961C7F" w:rsidRDefault="008A042F">
            <w:pPr>
              <w:spacing w:after="0" w:line="240" w:lineRule="auto"/>
              <w:rPr>
                <w:rFonts w:eastAsia="MS Mincho"/>
              </w:rPr>
            </w:pPr>
            <w:r>
              <w:rPr>
                <w:rFonts w:ascii="Times New Roman" w:eastAsia="Times New Roman" w:hAnsi="Times New Roman"/>
                <w:sz w:val="18"/>
                <w:szCs w:val="20"/>
              </w:rPr>
              <w:t>Eurostat migr_resfirst plus migr_resocc</w:t>
            </w:r>
          </w:p>
        </w:tc>
      </w:tr>
      <w:tr w:rsidR="00961C7F" w14:paraId="16345314"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64394FCD" w14:textId="77777777" w:rsidR="00961C7F" w:rsidRDefault="008A042F">
            <w:pPr>
              <w:spacing w:after="0" w:line="240" w:lineRule="auto"/>
              <w:rPr>
                <w:rFonts w:eastAsia="MS Mincho"/>
              </w:rPr>
            </w:pPr>
            <w:r>
              <w:rPr>
                <w:rFonts w:ascii="Times New Roman" w:eastAsia="Times New Roman" w:hAnsi="Times New Roman"/>
                <w:sz w:val="18"/>
                <w:szCs w:val="20"/>
              </w:rPr>
              <w:t>High-skilled permit count (HSNumber)</w:t>
            </w:r>
          </w:p>
        </w:tc>
        <w:tc>
          <w:tcPr>
            <w:tcW w:w="4573" w:type="dxa"/>
            <w:tcBorders>
              <w:top w:val="nil"/>
              <w:left w:val="nil"/>
              <w:bottom w:val="nil"/>
              <w:right w:val="nil"/>
            </w:tcBorders>
            <w:tcMar>
              <w:top w:w="70" w:type="dxa"/>
              <w:left w:w="70" w:type="dxa"/>
              <w:bottom w:w="70" w:type="dxa"/>
              <w:right w:w="70" w:type="dxa"/>
            </w:tcMar>
          </w:tcPr>
          <w:p w14:paraId="05B75F17" w14:textId="77777777" w:rsidR="00961C7F" w:rsidRDefault="008A042F">
            <w:pPr>
              <w:spacing w:after="0" w:line="240" w:lineRule="auto"/>
              <w:rPr>
                <w:rFonts w:eastAsia="MS Mincho"/>
              </w:rPr>
            </w:pPr>
            <w:r>
              <w:rPr>
                <w:rFonts w:ascii="Times New Roman" w:eastAsia="Times New Roman" w:hAnsi="Times New Roman"/>
                <w:sz w:val="18"/>
                <w:szCs w:val="20"/>
              </w:rPr>
              <w:t>Sum of permits issued to highly skilled workers and researchers; level/count outcome in the log-count column of Table 6 and PPML specifications.</w:t>
            </w:r>
          </w:p>
        </w:tc>
        <w:tc>
          <w:tcPr>
            <w:tcW w:w="2103" w:type="dxa"/>
            <w:tcBorders>
              <w:top w:val="nil"/>
              <w:left w:val="nil"/>
              <w:bottom w:val="nil"/>
              <w:right w:val="nil"/>
            </w:tcBorders>
            <w:tcMar>
              <w:top w:w="70" w:type="dxa"/>
              <w:left w:w="70" w:type="dxa"/>
              <w:bottom w:w="70" w:type="dxa"/>
              <w:right w:w="70" w:type="dxa"/>
            </w:tcMar>
          </w:tcPr>
          <w:p w14:paraId="66C7B33F" w14: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w14:paraId="497EE210"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7063DBE9" w14:textId="77777777" w:rsidR="00961C7F" w:rsidRDefault="008A042F">
            <w:pPr>
              <w:spacing w:after="0" w:line="240" w:lineRule="auto"/>
              <w:rPr>
                <w:rFonts w:eastAsia="MS Mincho"/>
              </w:rPr>
            </w:pPr>
            <w:r>
              <w:rPr>
                <w:rFonts w:ascii="Times New Roman" w:eastAsia="Times New Roman" w:hAnsi="Times New Roman"/>
                <w:sz w:val="18"/>
                <w:szCs w:val="20"/>
              </w:rPr>
              <w:t>Lagged cumulative all-migrant-worker policy score (Restrict_lag1)</w:t>
            </w:r>
          </w:p>
        </w:tc>
        <w:tc>
          <w:tcPr>
            <w:tcW w:w="4573" w:type="dxa"/>
            <w:tcBorders>
              <w:top w:val="nil"/>
              <w:left w:val="nil"/>
              <w:bottom w:val="nil"/>
              <w:right w:val="nil"/>
            </w:tcBorders>
            <w:tcMar>
              <w:top w:w="70" w:type="dxa"/>
              <w:left w:w="70" w:type="dxa"/>
              <w:bottom w:w="70" w:type="dxa"/>
              <w:right w:w="70" w:type="dxa"/>
            </w:tcMar>
          </w:tcPr>
          <w:p w14:paraId="41F87BF2" w14:textId="77777777" w:rsidR="00961C7F" w:rsidRDefault="008A042F">
            <w:pPr>
              <w:spacing w:after="0" w:line="240" w:lineRule="auto"/>
              <w:rPr>
                <w:rFonts w:eastAsia="MS Mincho"/>
              </w:rPr>
            </w:pPr>
            <w:r>
              <w:rPr>
                <w:rFonts w:ascii="Times New Roman" w:eastAsia="Times New Roman" w:hAnsi="Times New Roman"/>
                <w:sz w:val="18"/>
                <w:szCs w:val="20"/>
              </w:rPr>
              <w:t>One-year lag of the cumulative net magnitude-weighted Restrict score for all-migrant-worker-only reforms coded for All foreign nationalities; coefficient of interest in the preferred model.</w:t>
            </w:r>
          </w:p>
        </w:tc>
        <w:tc>
          <w:tcPr>
            <w:tcW w:w="2103" w:type="dxa"/>
            <w:tcBorders>
              <w:top w:val="nil"/>
              <w:left w:val="nil"/>
              <w:bottom w:val="nil"/>
              <w:right w:val="nil"/>
            </w:tcBorders>
            <w:tcMar>
              <w:top w:w="70" w:type="dxa"/>
              <w:left w:w="70" w:type="dxa"/>
              <w:bottom w:w="70" w:type="dxa"/>
              <w:right w:w="70" w:type="dxa"/>
            </w:tcMar>
          </w:tcPr>
          <w:p w14:paraId="74B7C7F4"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787F85AA"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23B35469" w14:textId="77777777" w:rsidR="00961C7F" w:rsidRDefault="008A042F">
            <w:pPr>
              <w:spacing w:after="0" w:line="240" w:lineRule="auto"/>
              <w:rPr>
                <w:rFonts w:eastAsia="MS Mincho"/>
              </w:rPr>
            </w:pPr>
            <w:r>
              <w:rPr>
                <w:rFonts w:ascii="Times New Roman" w:eastAsia="Times New Roman" w:hAnsi="Times New Roman"/>
                <w:sz w:val="18"/>
                <w:szCs w:val="20"/>
              </w:rPr>
              <w:t>Lagged cumulative high-skill-targeted policy score (Restrict_hs_lag1)</w:t>
            </w:r>
          </w:p>
        </w:tc>
        <w:tc>
          <w:tcPr>
            <w:tcW w:w="4573" w:type="dxa"/>
            <w:tcBorders>
              <w:top w:val="nil"/>
              <w:left w:val="nil"/>
              <w:bottom w:val="nil"/>
              <w:right w:val="nil"/>
            </w:tcBorders>
            <w:tcMar>
              <w:top w:w="70" w:type="dxa"/>
              <w:left w:w="70" w:type="dxa"/>
              <w:bottom w:w="70" w:type="dxa"/>
              <w:right w:w="70" w:type="dxa"/>
            </w:tcMar>
          </w:tcPr>
          <w:p w14:paraId="31B9F665" w14:textId="77777777" w:rsidR="00961C7F" w:rsidRDefault="008A042F">
            <w:pPr>
              <w:spacing w:after="0" w:line="240" w:lineRule="auto"/>
              <w:rPr>
                <w:rFonts w:eastAsia="MS Mincho"/>
              </w:rPr>
            </w:pPr>
            <w:r>
              <w:rPr>
                <w:rFonts w:ascii="Times New Roman" w:eastAsia="Times New Roman" w:hAnsi="Times New Roman"/>
                <w:sz w:val="18"/>
                <w:szCs w:val="20"/>
              </w:rPr>
              <w:t>One-year lag of the cumulative net magnitude-weighted Restrict score for reforms targeting skilled/high-skilled workers; included as a policy control.</w:t>
            </w:r>
          </w:p>
        </w:tc>
        <w:tc>
          <w:tcPr>
            <w:tcW w:w="2103" w:type="dxa"/>
            <w:tcBorders>
              <w:top w:val="nil"/>
              <w:left w:val="nil"/>
              <w:bottom w:val="nil"/>
              <w:right w:val="nil"/>
            </w:tcBorders>
            <w:tcMar>
              <w:top w:w="70" w:type="dxa"/>
              <w:left w:w="70" w:type="dxa"/>
              <w:bottom w:w="70" w:type="dxa"/>
              <w:right w:w="70" w:type="dxa"/>
            </w:tcMar>
          </w:tcPr>
          <w:p w14:paraId="462E47A6"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1ACE3262"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4F37CD35" w14:textId="77777777" w:rsidR="00961C7F" w:rsidRDefault="008A042F">
            <w:pPr>
              <w:spacing w:after="0" w:line="240" w:lineRule="auto"/>
              <w:rPr>
                <w:rFonts w:eastAsia="MS Mincho"/>
              </w:rPr>
            </w:pPr>
            <w:r>
              <w:rPr>
                <w:rFonts w:ascii="Times New Roman" w:eastAsia="Times New Roman" w:hAnsi="Times New Roman"/>
                <w:sz w:val="18"/>
                <w:szCs w:val="20"/>
              </w:rPr>
              <w:t>Lagged cumulative low-skill-targeted policy score (Restrict_low_lag1)</w:t>
            </w:r>
          </w:p>
        </w:tc>
        <w:tc>
          <w:tcPr>
            <w:tcW w:w="4573" w:type="dxa"/>
            <w:tcBorders>
              <w:top w:val="nil"/>
              <w:left w:val="nil"/>
              <w:bottom w:val="nil"/>
              <w:right w:val="nil"/>
            </w:tcBorders>
            <w:tcMar>
              <w:top w:w="70" w:type="dxa"/>
              <w:left w:w="70" w:type="dxa"/>
              <w:bottom w:w="70" w:type="dxa"/>
              <w:right w:w="70" w:type="dxa"/>
            </w:tcMar>
          </w:tcPr>
          <w:p w14:paraId="2AC84D3C" w14:textId="77777777" w:rsidR="00961C7F" w:rsidRDefault="008A042F">
            <w:pPr>
              <w:spacing w:after="0" w:line="240" w:lineRule="auto"/>
              <w:rPr>
                <w:rFonts w:eastAsia="MS Mincho"/>
              </w:rPr>
            </w:pPr>
            <w:r>
              <w:rPr>
                <w:rFonts w:ascii="Times New Roman" w:eastAsia="Times New Roman" w:hAnsi="Times New Roman"/>
                <w:sz w:val="18"/>
                <w:szCs w:val="20"/>
              </w:rPr>
              <w:t>One-year lag of the cumulative net magnitude-weighted Restrict score for reforms targeting low-skilled workers; included as a policy control.</w:t>
            </w:r>
          </w:p>
        </w:tc>
        <w:tc>
          <w:tcPr>
            <w:tcW w:w="2103" w:type="dxa"/>
            <w:tcBorders>
              <w:top w:val="nil"/>
              <w:left w:val="nil"/>
              <w:bottom w:val="nil"/>
              <w:right w:val="nil"/>
            </w:tcBorders>
            <w:tcMar>
              <w:top w:w="70" w:type="dxa"/>
              <w:left w:w="70" w:type="dxa"/>
              <w:bottom w:w="70" w:type="dxa"/>
              <w:right w:w="70" w:type="dxa"/>
            </w:tcMar>
          </w:tcPr>
          <w:p w14:paraId="6147CE9C"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3913A14E"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736F88CE" w14:textId="77777777" w:rsidR="00961C7F" w:rsidRDefault="008A042F">
            <w:pPr>
              <w:spacing w:after="0" w:line="240" w:lineRule="auto"/>
              <w:rPr>
                <w:rFonts w:eastAsia="MS Mincho"/>
              </w:rPr>
            </w:pPr>
            <w:r>
              <w:rPr>
                <w:rFonts w:ascii="Times New Roman" w:eastAsia="Times New Roman" w:hAnsi="Times New Roman"/>
                <w:sz w:val="18"/>
                <w:szCs w:val="20"/>
              </w:rPr>
              <w:t>Lagged annual all-migrant-worker policy flow (restrict_event_lag1)</w:t>
            </w:r>
          </w:p>
        </w:tc>
        <w:tc>
          <w:tcPr>
            <w:tcW w:w="4573" w:type="dxa"/>
            <w:tcBorders>
              <w:top w:val="nil"/>
              <w:left w:val="nil"/>
              <w:bottom w:val="nil"/>
              <w:right w:val="nil"/>
            </w:tcBorders>
            <w:tcMar>
              <w:top w:w="70" w:type="dxa"/>
              <w:left w:w="70" w:type="dxa"/>
              <w:bottom w:w="70" w:type="dxa"/>
              <w:right w:w="70" w:type="dxa"/>
            </w:tcMar>
          </w:tcPr>
          <w:p w14:paraId="18E03150" w14:textId="77777777" w:rsidR="00961C7F" w:rsidRDefault="008A042F">
            <w:pPr>
              <w:spacing w:after="0" w:line="240" w:lineRule="auto"/>
              <w:rPr>
                <w:rFonts w:eastAsia="MS Mincho"/>
              </w:rPr>
            </w:pPr>
            <w:r>
              <w:rPr>
                <w:rFonts w:ascii="Times New Roman" w:eastAsia="Times New Roman" w:hAnsi="Times New Roman"/>
                <w:sz w:val="18"/>
                <w:szCs w:val="20"/>
              </w:rPr>
              <w:t>One-year lag of the annual policy-flow Restrict measure for all-migrant-worker-only reforms.</w:t>
            </w:r>
          </w:p>
        </w:tc>
        <w:tc>
          <w:tcPr>
            <w:tcW w:w="2103" w:type="dxa"/>
            <w:tcBorders>
              <w:top w:val="nil"/>
              <w:left w:val="nil"/>
              <w:bottom w:val="nil"/>
              <w:right w:val="nil"/>
            </w:tcBorders>
            <w:tcMar>
              <w:top w:w="70" w:type="dxa"/>
              <w:left w:w="70" w:type="dxa"/>
              <w:bottom w:w="70" w:type="dxa"/>
              <w:right w:w="70" w:type="dxa"/>
            </w:tcMar>
          </w:tcPr>
          <w:p w14:paraId="6BD081E2"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0E88AE57"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411FFDE2" w14:textId="77777777" w:rsidR="00961C7F" w:rsidRDefault="008A042F">
            <w:pPr>
              <w:spacing w:after="0" w:line="240" w:lineRule="auto"/>
              <w:rPr>
                <w:rFonts w:eastAsia="MS Mincho"/>
              </w:rPr>
            </w:pPr>
            <w:r>
              <w:rPr>
                <w:rFonts w:ascii="Times New Roman" w:eastAsia="Times New Roman" w:hAnsi="Times New Roman"/>
                <w:sz w:val="18"/>
                <w:szCs w:val="20"/>
              </w:rPr>
              <w:t>Lagged annual high-skill-targeted policy flow (restrict_event_hs_lag1)</w:t>
            </w:r>
          </w:p>
        </w:tc>
        <w:tc>
          <w:tcPr>
            <w:tcW w:w="4573" w:type="dxa"/>
            <w:tcBorders>
              <w:top w:val="nil"/>
              <w:left w:val="nil"/>
              <w:bottom w:val="nil"/>
              <w:right w:val="nil"/>
            </w:tcBorders>
            <w:tcMar>
              <w:top w:w="70" w:type="dxa"/>
              <w:left w:w="70" w:type="dxa"/>
              <w:bottom w:w="70" w:type="dxa"/>
              <w:right w:w="70" w:type="dxa"/>
            </w:tcMar>
          </w:tcPr>
          <w:p w14:paraId="035BAB0F" w14:textId="77777777" w:rsidR="00961C7F" w:rsidRDefault="008A042F">
            <w:pPr>
              <w:spacing w:after="0" w:line="240" w:lineRule="auto"/>
              <w:rPr>
                <w:rFonts w:eastAsia="MS Mincho"/>
              </w:rPr>
            </w:pPr>
            <w:r>
              <w:rPr>
                <w:rFonts w:ascii="Times New Roman" w:eastAsia="Times New Roman" w:hAnsi="Times New Roman"/>
                <w:sz w:val="18"/>
                <w:szCs w:val="20"/>
              </w:rPr>
              <w:t>One-year lag of the annual policy-flow measure for skilled/high-skilled-targeted reforms; control in annual-flow specifications.</w:t>
            </w:r>
          </w:p>
        </w:tc>
        <w:tc>
          <w:tcPr>
            <w:tcW w:w="2103" w:type="dxa"/>
            <w:tcBorders>
              <w:top w:val="nil"/>
              <w:left w:val="nil"/>
              <w:bottom w:val="nil"/>
              <w:right w:val="nil"/>
            </w:tcBorders>
            <w:tcMar>
              <w:top w:w="70" w:type="dxa"/>
              <w:left w:w="70" w:type="dxa"/>
              <w:bottom w:w="70" w:type="dxa"/>
              <w:right w:w="70" w:type="dxa"/>
            </w:tcMar>
          </w:tcPr>
          <w:p w14:paraId="6EBE1DC3"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03AFE4A3"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2C94F3AF" w14:textId="77777777" w:rsidR="00961C7F" w:rsidRDefault="008A042F">
            <w:pPr>
              <w:spacing w:after="0" w:line="240" w:lineRule="auto"/>
              <w:rPr>
                <w:rFonts w:eastAsia="MS Mincho"/>
              </w:rPr>
            </w:pPr>
            <w:r>
              <w:rPr>
                <w:rFonts w:ascii="Times New Roman" w:eastAsia="Times New Roman" w:hAnsi="Times New Roman"/>
                <w:sz w:val="18"/>
                <w:szCs w:val="20"/>
              </w:rPr>
              <w:t>Lagged annual low-skill-targeted policy flow (restrict_event_low_lag1)</w:t>
            </w:r>
          </w:p>
        </w:tc>
        <w:tc>
          <w:tcPr>
            <w:tcW w:w="4573" w:type="dxa"/>
            <w:tcBorders>
              <w:top w:val="nil"/>
              <w:left w:val="nil"/>
              <w:bottom w:val="nil"/>
              <w:right w:val="nil"/>
            </w:tcBorders>
            <w:tcMar>
              <w:top w:w="70" w:type="dxa"/>
              <w:left w:w="70" w:type="dxa"/>
              <w:bottom w:w="70" w:type="dxa"/>
              <w:right w:w="70" w:type="dxa"/>
            </w:tcMar>
          </w:tcPr>
          <w:p w14:paraId="69553D44" w14:textId="77777777" w:rsidR="00961C7F" w:rsidRDefault="008A042F">
            <w:pPr>
              <w:spacing w:after="0" w:line="240" w:lineRule="auto"/>
              <w:rPr>
                <w:rFonts w:eastAsia="MS Mincho"/>
              </w:rPr>
            </w:pPr>
            <w:r>
              <w:rPr>
                <w:rFonts w:ascii="Times New Roman" w:eastAsia="Times New Roman" w:hAnsi="Times New Roman"/>
                <w:sz w:val="18"/>
                <w:szCs w:val="20"/>
              </w:rPr>
              <w:t>One-year lag of the annual policy-flow measure for low-skilled-targeted reforms; control in annual-flow specifications.</w:t>
            </w:r>
          </w:p>
        </w:tc>
        <w:tc>
          <w:tcPr>
            <w:tcW w:w="2103" w:type="dxa"/>
            <w:tcBorders>
              <w:top w:val="nil"/>
              <w:left w:val="nil"/>
              <w:bottom w:val="nil"/>
              <w:right w:val="nil"/>
            </w:tcBorders>
            <w:tcMar>
              <w:top w:w="70" w:type="dxa"/>
              <w:left w:w="70" w:type="dxa"/>
              <w:bottom w:w="70" w:type="dxa"/>
              <w:right w:w="70" w:type="dxa"/>
            </w:tcMar>
          </w:tcPr>
          <w:p w14:paraId="061C387E"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39290084"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0DE2F0CC" w14:textId="77777777" w:rsidR="00961C7F" w:rsidRDefault="008A042F">
            <w:pPr>
              <w:spacing w:after="0" w:line="240" w:lineRule="auto"/>
              <w:rPr>
                <w:rFonts w:eastAsia="MS Mincho"/>
              </w:rPr>
            </w:pPr>
            <w:r>
              <w:rPr>
                <w:rFonts w:ascii="Times New Roman" w:eastAsia="Times New Roman" w:hAnsi="Times New Roman"/>
                <w:sz w:val="18"/>
                <w:szCs w:val="20"/>
              </w:rPr>
              <w:t>Lagged destination permit scale (lnEMP_lag)</w:t>
            </w:r>
          </w:p>
        </w:tc>
        <w:tc>
          <w:tcPr>
            <w:tcW w:w="4573" w:type="dxa"/>
            <w:tcBorders>
              <w:top w:val="nil"/>
              <w:left w:val="nil"/>
              <w:bottom w:val="nil"/>
              <w:right w:val="nil"/>
            </w:tcBorders>
            <w:tcMar>
              <w:top w:w="70" w:type="dxa"/>
              <w:left w:w="70" w:type="dxa"/>
              <w:bottom w:w="70" w:type="dxa"/>
              <w:right w:w="70" w:type="dxa"/>
            </w:tcMar>
          </w:tcPr>
          <w:p w14:paraId="563C82B2" w14:textId="77777777" w:rsidR="00961C7F" w:rsidRDefault="008A042F">
            <w:pPr>
              <w:spacing w:after="0" w:line="240" w:lineRule="auto"/>
              <w:rPr>
                <w:rFonts w:eastAsia="MS Mincho"/>
              </w:rPr>
            </w:pPr>
            <w:r>
              <w:rPr>
                <w:rFonts w:ascii="Times New Roman" w:eastAsia="Times New Roman" w:hAnsi="Times New Roman"/>
                <w:sz w:val="18"/>
                <w:szCs w:val="20"/>
              </w:rPr>
              <w:t>One-year lag of the log of total employment-related first residence permits in the destination-year cell.</w:t>
            </w:r>
          </w:p>
        </w:tc>
        <w:tc>
          <w:tcPr>
            <w:tcW w:w="2103" w:type="dxa"/>
            <w:tcBorders>
              <w:top w:val="nil"/>
              <w:left w:val="nil"/>
              <w:bottom w:val="nil"/>
              <w:right w:val="nil"/>
            </w:tcBorders>
            <w:tcMar>
              <w:top w:w="70" w:type="dxa"/>
              <w:left w:w="70" w:type="dxa"/>
              <w:bottom w:w="70" w:type="dxa"/>
              <w:right w:w="70" w:type="dxa"/>
            </w:tcMar>
          </w:tcPr>
          <w:p w14:paraId="6A6ED688" w14: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w14:paraId="7961BEFF"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75058B03" w14:textId="77777777" w:rsidR="00961C7F" w:rsidRDefault="008A042F">
            <w:pPr>
              <w:spacing w:after="0" w:line="240" w:lineRule="auto"/>
              <w:rPr>
                <w:rFonts w:eastAsia="MS Mincho"/>
              </w:rPr>
            </w:pPr>
            <w:r>
              <w:rPr>
                <w:rFonts w:ascii="Times New Roman" w:eastAsia="Times New Roman" w:hAnsi="Times New Roman"/>
                <w:sz w:val="18"/>
                <w:szCs w:val="20"/>
              </w:rPr>
              <w:t>Lagged bilateral permit scale (lnEMP_pair_lag)</w:t>
            </w:r>
          </w:p>
        </w:tc>
        <w:tc>
          <w:tcPr>
            <w:tcW w:w="4573" w:type="dxa"/>
            <w:tcBorders>
              <w:top w:val="nil"/>
              <w:left w:val="nil"/>
              <w:bottom w:val="nil"/>
              <w:right w:val="nil"/>
            </w:tcBorders>
            <w:tcMar>
              <w:top w:w="70" w:type="dxa"/>
              <w:left w:w="70" w:type="dxa"/>
              <w:bottom w:w="70" w:type="dxa"/>
              <w:right w:w="70" w:type="dxa"/>
            </w:tcMar>
          </w:tcPr>
          <w:p w14:paraId="70B2E1BB" w14:textId="77777777" w:rsidR="00961C7F" w:rsidRDefault="008A042F">
            <w:pPr>
              <w:spacing w:after="0" w:line="240" w:lineRule="auto"/>
              <w:rPr>
                <w:rFonts w:eastAsia="MS Mincho"/>
              </w:rPr>
            </w:pPr>
            <w:r>
              <w:rPr>
                <w:rFonts w:ascii="Times New Roman" w:eastAsia="Times New Roman" w:hAnsi="Times New Roman"/>
                <w:sz w:val="18"/>
                <w:szCs w:val="20"/>
              </w:rPr>
              <w:t>One-year lag of the log of total employment-related first residence permits in the origin-destination-year corridor; bilateral variant of PermitScale.</w:t>
            </w:r>
          </w:p>
        </w:tc>
        <w:tc>
          <w:tcPr>
            <w:tcW w:w="2103" w:type="dxa"/>
            <w:tcBorders>
              <w:top w:val="nil"/>
              <w:left w:val="nil"/>
              <w:bottom w:val="nil"/>
              <w:right w:val="nil"/>
            </w:tcBorders>
            <w:tcMar>
              <w:top w:w="70" w:type="dxa"/>
              <w:left w:w="70" w:type="dxa"/>
              <w:bottom w:w="70" w:type="dxa"/>
              <w:right w:w="70" w:type="dxa"/>
            </w:tcMar>
          </w:tcPr>
          <w:p w14:paraId="198AB580" w14: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w14:paraId="7CD796CD" w14:textId="77777777" w:rsidTr="007F06D5">
        <w:trPr>
          <w:cantSplit/>
          <w:jc w:val="center"/>
        </w:trPr>
        <w:tc>
          <w:tcPr>
            <w:tcW w:w="2350" w:type="dxa"/>
            <w:tcBorders>
              <w:top w:val="nil"/>
              <w:left w:val="nil"/>
              <w:bottom w:val="nil"/>
              <w:right w:val="nil"/>
            </w:tcBorders>
            <w:tcMar>
              <w:top w:w="70" w:type="dxa"/>
              <w:left w:w="70" w:type="dxa"/>
              <w:bottom w:w="70" w:type="dxa"/>
              <w:right w:w="70" w:type="dxa"/>
            </w:tcMar>
          </w:tcPr>
          <w:p w14:paraId="35E93220" w14:textId="77777777" w:rsidR="00961C7F" w:rsidRDefault="008A042F">
            <w:pPr>
              <w:spacing w:after="0" w:line="240" w:lineRule="auto"/>
              <w:rPr>
                <w:rFonts w:eastAsia="MS Mincho"/>
              </w:rPr>
            </w:pPr>
            <w:r>
              <w:rPr>
                <w:rFonts w:ascii="Times New Roman" w:eastAsia="Times New Roman" w:hAnsi="Times New Roman"/>
                <w:sz w:val="18"/>
                <w:szCs w:val="20"/>
              </w:rPr>
              <w:t>Lagged destination unemployment (lnUnemp_lag)</w:t>
            </w:r>
          </w:p>
        </w:tc>
        <w:tc>
          <w:tcPr>
            <w:tcW w:w="4573" w:type="dxa"/>
            <w:tcBorders>
              <w:top w:val="nil"/>
              <w:left w:val="nil"/>
              <w:bottom w:val="nil"/>
              <w:right w:val="nil"/>
            </w:tcBorders>
            <w:tcMar>
              <w:top w:w="70" w:type="dxa"/>
              <w:left w:w="70" w:type="dxa"/>
              <w:bottom w:w="70" w:type="dxa"/>
              <w:right w:w="70" w:type="dxa"/>
            </w:tcMar>
          </w:tcPr>
          <w:p w14:paraId="4E34C845" w14:textId="77777777" w:rsidR="00961C7F" w:rsidRDefault="008A042F">
            <w:pPr>
              <w:spacing w:after="0" w:line="240" w:lineRule="auto"/>
              <w:rPr>
                <w:rFonts w:eastAsia="MS Mincho"/>
              </w:rPr>
            </w:pPr>
            <w:r>
              <w:rPr>
                <w:rFonts w:ascii="Times New Roman" w:eastAsia="Times New Roman" w:hAnsi="Times New Roman"/>
                <w:sz w:val="18"/>
                <w:szCs w:val="20"/>
              </w:rPr>
              <w:t>One-year lag of the natural log of the destination annual unemployment rate.</w:t>
            </w:r>
          </w:p>
        </w:tc>
        <w:tc>
          <w:tcPr>
            <w:tcW w:w="2103" w:type="dxa"/>
            <w:tcBorders>
              <w:top w:val="nil"/>
              <w:left w:val="nil"/>
              <w:bottom w:val="nil"/>
              <w:right w:val="nil"/>
            </w:tcBorders>
            <w:tcMar>
              <w:top w:w="70" w:type="dxa"/>
              <w:left w:w="70" w:type="dxa"/>
              <w:bottom w:w="70" w:type="dxa"/>
              <w:right w:w="70" w:type="dxa"/>
            </w:tcMar>
          </w:tcPr>
          <w:p w14:paraId="59F3E651" w14:textId="77777777" w:rsidR="00961C7F" w:rsidRDefault="008A042F">
            <w:pPr>
              <w:spacing w:after="0" w:line="240" w:lineRule="auto"/>
              <w:rPr>
                <w:rFonts w:eastAsia="MS Mincho"/>
              </w:rPr>
            </w:pPr>
            <w:r>
              <w:rPr>
                <w:rFonts w:ascii="Times New Roman" w:eastAsia="Times New Roman" w:hAnsi="Times New Roman"/>
                <w:sz w:val="18"/>
                <w:szCs w:val="20"/>
              </w:rPr>
              <w:t>Eurostat une_rt_a</w:t>
            </w:r>
          </w:p>
        </w:tc>
      </w:tr>
      <w:tr w:rsidR="00961C7F" w14:paraId="2C99CBE9" w14:textId="77777777" w:rsidTr="007F06D5">
        <w:trPr>
          <w:cantSplit/>
          <w:jc w:val="center"/>
        </w:trPr>
        <w:tc>
          <w:tcPr>
            <w:tcW w:w="2350" w:type="dxa"/>
            <w:tcBorders>
              <w:top w:val="nil"/>
              <w:left w:val="nil"/>
              <w:bottom w:val="single" w:sz="12" w:space="0" w:color="000000"/>
              <w:right w:val="nil"/>
            </w:tcBorders>
            <w:tcMar>
              <w:top w:w="70" w:type="dxa"/>
              <w:left w:w="70" w:type="dxa"/>
              <w:bottom w:w="70" w:type="dxa"/>
              <w:right w:w="70" w:type="dxa"/>
            </w:tcMar>
          </w:tcPr>
          <w:p w14:paraId="75C12D75" w14:textId="77777777" w:rsidR="00961C7F" w:rsidRDefault="008A042F">
            <w:pPr>
              <w:spacing w:after="0" w:line="240" w:lineRule="auto"/>
              <w:rPr>
                <w:rFonts w:eastAsia="MS Mincho"/>
              </w:rPr>
            </w:pPr>
            <w:r>
              <w:rPr>
                <w:rFonts w:ascii="Times New Roman" w:eastAsia="Times New Roman" w:hAnsi="Times New Roman"/>
                <w:sz w:val="18"/>
                <w:szCs w:val="20"/>
              </w:rPr>
              <w:t>Lagged destination real GDP growth (GDPg_lag)</w:t>
            </w:r>
          </w:p>
        </w:tc>
        <w:tc>
          <w:tcPr>
            <w:tcW w:w="4573" w:type="dxa"/>
            <w:tcBorders>
              <w:top w:val="nil"/>
              <w:left w:val="nil"/>
              <w:bottom w:val="single" w:sz="12" w:space="0" w:color="000000"/>
              <w:right w:val="nil"/>
            </w:tcBorders>
            <w:tcMar>
              <w:top w:w="70" w:type="dxa"/>
              <w:left w:w="70" w:type="dxa"/>
              <w:bottom w:w="70" w:type="dxa"/>
              <w:right w:w="70" w:type="dxa"/>
            </w:tcMar>
          </w:tcPr>
          <w:p w14:paraId="0EF9CC6E" w14:textId="77777777" w:rsidR="00961C7F" w:rsidRDefault="008A042F">
            <w:pPr>
              <w:spacing w:after="0" w:line="240" w:lineRule="auto"/>
              <w:rPr>
                <w:rFonts w:eastAsia="MS Mincho"/>
              </w:rPr>
            </w:pPr>
            <w:r>
              <w:rPr>
                <w:rFonts w:ascii="Times New Roman" w:eastAsia="Times New Roman" w:hAnsi="Times New Roman"/>
                <w:sz w:val="18"/>
                <w:szCs w:val="20"/>
              </w:rPr>
              <w:t>One-year lag of the destination annual real GDP growth rate in percent.</w:t>
            </w:r>
          </w:p>
        </w:tc>
        <w:tc>
          <w:tcPr>
            <w:tcW w:w="2103" w:type="dxa"/>
            <w:tcBorders>
              <w:top w:val="nil"/>
              <w:left w:val="nil"/>
              <w:bottom w:val="single" w:sz="12" w:space="0" w:color="000000"/>
              <w:right w:val="nil"/>
            </w:tcBorders>
            <w:tcMar>
              <w:top w:w="70" w:type="dxa"/>
              <w:left w:w="70" w:type="dxa"/>
              <w:bottom w:w="70" w:type="dxa"/>
              <w:right w:w="70" w:type="dxa"/>
            </w:tcMar>
          </w:tcPr>
          <w:p w14:paraId="2024533B" w14:textId="77777777" w:rsidR="00961C7F" w:rsidRDefault="008A042F">
            <w:pPr>
              <w:spacing w:after="0" w:line="240" w:lineRule="auto"/>
              <w:rPr>
                <w:rFonts w:eastAsia="MS Mincho"/>
              </w:rPr>
            </w:pPr>
            <w:r>
              <w:rPr>
                <w:rFonts w:ascii="Times New Roman" w:eastAsia="Times New Roman" w:hAnsi="Times New Roman"/>
                <w:sz w:val="18"/>
                <w:szCs w:val="20"/>
              </w:rPr>
              <w:t>Eurostat nama_10_gdp</w:t>
            </w:r>
          </w:p>
        </w:tc>
      </w:tr>
    </w:tbl>
    <w:p w14:paraId="23307C71" w14:textId="77777777" w:rsidR="006F3032" w:rsidRDefault="006F3032">
      <w:pPr>
        <w:spacing w:after="0" w:line="240" w:lineRule="auto"/>
      </w:pPr>
    </w:p>
    <w:p w14:paraId="1622C9E1" w14:textId="77777777" w:rsidR="00EF3B61" w:rsidRDefault="00EF3B61">
      <w:pPr>
        <w:spacing w:after="0" w:line="240" w:lineRule="auto"/>
        <w:rPr>
          <w:rFonts w:eastAsia="Times New Roman"/>
          <w:b/>
          <w:i/>
          <w:iCs/>
        </w:rPr>
      </w:pPr>
      <w:r>
        <w:rPr>
          <w:rFonts w:eastAsia="Times New Roman"/>
          <w:b/>
          <w:i/>
          <w:iCs/>
        </w:rPr>
        <w:br w:type="page"/>
      </w:r>
    </w:p>
    <w:p w14:paraId="4FA77383" w14:textId="77777777" w:rsidR="00961C7F" w:rsidRPr="0038122C" w:rsidRDefault="008A042F" w:rsidP="0038122C">
      <w:pPr>
        <w:spacing w:before="120" w:after="80"/>
        <w:jc w:val="center"/>
        <w:rPr>
          <w:b/>
          <w:i/>
          <w:iCs/>
        </w:rPr>
      </w:pPr>
      <w:r>
        <w:rPr>
          <w:rFonts w:eastAsia="Times New Roman"/>
          <w:b/>
          <w:i/>
          <w:iCs/>
        </w:rPr>
        <w:lastRenderedPageBreak/>
        <w:t>Table 5. Descriptive statistics for core HSRate regression samples.</w:t>
      </w:r>
    </w:p>
    <w:p w14:paraId="660739F6" w14:textId="77777777" w:rsidR="00943825" w:rsidRPr="00943825" w:rsidRDefault="00943825" w:rsidP="00943825">
      <w:pPr>
        <w:spacing w:before="120" w:after="60"/>
        <w:rPr>
          <w:bCs/>
          <w:iCs/>
        </w:rPr>
      </w:pPr>
      <w:r>
        <w:rPr>
          <w:rFonts w:ascii="Times New Roman" w:eastAsia="Times New Roman" w:hAnsi="Times New Roman"/>
          <w:sz w:val="21"/>
        </w:rPr>
        <w:t>Panel A: Aggregate sample (G = 30 destinations)</w:t>
      </w:r>
    </w:p>
    <w:tbl>
      <w:tblPr>
        <w:tblStyle w:val="TableGrid"/>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93"/>
        <w:gridCol w:w="1338"/>
        <w:gridCol w:w="1416"/>
        <w:gridCol w:w="1430"/>
        <w:gridCol w:w="1429"/>
        <w:gridCol w:w="1420"/>
      </w:tblGrid>
      <w:tr w:rsidR="00961C7F" w14:paraId="291D3E1F" w14:textId="77777777" w:rsidTr="002225A5">
        <w:trPr>
          <w:cantSplit/>
          <w:tblHeader/>
          <w:jc w:val="center"/>
        </w:trPr>
        <w:tc>
          <w:tcPr>
            <w:tcW w:w="1993" w:type="dxa"/>
            <w:tcBorders>
              <w:top w:val="single" w:sz="12" w:space="0" w:color="000000"/>
              <w:left w:val="nil"/>
              <w:bottom w:val="single" w:sz="8" w:space="0" w:color="000000"/>
              <w:right w:val="nil"/>
            </w:tcBorders>
            <w:tcMar>
              <w:top w:w="70" w:type="dxa"/>
              <w:left w:w="70" w:type="dxa"/>
              <w:bottom w:w="70" w:type="dxa"/>
              <w:right w:w="70" w:type="dxa"/>
            </w:tcMar>
          </w:tcPr>
          <w:p w14:paraId="3E47763F" w14:textId="77777777" w:rsidR="00961C7F" w:rsidRDefault="008A042F">
            <w:pPr>
              <w:spacing w:after="0" w:line="240" w:lineRule="auto"/>
              <w:rPr>
                <w:rFonts w:eastAsia="MS Mincho"/>
              </w:rPr>
            </w:pPr>
            <w:r>
              <w:rPr>
                <w:rFonts w:ascii="Times New Roman" w:eastAsia="Times New Roman" w:hAnsi="Times New Roman"/>
                <w:b/>
                <w:sz w:val="20"/>
                <w:szCs w:val="20"/>
              </w:rPr>
              <w:t>Variable</w:t>
            </w:r>
          </w:p>
        </w:tc>
        <w:tc>
          <w:tcPr>
            <w:tcW w:w="1338" w:type="dxa"/>
            <w:tcBorders>
              <w:top w:val="single" w:sz="12" w:space="0" w:color="000000"/>
              <w:left w:val="nil"/>
              <w:bottom w:val="single" w:sz="8" w:space="0" w:color="000000"/>
              <w:right w:val="nil"/>
            </w:tcBorders>
            <w:tcMar>
              <w:top w:w="70" w:type="dxa"/>
              <w:left w:w="70" w:type="dxa"/>
              <w:bottom w:w="70" w:type="dxa"/>
              <w:right w:w="70" w:type="dxa"/>
            </w:tcMar>
          </w:tcPr>
          <w:p w14:paraId="56902D98" w14:textId="77777777" w:rsidR="00961C7F" w:rsidRDefault="008A042F">
            <w:pPr>
              <w:spacing w:after="0" w:line="240" w:lineRule="auto"/>
              <w:jc w:val="center"/>
              <w:rPr>
                <w:rFonts w:eastAsia="MS Mincho"/>
              </w:rPr>
            </w:pPr>
            <w:r>
              <w:rPr>
                <w:rFonts w:ascii="Times New Roman" w:eastAsia="Times New Roman" w:hAnsi="Times New Roman"/>
                <w:b/>
                <w:sz w:val="20"/>
                <w:szCs w:val="20"/>
              </w:rPr>
              <w:t>Mean</w:t>
            </w:r>
          </w:p>
        </w:tc>
        <w:tc>
          <w:tcPr>
            <w:tcW w:w="1416" w:type="dxa"/>
            <w:tcBorders>
              <w:top w:val="single" w:sz="12" w:space="0" w:color="000000"/>
              <w:left w:val="nil"/>
              <w:bottom w:val="single" w:sz="8" w:space="0" w:color="000000"/>
              <w:right w:val="nil"/>
            </w:tcBorders>
            <w:tcMar>
              <w:top w:w="70" w:type="dxa"/>
              <w:left w:w="70" w:type="dxa"/>
              <w:bottom w:w="70" w:type="dxa"/>
              <w:right w:w="70" w:type="dxa"/>
            </w:tcMar>
          </w:tcPr>
          <w:p w14:paraId="743210D5" w14:textId="77777777" w:rsidR="00961C7F" w:rsidRDefault="008A042F">
            <w:pPr>
              <w:spacing w:after="0" w:line="240" w:lineRule="auto"/>
              <w:jc w:val="center"/>
              <w:rPr>
                <w:rFonts w:eastAsia="MS Mincho"/>
              </w:rPr>
            </w:pPr>
            <w:r>
              <w:rPr>
                <w:rFonts w:ascii="Times New Roman" w:eastAsia="Times New Roman" w:hAnsi="Times New Roman"/>
                <w:b/>
                <w:sz w:val="20"/>
                <w:szCs w:val="20"/>
              </w:rPr>
              <w:t>SD</w:t>
            </w:r>
          </w:p>
        </w:tc>
        <w:tc>
          <w:tcPr>
            <w:tcW w:w="1430" w:type="dxa"/>
            <w:tcBorders>
              <w:top w:val="single" w:sz="12" w:space="0" w:color="000000"/>
              <w:left w:val="nil"/>
              <w:bottom w:val="single" w:sz="8" w:space="0" w:color="000000"/>
              <w:right w:val="nil"/>
            </w:tcBorders>
            <w:tcMar>
              <w:top w:w="70" w:type="dxa"/>
              <w:left w:w="70" w:type="dxa"/>
              <w:bottom w:w="70" w:type="dxa"/>
              <w:right w:w="70" w:type="dxa"/>
            </w:tcMar>
          </w:tcPr>
          <w:p w14:paraId="3FBCBBCE" w14:textId="77777777" w:rsidR="00961C7F" w:rsidRDefault="008A042F">
            <w:pPr>
              <w:spacing w:after="0" w:line="240" w:lineRule="auto"/>
              <w:jc w:val="center"/>
              <w:rPr>
                <w:rFonts w:eastAsia="MS Mincho"/>
              </w:rPr>
            </w:pPr>
            <w:r>
              <w:rPr>
                <w:rFonts w:ascii="Times New Roman" w:eastAsia="Times New Roman" w:hAnsi="Times New Roman"/>
                <w:b/>
                <w:sz w:val="20"/>
                <w:szCs w:val="20"/>
              </w:rPr>
              <w:t>Min</w:t>
            </w:r>
          </w:p>
        </w:tc>
        <w:tc>
          <w:tcPr>
            <w:tcW w:w="1429" w:type="dxa"/>
            <w:tcBorders>
              <w:top w:val="single" w:sz="12" w:space="0" w:color="000000"/>
              <w:left w:val="nil"/>
              <w:bottom w:val="single" w:sz="8" w:space="0" w:color="000000"/>
              <w:right w:val="nil"/>
            </w:tcBorders>
            <w:tcMar>
              <w:top w:w="70" w:type="dxa"/>
              <w:left w:w="70" w:type="dxa"/>
              <w:bottom w:w="70" w:type="dxa"/>
              <w:right w:w="70" w:type="dxa"/>
            </w:tcMar>
          </w:tcPr>
          <w:p w14:paraId="467DB46A" w14:textId="77777777" w:rsidR="00961C7F" w:rsidRDefault="008A042F">
            <w:pPr>
              <w:spacing w:after="0" w:line="240" w:lineRule="auto"/>
              <w:jc w:val="center"/>
              <w:rPr>
                <w:rFonts w:eastAsia="MS Mincho"/>
              </w:rPr>
            </w:pPr>
            <w:r>
              <w:rPr>
                <w:rFonts w:ascii="Times New Roman" w:eastAsia="Times New Roman" w:hAnsi="Times New Roman"/>
                <w:b/>
                <w:sz w:val="20"/>
                <w:szCs w:val="20"/>
              </w:rPr>
              <w:t>Max</w:t>
            </w:r>
          </w:p>
        </w:tc>
        <w:tc>
          <w:tcPr>
            <w:tcW w:w="1420" w:type="dxa"/>
            <w:tcBorders>
              <w:top w:val="single" w:sz="12" w:space="0" w:color="000000"/>
              <w:left w:val="nil"/>
              <w:bottom w:val="single" w:sz="8" w:space="0" w:color="000000"/>
              <w:right w:val="nil"/>
            </w:tcBorders>
            <w:tcMar>
              <w:top w:w="70" w:type="dxa"/>
              <w:left w:w="70" w:type="dxa"/>
              <w:bottom w:w="70" w:type="dxa"/>
              <w:right w:w="70" w:type="dxa"/>
            </w:tcMar>
          </w:tcPr>
          <w:p w14:paraId="5F7F1388" w14:textId="77777777" w:rsidR="00961C7F" w:rsidRDefault="008A042F">
            <w:pPr>
              <w:spacing w:after="0" w:line="240" w:lineRule="auto"/>
              <w:jc w:val="center"/>
              <w:rPr>
                <w:rFonts w:eastAsia="MS Mincho"/>
              </w:rPr>
            </w:pPr>
            <w:r>
              <w:rPr>
                <w:rFonts w:ascii="Times New Roman" w:eastAsia="Times New Roman" w:hAnsi="Times New Roman"/>
                <w:b/>
                <w:sz w:val="20"/>
                <w:szCs w:val="20"/>
              </w:rPr>
              <w:t>N</w:t>
            </w:r>
          </w:p>
        </w:tc>
      </w:tr>
      <w:tr w:rsidR="00961C7F" w14:paraId="002CB4F9"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61E4EC73" w14:textId="77777777" w:rsidR="00961C7F" w:rsidRDefault="008A042F">
            <w:pPr>
              <w:spacing w:after="0" w:line="240" w:lineRule="auto"/>
              <w:rPr>
                <w:rFonts w:eastAsia="MS Mincho"/>
              </w:rPr>
            </w:pPr>
            <w:r>
              <w:rPr>
                <w:rFonts w:ascii="Times New Roman" w:eastAsia="Times New Roman" w:hAnsi="Times New Roman"/>
                <w:sz w:val="20"/>
                <w:szCs w:val="20"/>
              </w:rPr>
              <w:t>High-skilled permit share</w:t>
            </w:r>
          </w:p>
        </w:tc>
        <w:tc>
          <w:tcPr>
            <w:tcW w:w="1338" w:type="dxa"/>
            <w:tcBorders>
              <w:top w:val="nil"/>
              <w:left w:val="nil"/>
              <w:bottom w:val="nil"/>
              <w:right w:val="nil"/>
            </w:tcBorders>
            <w:tcMar>
              <w:top w:w="70" w:type="dxa"/>
              <w:left w:w="70" w:type="dxa"/>
              <w:bottom w:w="70" w:type="dxa"/>
              <w:right w:w="70" w:type="dxa"/>
            </w:tcMar>
          </w:tcPr>
          <w:p w14:paraId="264FD2AB" w14:textId="77777777" w:rsidR="00961C7F" w:rsidRDefault="008A042F">
            <w:pPr>
              <w:spacing w:after="0" w:line="240" w:lineRule="auto"/>
              <w:jc w:val="center"/>
              <w:rPr>
                <w:rFonts w:eastAsia="MS Mincho"/>
              </w:rPr>
            </w:pPr>
            <w:r>
              <w:rPr>
                <w:rFonts w:ascii="Times New Roman" w:eastAsia="Times New Roman" w:hAnsi="Times New Roman"/>
                <w:sz w:val="20"/>
                <w:szCs w:val="20"/>
              </w:rPr>
              <w:t>0.175</w:t>
            </w:r>
          </w:p>
        </w:tc>
        <w:tc>
          <w:tcPr>
            <w:tcW w:w="1416" w:type="dxa"/>
            <w:tcBorders>
              <w:top w:val="nil"/>
              <w:left w:val="nil"/>
              <w:bottom w:val="nil"/>
              <w:right w:val="nil"/>
            </w:tcBorders>
            <w:tcMar>
              <w:top w:w="70" w:type="dxa"/>
              <w:left w:w="70" w:type="dxa"/>
              <w:bottom w:w="70" w:type="dxa"/>
              <w:right w:w="70" w:type="dxa"/>
            </w:tcMar>
          </w:tcPr>
          <w:p w14:paraId="5F51AA42" w14:textId="77777777" w:rsidR="00961C7F" w:rsidRDefault="008A042F">
            <w:pPr>
              <w:spacing w:after="0" w:line="240" w:lineRule="auto"/>
              <w:jc w:val="center"/>
              <w:rPr>
                <w:rFonts w:eastAsia="MS Mincho"/>
              </w:rPr>
            </w:pPr>
            <w:r>
              <w:rPr>
                <w:rFonts w:ascii="Times New Roman" w:eastAsia="Times New Roman" w:hAnsi="Times New Roman"/>
                <w:sz w:val="20"/>
                <w:szCs w:val="20"/>
              </w:rPr>
              <w:t>0.237</w:t>
            </w:r>
          </w:p>
        </w:tc>
        <w:tc>
          <w:tcPr>
            <w:tcW w:w="1430" w:type="dxa"/>
            <w:tcBorders>
              <w:top w:val="nil"/>
              <w:left w:val="nil"/>
              <w:bottom w:val="nil"/>
              <w:right w:val="nil"/>
            </w:tcBorders>
            <w:tcMar>
              <w:top w:w="70" w:type="dxa"/>
              <w:left w:w="70" w:type="dxa"/>
              <w:bottom w:w="70" w:type="dxa"/>
              <w:right w:w="70" w:type="dxa"/>
            </w:tcMar>
          </w:tcPr>
          <w:p w14:paraId="5AFD9265" w14:textId="77777777" w:rsidR="00961C7F" w:rsidRDefault="008A042F">
            <w:pPr>
              <w:spacing w:after="0" w:line="240" w:lineRule="auto"/>
              <w:jc w:val="center"/>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w14:paraId="4CE62686" w14:textId="77777777" w:rsidR="00961C7F" w:rsidRDefault="008A042F">
            <w:pPr>
              <w:spacing w:after="0" w:line="240" w:lineRule="auto"/>
              <w:jc w:val="center"/>
              <w:rPr>
                <w:rFonts w:eastAsia="MS Mincho"/>
              </w:rPr>
            </w:pPr>
            <w:r>
              <w:rPr>
                <w:rFonts w:ascii="Times New Roman" w:eastAsia="Times New Roman" w:hAnsi="Times New Roman"/>
                <w:sz w:val="20"/>
                <w:szCs w:val="20"/>
              </w:rPr>
              <w:t>0.996</w:t>
            </w:r>
          </w:p>
        </w:tc>
        <w:tc>
          <w:tcPr>
            <w:tcW w:w="1420" w:type="dxa"/>
            <w:tcBorders>
              <w:top w:val="nil"/>
              <w:left w:val="nil"/>
              <w:bottom w:val="nil"/>
              <w:right w:val="nil"/>
            </w:tcBorders>
            <w:tcMar>
              <w:top w:w="70" w:type="dxa"/>
              <w:left w:w="70" w:type="dxa"/>
              <w:bottom w:w="70" w:type="dxa"/>
              <w:right w:w="70" w:type="dxa"/>
            </w:tcMar>
          </w:tcPr>
          <w:p w14:paraId="3460C9DB" w14:textId="77777777" w:rsidR="00961C7F" w:rsidRDefault="008A042F">
            <w:pPr>
              <w:spacing w:after="0" w:line="240" w:lineRule="auto"/>
              <w:jc w:val="center"/>
              <w:rPr>
                <w:rFonts w:eastAsia="MS Mincho"/>
              </w:rPr>
            </w:pPr>
            <w:r>
              <w:rPr>
                <w:rFonts w:ascii="Times New Roman" w:eastAsia="Times New Roman" w:hAnsi="Times New Roman"/>
                <w:sz w:val="20"/>
                <w:szCs w:val="20"/>
              </w:rPr>
              <w:t>280</w:t>
            </w:r>
          </w:p>
        </w:tc>
      </w:tr>
      <w:tr w:rsidR="00961C7F" w14:paraId="0C67DAEF"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4E2762D6" w14:textId="77777777" w:rsidR="00961C7F" w:rsidRDefault="008A042F">
            <w:pPr>
              <w:spacing w:after="0" w:line="240" w:lineRule="auto"/>
              <w:rPr>
                <w:rFonts w:eastAsia="MS Mincho"/>
              </w:rPr>
            </w:pPr>
            <w:r>
              <w:rPr>
                <w:rFonts w:ascii="Times New Roman" w:eastAsia="Times New Roman" w:hAnsi="Times New Roman"/>
                <w:sz w:val="20"/>
                <w:szCs w:val="20"/>
              </w:rPr>
              <w:t>Lagged all-migrant-worker policy score</w:t>
            </w:r>
          </w:p>
        </w:tc>
        <w:tc>
          <w:tcPr>
            <w:tcW w:w="1338" w:type="dxa"/>
            <w:tcBorders>
              <w:top w:val="nil"/>
              <w:left w:val="nil"/>
              <w:bottom w:val="nil"/>
              <w:right w:val="nil"/>
            </w:tcBorders>
            <w:tcMar>
              <w:top w:w="70" w:type="dxa"/>
              <w:left w:w="70" w:type="dxa"/>
              <w:bottom w:w="70" w:type="dxa"/>
              <w:right w:w="70" w:type="dxa"/>
            </w:tcMar>
          </w:tcPr>
          <w:p w14:paraId="5807964A" w14:textId="77777777" w:rsidR="00961C7F" w:rsidRDefault="008A042F">
            <w:pPr>
              <w:spacing w:after="0" w:line="240" w:lineRule="auto"/>
              <w:jc w:val="center"/>
              <w:rPr>
                <w:rFonts w:eastAsia="MS Mincho"/>
              </w:rPr>
            </w:pPr>
            <w:r>
              <w:rPr>
                <w:rFonts w:ascii="Times New Roman" w:eastAsia="Times New Roman" w:hAnsi="Times New Roman"/>
                <w:sz w:val="20"/>
                <w:szCs w:val="20"/>
              </w:rPr>
              <w:t>-0.914</w:t>
            </w:r>
          </w:p>
        </w:tc>
        <w:tc>
          <w:tcPr>
            <w:tcW w:w="1416" w:type="dxa"/>
            <w:tcBorders>
              <w:top w:val="nil"/>
              <w:left w:val="nil"/>
              <w:bottom w:val="nil"/>
              <w:right w:val="nil"/>
            </w:tcBorders>
            <w:tcMar>
              <w:top w:w="70" w:type="dxa"/>
              <w:left w:w="70" w:type="dxa"/>
              <w:bottom w:w="70" w:type="dxa"/>
              <w:right w:w="70" w:type="dxa"/>
            </w:tcMar>
          </w:tcPr>
          <w:p w14:paraId="361D8859" w14:textId="77777777" w:rsidR="00961C7F" w:rsidRDefault="008A042F">
            <w:pPr>
              <w:spacing w:after="0" w:line="240" w:lineRule="auto"/>
              <w:jc w:val="center"/>
              <w:rPr>
                <w:rFonts w:eastAsia="MS Mincho"/>
              </w:rPr>
            </w:pPr>
            <w:r>
              <w:rPr>
                <w:rFonts w:ascii="Times New Roman" w:eastAsia="Times New Roman" w:hAnsi="Times New Roman"/>
                <w:sz w:val="20"/>
                <w:szCs w:val="20"/>
              </w:rPr>
              <w:t>4.284</w:t>
            </w:r>
          </w:p>
        </w:tc>
        <w:tc>
          <w:tcPr>
            <w:tcW w:w="1430" w:type="dxa"/>
            <w:tcBorders>
              <w:top w:val="nil"/>
              <w:left w:val="nil"/>
              <w:bottom w:val="nil"/>
              <w:right w:val="nil"/>
            </w:tcBorders>
            <w:tcMar>
              <w:top w:w="70" w:type="dxa"/>
              <w:left w:w="70" w:type="dxa"/>
              <w:bottom w:w="70" w:type="dxa"/>
              <w:right w:w="70" w:type="dxa"/>
            </w:tcMar>
          </w:tcPr>
          <w:p w14:paraId="260494A7" w14:textId="77777777" w:rsidR="00961C7F" w:rsidRDefault="008A042F">
            <w:pPr>
              <w:spacing w:after="0" w:line="240" w:lineRule="auto"/>
              <w:jc w:val="center"/>
              <w:rPr>
                <w:rFonts w:eastAsia="MS Mincho"/>
              </w:rPr>
            </w:pPr>
            <w:r>
              <w:rPr>
                <w:rFonts w:ascii="Times New Roman" w:eastAsia="Times New Roman" w:hAnsi="Times New Roman"/>
                <w:sz w:val="20"/>
                <w:szCs w:val="20"/>
              </w:rPr>
              <w:t>-16.000</w:t>
            </w:r>
          </w:p>
        </w:tc>
        <w:tc>
          <w:tcPr>
            <w:tcW w:w="1429" w:type="dxa"/>
            <w:tcBorders>
              <w:top w:val="nil"/>
              <w:left w:val="nil"/>
              <w:bottom w:val="nil"/>
              <w:right w:val="nil"/>
            </w:tcBorders>
            <w:tcMar>
              <w:top w:w="70" w:type="dxa"/>
              <w:left w:w="70" w:type="dxa"/>
              <w:bottom w:w="70" w:type="dxa"/>
              <w:right w:w="70" w:type="dxa"/>
            </w:tcMar>
          </w:tcPr>
          <w:p w14:paraId="18C787BD" w14:textId="77777777" w:rsidR="00961C7F" w:rsidRDefault="008A042F">
            <w:pPr>
              <w:spacing w:after="0" w:line="240" w:lineRule="auto"/>
              <w:jc w:val="center"/>
              <w:rPr>
                <w:rFonts w:eastAsia="MS Mincho"/>
              </w:rPr>
            </w:pPr>
            <w:r>
              <w:rPr>
                <w:rFonts w:ascii="Times New Roman" w:eastAsia="Times New Roman" w:hAnsi="Times New Roman"/>
                <w:sz w:val="20"/>
                <w:szCs w:val="20"/>
              </w:rPr>
              <w:t>8.000</w:t>
            </w:r>
          </w:p>
        </w:tc>
        <w:tc>
          <w:tcPr>
            <w:tcW w:w="1420" w:type="dxa"/>
            <w:tcBorders>
              <w:top w:val="nil"/>
              <w:left w:val="nil"/>
              <w:bottom w:val="nil"/>
              <w:right w:val="nil"/>
            </w:tcBorders>
            <w:tcMar>
              <w:top w:w="70" w:type="dxa"/>
              <w:left w:w="70" w:type="dxa"/>
              <w:bottom w:w="70" w:type="dxa"/>
              <w:right w:w="70" w:type="dxa"/>
            </w:tcMar>
          </w:tcPr>
          <w:p w14:paraId="39AF128F" w14:textId="77777777" w:rsidR="00961C7F" w:rsidRDefault="008A042F">
            <w:pPr>
              <w:spacing w:after="0" w:line="240" w:lineRule="auto"/>
              <w:jc w:val="center"/>
              <w:rPr>
                <w:rFonts w:eastAsia="MS Mincho"/>
              </w:rPr>
            </w:pPr>
            <w:r>
              <w:rPr>
                <w:rFonts w:ascii="Times New Roman" w:eastAsia="Times New Roman" w:hAnsi="Times New Roman"/>
                <w:sz w:val="20"/>
                <w:szCs w:val="20"/>
              </w:rPr>
              <w:t>280</w:t>
            </w:r>
          </w:p>
        </w:tc>
      </w:tr>
      <w:tr w:rsidR="00961C7F" w14:paraId="6CAA21AB"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0746B448" w14:textId="77777777" w:rsidR="00961C7F" w:rsidRDefault="008A042F">
            <w:pPr>
              <w:spacing w:after="0" w:line="240" w:lineRule="auto"/>
              <w:rPr>
                <w:rFonts w:eastAsia="MS Mincho"/>
              </w:rPr>
            </w:pPr>
            <w:r>
              <w:rPr>
                <w:rFonts w:ascii="Times New Roman" w:eastAsia="Times New Roman" w:hAnsi="Times New Roman"/>
                <w:sz w:val="20"/>
                <w:szCs w:val="20"/>
              </w:rPr>
              <w:t>Lagged annual all-migrant-worker policy flow</w:t>
            </w:r>
          </w:p>
        </w:tc>
        <w:tc>
          <w:tcPr>
            <w:tcW w:w="1338" w:type="dxa"/>
            <w:tcBorders>
              <w:top w:val="nil"/>
              <w:left w:val="nil"/>
              <w:bottom w:val="nil"/>
              <w:right w:val="nil"/>
            </w:tcBorders>
            <w:tcMar>
              <w:top w:w="70" w:type="dxa"/>
              <w:left w:w="70" w:type="dxa"/>
              <w:bottom w:w="70" w:type="dxa"/>
              <w:right w:w="70" w:type="dxa"/>
            </w:tcMar>
          </w:tcPr>
          <w:p w14:paraId="3E7EDD23" w14:textId="77777777" w:rsidR="00961C7F" w:rsidRDefault="008A042F">
            <w:pPr>
              <w:spacing w:after="0" w:line="240" w:lineRule="auto"/>
              <w:jc w:val="center"/>
              <w:rPr>
                <w:rFonts w:eastAsia="MS Mincho"/>
              </w:rPr>
            </w:pPr>
            <w:r>
              <w:rPr>
                <w:rFonts w:ascii="Times New Roman" w:eastAsia="Times New Roman" w:hAnsi="Times New Roman"/>
                <w:sz w:val="20"/>
                <w:szCs w:val="20"/>
              </w:rPr>
              <w:t>-0.279</w:t>
            </w:r>
          </w:p>
        </w:tc>
        <w:tc>
          <w:tcPr>
            <w:tcW w:w="1416" w:type="dxa"/>
            <w:tcBorders>
              <w:top w:val="nil"/>
              <w:left w:val="nil"/>
              <w:bottom w:val="nil"/>
              <w:right w:val="nil"/>
            </w:tcBorders>
            <w:tcMar>
              <w:top w:w="70" w:type="dxa"/>
              <w:left w:w="70" w:type="dxa"/>
              <w:bottom w:w="70" w:type="dxa"/>
              <w:right w:w="70" w:type="dxa"/>
            </w:tcMar>
          </w:tcPr>
          <w:p w14:paraId="23F65D49" w14:textId="77777777" w:rsidR="00961C7F" w:rsidRDefault="008A042F">
            <w:pPr>
              <w:spacing w:after="0" w:line="240" w:lineRule="auto"/>
              <w:jc w:val="center"/>
              <w:rPr>
                <w:rFonts w:eastAsia="MS Mincho"/>
              </w:rPr>
            </w:pPr>
            <w:r>
              <w:rPr>
                <w:rFonts w:ascii="Times New Roman" w:eastAsia="Times New Roman" w:hAnsi="Times New Roman"/>
                <w:sz w:val="20"/>
                <w:szCs w:val="20"/>
              </w:rPr>
              <w:t>1.946</w:t>
            </w:r>
          </w:p>
        </w:tc>
        <w:tc>
          <w:tcPr>
            <w:tcW w:w="1430" w:type="dxa"/>
            <w:tcBorders>
              <w:top w:val="nil"/>
              <w:left w:val="nil"/>
              <w:bottom w:val="nil"/>
              <w:right w:val="nil"/>
            </w:tcBorders>
            <w:tcMar>
              <w:top w:w="70" w:type="dxa"/>
              <w:left w:w="70" w:type="dxa"/>
              <w:bottom w:w="70" w:type="dxa"/>
              <w:right w:w="70" w:type="dxa"/>
            </w:tcMar>
          </w:tcPr>
          <w:p w14:paraId="3D657DA1" w14:textId="77777777" w:rsidR="00961C7F" w:rsidRDefault="008A042F">
            <w:pPr>
              <w:spacing w:after="0" w:line="240" w:lineRule="auto"/>
              <w:jc w:val="center"/>
              <w:rPr>
                <w:rFonts w:eastAsia="MS Mincho"/>
              </w:rPr>
            </w:pPr>
            <w:r>
              <w:rPr>
                <w:rFonts w:ascii="Times New Roman" w:eastAsia="Times New Roman" w:hAnsi="Times New Roman"/>
                <w:sz w:val="20"/>
                <w:szCs w:val="20"/>
              </w:rPr>
              <w:t>-10.000</w:t>
            </w:r>
          </w:p>
        </w:tc>
        <w:tc>
          <w:tcPr>
            <w:tcW w:w="1429" w:type="dxa"/>
            <w:tcBorders>
              <w:top w:val="nil"/>
              <w:left w:val="nil"/>
              <w:bottom w:val="nil"/>
              <w:right w:val="nil"/>
            </w:tcBorders>
            <w:tcMar>
              <w:top w:w="70" w:type="dxa"/>
              <w:left w:w="70" w:type="dxa"/>
              <w:bottom w:w="70" w:type="dxa"/>
              <w:right w:w="70" w:type="dxa"/>
            </w:tcMar>
          </w:tcPr>
          <w:p w14:paraId="79916798" w14:textId="77777777" w:rsidR="00961C7F" w:rsidRDefault="008A042F">
            <w:pPr>
              <w:spacing w:after="0" w:line="240" w:lineRule="auto"/>
              <w:jc w:val="center"/>
              <w:rPr>
                <w:rFonts w:eastAsia="MS Mincho"/>
              </w:rPr>
            </w:pPr>
            <w:r>
              <w:rPr>
                <w:rFonts w:ascii="Times New Roman" w:eastAsia="Times New Roman" w:hAnsi="Times New Roman"/>
                <w:sz w:val="20"/>
                <w:szCs w:val="20"/>
              </w:rPr>
              <w:t>8.000</w:t>
            </w:r>
          </w:p>
        </w:tc>
        <w:tc>
          <w:tcPr>
            <w:tcW w:w="1420" w:type="dxa"/>
            <w:tcBorders>
              <w:top w:val="nil"/>
              <w:left w:val="nil"/>
              <w:bottom w:val="nil"/>
              <w:right w:val="nil"/>
            </w:tcBorders>
            <w:tcMar>
              <w:top w:w="70" w:type="dxa"/>
              <w:left w:w="70" w:type="dxa"/>
              <w:bottom w:w="70" w:type="dxa"/>
              <w:right w:w="70" w:type="dxa"/>
            </w:tcMar>
          </w:tcPr>
          <w:p w14:paraId="5A4037D1" w14:textId="77777777" w:rsidR="00961C7F" w:rsidRDefault="008A042F">
            <w:pPr>
              <w:spacing w:after="0" w:line="240" w:lineRule="auto"/>
              <w:jc w:val="center"/>
              <w:rPr>
                <w:rFonts w:eastAsia="MS Mincho"/>
              </w:rPr>
            </w:pPr>
            <w:r>
              <w:rPr>
                <w:rFonts w:ascii="Times New Roman" w:eastAsia="Times New Roman" w:hAnsi="Times New Roman"/>
                <w:sz w:val="20"/>
                <w:szCs w:val="20"/>
              </w:rPr>
              <w:t>280</w:t>
            </w:r>
          </w:p>
        </w:tc>
      </w:tr>
      <w:tr w:rsidR="00961C7F" w14:paraId="1BB1E8B7"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55DA87AB" w14:textId="77777777" w:rsidR="00961C7F" w:rsidRDefault="008A042F">
            <w:pPr>
              <w:spacing w:after="0" w:line="240" w:lineRule="auto"/>
              <w:rPr>
                <w:rFonts w:eastAsia="MS Mincho"/>
              </w:rPr>
            </w:pPr>
            <w:r>
              <w:rPr>
                <w:rFonts w:ascii="Times New Roman" w:eastAsia="Times New Roman" w:hAnsi="Times New Roman"/>
                <w:sz w:val="20"/>
                <w:szCs w:val="20"/>
              </w:rPr>
              <w:t>Lagged destination permit scale</w:t>
            </w:r>
          </w:p>
        </w:tc>
        <w:tc>
          <w:tcPr>
            <w:tcW w:w="1338" w:type="dxa"/>
            <w:tcBorders>
              <w:top w:val="nil"/>
              <w:left w:val="nil"/>
              <w:bottom w:val="nil"/>
              <w:right w:val="nil"/>
            </w:tcBorders>
            <w:tcMar>
              <w:top w:w="70" w:type="dxa"/>
              <w:left w:w="70" w:type="dxa"/>
              <w:bottom w:w="70" w:type="dxa"/>
              <w:right w:w="70" w:type="dxa"/>
            </w:tcMar>
          </w:tcPr>
          <w:p w14:paraId="3B939033" w14:textId="77777777" w:rsidR="00961C7F" w:rsidRDefault="008A042F">
            <w:pPr>
              <w:spacing w:after="0" w:line="240" w:lineRule="auto"/>
              <w:jc w:val="center"/>
              <w:rPr>
                <w:rFonts w:eastAsia="MS Mincho"/>
              </w:rPr>
            </w:pPr>
            <w:r>
              <w:rPr>
                <w:rFonts w:ascii="Times New Roman" w:eastAsia="Times New Roman" w:hAnsi="Times New Roman"/>
                <w:sz w:val="20"/>
                <w:szCs w:val="20"/>
              </w:rPr>
              <w:t>7.818</w:t>
            </w:r>
          </w:p>
        </w:tc>
        <w:tc>
          <w:tcPr>
            <w:tcW w:w="1416" w:type="dxa"/>
            <w:tcBorders>
              <w:top w:val="nil"/>
              <w:left w:val="nil"/>
              <w:bottom w:val="nil"/>
              <w:right w:val="nil"/>
            </w:tcBorders>
            <w:tcMar>
              <w:top w:w="70" w:type="dxa"/>
              <w:left w:w="70" w:type="dxa"/>
              <w:bottom w:w="70" w:type="dxa"/>
              <w:right w:w="70" w:type="dxa"/>
            </w:tcMar>
          </w:tcPr>
          <w:p w14:paraId="270FCFA4" w14:textId="77777777" w:rsidR="00961C7F" w:rsidRDefault="008A042F">
            <w:pPr>
              <w:spacing w:after="0" w:line="240" w:lineRule="auto"/>
              <w:jc w:val="center"/>
              <w:rPr>
                <w:rFonts w:eastAsia="MS Mincho"/>
              </w:rPr>
            </w:pPr>
            <w:r>
              <w:rPr>
                <w:rFonts w:ascii="Times New Roman" w:eastAsia="Times New Roman" w:hAnsi="Times New Roman"/>
                <w:sz w:val="20"/>
                <w:szCs w:val="20"/>
              </w:rPr>
              <w:t>1.831</w:t>
            </w:r>
          </w:p>
        </w:tc>
        <w:tc>
          <w:tcPr>
            <w:tcW w:w="1430" w:type="dxa"/>
            <w:tcBorders>
              <w:top w:val="nil"/>
              <w:left w:val="nil"/>
              <w:bottom w:val="nil"/>
              <w:right w:val="nil"/>
            </w:tcBorders>
            <w:tcMar>
              <w:top w:w="70" w:type="dxa"/>
              <w:left w:w="70" w:type="dxa"/>
              <w:bottom w:w="70" w:type="dxa"/>
              <w:right w:w="70" w:type="dxa"/>
            </w:tcMar>
          </w:tcPr>
          <w:p w14:paraId="249D9BA0" w14:textId="77777777" w:rsidR="00961C7F" w:rsidRDefault="008A042F">
            <w:pPr>
              <w:spacing w:after="0" w:line="240" w:lineRule="auto"/>
              <w:jc w:val="center"/>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w14:paraId="4D6802D2" w14:textId="77777777" w:rsidR="00961C7F" w:rsidRDefault="008A042F">
            <w:pPr>
              <w:spacing w:after="0" w:line="240" w:lineRule="auto"/>
              <w:jc w:val="center"/>
              <w:rPr>
                <w:rFonts w:eastAsia="MS Mincho"/>
              </w:rPr>
            </w:pPr>
            <w:r>
              <w:rPr>
                <w:rFonts w:ascii="Times New Roman" w:eastAsia="Times New Roman" w:hAnsi="Times New Roman"/>
                <w:sz w:val="20"/>
                <w:szCs w:val="20"/>
              </w:rPr>
              <w:t>12.186</w:t>
            </w:r>
          </w:p>
        </w:tc>
        <w:tc>
          <w:tcPr>
            <w:tcW w:w="1420" w:type="dxa"/>
            <w:tcBorders>
              <w:top w:val="nil"/>
              <w:left w:val="nil"/>
              <w:bottom w:val="nil"/>
              <w:right w:val="nil"/>
            </w:tcBorders>
            <w:tcMar>
              <w:top w:w="70" w:type="dxa"/>
              <w:left w:w="70" w:type="dxa"/>
              <w:bottom w:w="70" w:type="dxa"/>
              <w:right w:w="70" w:type="dxa"/>
            </w:tcMar>
          </w:tcPr>
          <w:p w14:paraId="2A4106E2" w14:textId="77777777" w:rsidR="00961C7F" w:rsidRDefault="008A042F">
            <w:pPr>
              <w:spacing w:after="0" w:line="240" w:lineRule="auto"/>
              <w:jc w:val="center"/>
              <w:rPr>
                <w:rFonts w:eastAsia="MS Mincho"/>
              </w:rPr>
            </w:pPr>
            <w:r>
              <w:rPr>
                <w:rFonts w:ascii="Times New Roman" w:eastAsia="Times New Roman" w:hAnsi="Times New Roman"/>
                <w:sz w:val="20"/>
                <w:szCs w:val="20"/>
              </w:rPr>
              <w:t>280</w:t>
            </w:r>
          </w:p>
        </w:tc>
      </w:tr>
      <w:tr w:rsidR="00961C7F" w14:paraId="70416754"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13397B71" w14:textId="77777777" w:rsidR="00961C7F" w:rsidRDefault="008A042F">
            <w:pPr>
              <w:spacing w:after="0" w:line="240" w:lineRule="auto"/>
              <w:rPr>
                <w:rFonts w:eastAsia="MS Mincho"/>
              </w:rPr>
            </w:pPr>
            <w:r>
              <w:rPr>
                <w:rFonts w:ascii="Times New Roman" w:eastAsia="Times New Roman" w:hAnsi="Times New Roman"/>
                <w:sz w:val="20"/>
                <w:szCs w:val="20"/>
              </w:rPr>
              <w:t>Lagged destination log unemployment</w:t>
            </w:r>
          </w:p>
        </w:tc>
        <w:tc>
          <w:tcPr>
            <w:tcW w:w="1338" w:type="dxa"/>
            <w:tcBorders>
              <w:top w:val="nil"/>
              <w:left w:val="nil"/>
              <w:bottom w:val="nil"/>
              <w:right w:val="nil"/>
            </w:tcBorders>
            <w:tcMar>
              <w:top w:w="70" w:type="dxa"/>
              <w:left w:w="70" w:type="dxa"/>
              <w:bottom w:w="70" w:type="dxa"/>
              <w:right w:w="70" w:type="dxa"/>
            </w:tcMar>
          </w:tcPr>
          <w:p w14:paraId="1F41520E" w14:textId="77777777" w:rsidR="00961C7F" w:rsidRDefault="008A042F">
            <w:pPr>
              <w:spacing w:after="0" w:line="240" w:lineRule="auto"/>
              <w:jc w:val="center"/>
              <w:rPr>
                <w:rFonts w:eastAsia="MS Mincho"/>
              </w:rPr>
            </w:pPr>
            <w:r>
              <w:rPr>
                <w:rFonts w:ascii="Times New Roman" w:eastAsia="Times New Roman" w:hAnsi="Times New Roman"/>
                <w:sz w:val="20"/>
                <w:szCs w:val="20"/>
              </w:rPr>
              <w:t>2.113</w:t>
            </w:r>
          </w:p>
        </w:tc>
        <w:tc>
          <w:tcPr>
            <w:tcW w:w="1416" w:type="dxa"/>
            <w:tcBorders>
              <w:top w:val="nil"/>
              <w:left w:val="nil"/>
              <w:bottom w:val="nil"/>
              <w:right w:val="nil"/>
            </w:tcBorders>
            <w:tcMar>
              <w:top w:w="70" w:type="dxa"/>
              <w:left w:w="70" w:type="dxa"/>
              <w:bottom w:w="70" w:type="dxa"/>
              <w:right w:w="70" w:type="dxa"/>
            </w:tcMar>
          </w:tcPr>
          <w:p w14:paraId="27F598D0" w14:textId="77777777" w:rsidR="00961C7F" w:rsidRDefault="008A042F">
            <w:pPr>
              <w:spacing w:after="0" w:line="240" w:lineRule="auto"/>
              <w:jc w:val="center"/>
              <w:rPr>
                <w:rFonts w:eastAsia="MS Mincho"/>
              </w:rPr>
            </w:pPr>
            <w:r>
              <w:rPr>
                <w:rFonts w:ascii="Times New Roman" w:eastAsia="Times New Roman" w:hAnsi="Times New Roman"/>
                <w:sz w:val="20"/>
                <w:szCs w:val="20"/>
              </w:rPr>
              <w:t>0.480</w:t>
            </w:r>
          </w:p>
        </w:tc>
        <w:tc>
          <w:tcPr>
            <w:tcW w:w="1430" w:type="dxa"/>
            <w:tcBorders>
              <w:top w:val="nil"/>
              <w:left w:val="nil"/>
              <w:bottom w:val="nil"/>
              <w:right w:val="nil"/>
            </w:tcBorders>
            <w:tcMar>
              <w:top w:w="70" w:type="dxa"/>
              <w:left w:w="70" w:type="dxa"/>
              <w:bottom w:w="70" w:type="dxa"/>
              <w:right w:w="70" w:type="dxa"/>
            </w:tcMar>
          </w:tcPr>
          <w:p w14:paraId="13F4201C" w14:textId="77777777" w:rsidR="00961C7F" w:rsidRDefault="008A042F">
            <w:pPr>
              <w:spacing w:after="0" w:line="240" w:lineRule="auto"/>
              <w:jc w:val="center"/>
              <w:rPr>
                <w:rFonts w:eastAsia="MS Mincho"/>
              </w:rPr>
            </w:pPr>
            <w:r>
              <w:rPr>
                <w:rFonts w:ascii="Times New Roman" w:eastAsia="Times New Roman" w:hAnsi="Times New Roman"/>
                <w:sz w:val="20"/>
                <w:szCs w:val="20"/>
              </w:rPr>
              <w:t>0.788</w:t>
            </w:r>
          </w:p>
        </w:tc>
        <w:tc>
          <w:tcPr>
            <w:tcW w:w="1429" w:type="dxa"/>
            <w:tcBorders>
              <w:top w:val="nil"/>
              <w:left w:val="nil"/>
              <w:bottom w:val="nil"/>
              <w:right w:val="nil"/>
            </w:tcBorders>
            <w:tcMar>
              <w:top w:w="70" w:type="dxa"/>
              <w:left w:w="70" w:type="dxa"/>
              <w:bottom w:w="70" w:type="dxa"/>
              <w:right w:w="70" w:type="dxa"/>
            </w:tcMar>
          </w:tcPr>
          <w:p w14:paraId="17807CA9" w14:textId="77777777" w:rsidR="00961C7F" w:rsidRDefault="008A042F">
            <w:pPr>
              <w:spacing w:after="0" w:line="240" w:lineRule="auto"/>
              <w:jc w:val="center"/>
              <w:rPr>
                <w:rFonts w:eastAsia="MS Mincho"/>
              </w:rPr>
            </w:pPr>
            <w:r>
              <w:rPr>
                <w:rFonts w:ascii="Times New Roman" w:eastAsia="Times New Roman" w:hAnsi="Times New Roman"/>
                <w:sz w:val="20"/>
                <w:szCs w:val="20"/>
              </w:rPr>
              <w:t>3.325</w:t>
            </w:r>
          </w:p>
        </w:tc>
        <w:tc>
          <w:tcPr>
            <w:tcW w:w="1420" w:type="dxa"/>
            <w:tcBorders>
              <w:top w:val="nil"/>
              <w:left w:val="nil"/>
              <w:bottom w:val="nil"/>
              <w:right w:val="nil"/>
            </w:tcBorders>
            <w:tcMar>
              <w:top w:w="70" w:type="dxa"/>
              <w:left w:w="70" w:type="dxa"/>
              <w:bottom w:w="70" w:type="dxa"/>
              <w:right w:w="70" w:type="dxa"/>
            </w:tcMar>
          </w:tcPr>
          <w:p w14:paraId="373B127F" w14:textId="77777777" w:rsidR="00961C7F" w:rsidRDefault="008A042F">
            <w:pPr>
              <w:spacing w:after="0" w:line="240" w:lineRule="auto"/>
              <w:jc w:val="center"/>
              <w:rPr>
                <w:rFonts w:eastAsia="MS Mincho"/>
              </w:rPr>
            </w:pPr>
            <w:r>
              <w:rPr>
                <w:rFonts w:ascii="Times New Roman" w:eastAsia="Times New Roman" w:hAnsi="Times New Roman"/>
                <w:sz w:val="20"/>
                <w:szCs w:val="20"/>
              </w:rPr>
              <w:t>280</w:t>
            </w:r>
          </w:p>
        </w:tc>
      </w:tr>
      <w:tr w:rsidR="00961C7F" w14:paraId="57454A1D" w14:textId="77777777" w:rsidTr="002225A5">
        <w:trPr>
          <w:cantSplit/>
          <w:jc w:val="center"/>
        </w:trPr>
        <w:tc>
          <w:tcPr>
            <w:tcW w:w="1993" w:type="dxa"/>
            <w:tcBorders>
              <w:top w:val="nil"/>
              <w:left w:val="nil"/>
              <w:bottom w:val="single" w:sz="12" w:space="0" w:color="000000"/>
              <w:right w:val="nil"/>
            </w:tcBorders>
            <w:tcMar>
              <w:top w:w="70" w:type="dxa"/>
              <w:left w:w="70" w:type="dxa"/>
              <w:bottom w:w="70" w:type="dxa"/>
              <w:right w:w="70" w:type="dxa"/>
            </w:tcMar>
          </w:tcPr>
          <w:p w14:paraId="1825EF83" w14:textId="77777777" w:rsidR="00961C7F" w:rsidRDefault="008A042F">
            <w:pPr>
              <w:spacing w:after="0" w:line="240" w:lineRule="auto"/>
              <w:rPr>
                <w:rFonts w:eastAsia="MS Mincho"/>
              </w:rPr>
            </w:pPr>
            <w:r>
              <w:rPr>
                <w:rFonts w:ascii="Times New Roman" w:eastAsia="Times New Roman" w:hAnsi="Times New Roman"/>
                <w:sz w:val="20"/>
                <w:szCs w:val="20"/>
              </w:rPr>
              <w:t>Lagged destination real GDP growth</w:t>
            </w:r>
          </w:p>
        </w:tc>
        <w:tc>
          <w:tcPr>
            <w:tcW w:w="1338" w:type="dxa"/>
            <w:tcBorders>
              <w:top w:val="nil"/>
              <w:left w:val="nil"/>
              <w:bottom w:val="single" w:sz="12" w:space="0" w:color="000000"/>
              <w:right w:val="nil"/>
            </w:tcBorders>
            <w:tcMar>
              <w:top w:w="70" w:type="dxa"/>
              <w:left w:w="70" w:type="dxa"/>
              <w:bottom w:w="70" w:type="dxa"/>
              <w:right w:w="70" w:type="dxa"/>
            </w:tcMar>
          </w:tcPr>
          <w:p w14:paraId="026240F2" w14:textId="77777777" w:rsidR="00961C7F" w:rsidRDefault="008A042F">
            <w:pPr>
              <w:spacing w:after="0" w:line="240" w:lineRule="auto"/>
              <w:jc w:val="center"/>
              <w:rPr>
                <w:rFonts w:eastAsia="MS Mincho"/>
              </w:rPr>
            </w:pPr>
            <w:r>
              <w:rPr>
                <w:rFonts w:ascii="Times New Roman" w:eastAsia="Times New Roman" w:hAnsi="Times New Roman"/>
                <w:sz w:val="20"/>
                <w:szCs w:val="20"/>
              </w:rPr>
              <w:t>1.561</w:t>
            </w:r>
          </w:p>
        </w:tc>
        <w:tc>
          <w:tcPr>
            <w:tcW w:w="1416" w:type="dxa"/>
            <w:tcBorders>
              <w:top w:val="nil"/>
              <w:left w:val="nil"/>
              <w:bottom w:val="single" w:sz="12" w:space="0" w:color="000000"/>
              <w:right w:val="nil"/>
            </w:tcBorders>
            <w:tcMar>
              <w:top w:w="70" w:type="dxa"/>
              <w:left w:w="70" w:type="dxa"/>
              <w:bottom w:w="70" w:type="dxa"/>
              <w:right w:w="70" w:type="dxa"/>
            </w:tcMar>
          </w:tcPr>
          <w:p w14:paraId="0E623AEA" w14:textId="77777777" w:rsidR="00961C7F" w:rsidRDefault="008A042F">
            <w:pPr>
              <w:spacing w:after="0" w:line="240" w:lineRule="auto"/>
              <w:jc w:val="center"/>
              <w:rPr>
                <w:rFonts w:eastAsia="MS Mincho"/>
              </w:rPr>
            </w:pPr>
            <w:r>
              <w:rPr>
                <w:rFonts w:ascii="Times New Roman" w:eastAsia="Times New Roman" w:hAnsi="Times New Roman"/>
                <w:sz w:val="20"/>
                <w:szCs w:val="20"/>
              </w:rPr>
              <w:t>3.806</w:t>
            </w:r>
          </w:p>
        </w:tc>
        <w:tc>
          <w:tcPr>
            <w:tcW w:w="1430" w:type="dxa"/>
            <w:tcBorders>
              <w:top w:val="nil"/>
              <w:left w:val="nil"/>
              <w:bottom w:val="single" w:sz="12" w:space="0" w:color="000000"/>
              <w:right w:val="nil"/>
            </w:tcBorders>
            <w:tcMar>
              <w:top w:w="70" w:type="dxa"/>
              <w:left w:w="70" w:type="dxa"/>
              <w:bottom w:w="70" w:type="dxa"/>
              <w:right w:w="70" w:type="dxa"/>
            </w:tcMar>
          </w:tcPr>
          <w:p w14:paraId="697AE2EC" w14:textId="77777777" w:rsidR="00961C7F" w:rsidRDefault="008A042F">
            <w:pPr>
              <w:spacing w:after="0" w:line="240" w:lineRule="auto"/>
              <w:jc w:val="center"/>
              <w:rPr>
                <w:rFonts w:eastAsia="MS Mincho"/>
              </w:rPr>
            </w:pPr>
            <w:r>
              <w:rPr>
                <w:rFonts w:ascii="Times New Roman" w:eastAsia="Times New Roman" w:hAnsi="Times New Roman"/>
                <w:sz w:val="20"/>
                <w:szCs w:val="20"/>
              </w:rPr>
              <w:t>-16.000</w:t>
            </w:r>
          </w:p>
        </w:tc>
        <w:tc>
          <w:tcPr>
            <w:tcW w:w="1429" w:type="dxa"/>
            <w:tcBorders>
              <w:top w:val="nil"/>
              <w:left w:val="nil"/>
              <w:bottom w:val="single" w:sz="12" w:space="0" w:color="000000"/>
              <w:right w:val="nil"/>
            </w:tcBorders>
            <w:tcMar>
              <w:top w:w="70" w:type="dxa"/>
              <w:left w:w="70" w:type="dxa"/>
              <w:bottom w:w="70" w:type="dxa"/>
              <w:right w:w="70" w:type="dxa"/>
            </w:tcMar>
          </w:tcPr>
          <w:p w14:paraId="2A606641" w14:textId="77777777" w:rsidR="00961C7F" w:rsidRDefault="008A042F">
            <w:pPr>
              <w:spacing w:after="0" w:line="240" w:lineRule="auto"/>
              <w:jc w:val="center"/>
              <w:rPr>
                <w:rFonts w:eastAsia="MS Mincho"/>
              </w:rPr>
            </w:pPr>
            <w:r>
              <w:rPr>
                <w:rFonts w:ascii="Times New Roman" w:eastAsia="Times New Roman" w:hAnsi="Times New Roman"/>
                <w:sz w:val="20"/>
                <w:szCs w:val="20"/>
              </w:rPr>
              <w:t>24.600</w:t>
            </w:r>
          </w:p>
        </w:tc>
        <w:tc>
          <w:tcPr>
            <w:tcW w:w="1420" w:type="dxa"/>
            <w:tcBorders>
              <w:top w:val="nil"/>
              <w:left w:val="nil"/>
              <w:bottom w:val="single" w:sz="12" w:space="0" w:color="000000"/>
              <w:right w:val="nil"/>
            </w:tcBorders>
            <w:tcMar>
              <w:top w:w="70" w:type="dxa"/>
              <w:left w:w="70" w:type="dxa"/>
              <w:bottom w:w="70" w:type="dxa"/>
              <w:right w:w="70" w:type="dxa"/>
            </w:tcMar>
          </w:tcPr>
          <w:p w14:paraId="4F3FA261" w14:textId="77777777" w:rsidR="00961C7F" w:rsidRDefault="008A042F">
            <w:pPr>
              <w:spacing w:after="0" w:line="240" w:lineRule="auto"/>
              <w:jc w:val="center"/>
              <w:rPr>
                <w:rFonts w:eastAsia="MS Mincho"/>
              </w:rPr>
            </w:pPr>
            <w:r>
              <w:rPr>
                <w:rFonts w:ascii="Times New Roman" w:eastAsia="Times New Roman" w:hAnsi="Times New Roman"/>
                <w:sz w:val="20"/>
                <w:szCs w:val="20"/>
              </w:rPr>
              <w:t>280</w:t>
            </w:r>
          </w:p>
        </w:tc>
      </w:tr>
    </w:tbl>
    <w:p w14:paraId="18392370" w14:textId="77777777" w:rsidR="009401EE" w:rsidRDefault="009401EE"/>
    <w:p w14:paraId="63113E8D" w14:textId="77777777" w:rsidR="00943825" w:rsidRDefault="00943825">
      <w:pPr>
        <w:spacing w:before="120" w:after="60"/>
      </w:pPr>
      <w:r>
        <w:rPr>
          <w:rFonts w:ascii="Times New Roman" w:eastAsia="Times New Roman" w:hAnsi="Times New Roman"/>
          <w:sz w:val="21"/>
        </w:rPr>
        <w:t>Panel B: Bilateral sample (G = 30 destinations, 120 origins)</w:t>
      </w:r>
    </w:p>
    <w:tbl>
      <w:tblPr>
        <w:tblStyle w:val="TableGrid"/>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16"/>
        <w:gridCol w:w="1416"/>
        <w:gridCol w:w="1416"/>
        <w:gridCol w:w="1430"/>
        <w:gridCol w:w="1429"/>
        <w:gridCol w:w="1419"/>
      </w:tblGrid>
      <w:tr w:rsidR="00943825" w14:paraId="2972022A" w14:textId="77777777">
        <w:trPr>
          <w:cantSplit/>
          <w:tblHeader/>
          <w:jc w:val="center"/>
        </w:trPr>
        <w:tc>
          <w:tcPr>
            <w:tcW w:w="1916" w:type="dxa"/>
            <w:tcBorders>
              <w:top w:val="single" w:sz="12" w:space="0" w:color="000000"/>
              <w:left w:val="nil"/>
              <w:bottom w:val="single" w:sz="8" w:space="0" w:color="000000"/>
              <w:right w:val="nil"/>
            </w:tcBorders>
            <w:tcMar>
              <w:top w:w="70" w:type="dxa"/>
              <w:left w:w="70" w:type="dxa"/>
              <w:bottom w:w="70" w:type="dxa"/>
              <w:right w:w="70" w:type="dxa"/>
            </w:tcMar>
          </w:tcPr>
          <w:p w14:paraId="27999046" w14:textId="77777777" w:rsidR="00943825" w:rsidRDefault="00943825" w:rsidP="00943825">
            <w:pPr>
              <w:spacing w:after="0" w:line="240" w:lineRule="auto"/>
              <w:rPr>
                <w:rFonts w:eastAsia="MS Mincho"/>
              </w:rPr>
            </w:pPr>
            <w:r>
              <w:rPr>
                <w:rFonts w:ascii="Times New Roman" w:eastAsia="Times New Roman" w:hAnsi="Times New Roman"/>
                <w:b/>
                <w:sz w:val="20"/>
                <w:szCs w:val="20"/>
              </w:rPr>
              <w:t>Variable</w:t>
            </w:r>
          </w:p>
        </w:tc>
        <w:tc>
          <w:tcPr>
            <w:tcW w:w="1416" w:type="dxa"/>
            <w:tcBorders>
              <w:top w:val="single" w:sz="12" w:space="0" w:color="000000"/>
              <w:left w:val="nil"/>
              <w:bottom w:val="single" w:sz="8" w:space="0" w:color="000000"/>
              <w:right w:val="nil"/>
            </w:tcBorders>
            <w:tcMar>
              <w:top w:w="70" w:type="dxa"/>
              <w:left w:w="70" w:type="dxa"/>
              <w:bottom w:w="70" w:type="dxa"/>
              <w:right w:w="70" w:type="dxa"/>
            </w:tcMar>
          </w:tcPr>
          <w:p w14:paraId="49409A3B" w14:textId="77777777" w:rsidR="00943825" w:rsidRDefault="00943825" w:rsidP="00943825">
            <w:pPr>
              <w:spacing w:after="0" w:line="240" w:lineRule="auto"/>
              <w:jc w:val="center"/>
              <w:rPr>
                <w:rFonts w:eastAsia="MS Mincho"/>
              </w:rPr>
            </w:pPr>
            <w:r>
              <w:rPr>
                <w:rFonts w:ascii="Times New Roman" w:eastAsia="Times New Roman" w:hAnsi="Times New Roman"/>
                <w:b/>
                <w:sz w:val="20"/>
                <w:szCs w:val="20"/>
              </w:rPr>
              <w:t>Mean</w:t>
            </w:r>
          </w:p>
        </w:tc>
        <w:tc>
          <w:tcPr>
            <w:tcW w:w="1416" w:type="dxa"/>
            <w:tcBorders>
              <w:top w:val="single" w:sz="12" w:space="0" w:color="000000"/>
              <w:left w:val="nil"/>
              <w:bottom w:val="single" w:sz="8" w:space="0" w:color="000000"/>
              <w:right w:val="nil"/>
            </w:tcBorders>
            <w:tcMar>
              <w:top w:w="70" w:type="dxa"/>
              <w:left w:w="70" w:type="dxa"/>
              <w:bottom w:w="70" w:type="dxa"/>
              <w:right w:w="70" w:type="dxa"/>
            </w:tcMar>
          </w:tcPr>
          <w:p w14:paraId="4E69AA3E" w14:textId="77777777" w:rsidR="00943825" w:rsidRDefault="00943825" w:rsidP="00943825">
            <w:pPr>
              <w:spacing w:after="0" w:line="240" w:lineRule="auto"/>
              <w:jc w:val="center"/>
              <w:rPr>
                <w:rFonts w:eastAsia="MS Mincho"/>
              </w:rPr>
            </w:pPr>
            <w:r>
              <w:rPr>
                <w:rFonts w:ascii="Times New Roman" w:eastAsia="Times New Roman" w:hAnsi="Times New Roman"/>
                <w:b/>
                <w:sz w:val="20"/>
                <w:szCs w:val="20"/>
              </w:rPr>
              <w:t>SD</w:t>
            </w:r>
          </w:p>
        </w:tc>
        <w:tc>
          <w:tcPr>
            <w:tcW w:w="1430" w:type="dxa"/>
            <w:tcBorders>
              <w:top w:val="single" w:sz="12" w:space="0" w:color="000000"/>
              <w:left w:val="nil"/>
              <w:bottom w:val="single" w:sz="8" w:space="0" w:color="000000"/>
              <w:right w:val="nil"/>
            </w:tcBorders>
            <w:tcMar>
              <w:top w:w="70" w:type="dxa"/>
              <w:left w:w="70" w:type="dxa"/>
              <w:bottom w:w="70" w:type="dxa"/>
              <w:right w:w="70" w:type="dxa"/>
            </w:tcMar>
          </w:tcPr>
          <w:p w14:paraId="46B4DA13" w14:textId="77777777" w:rsidR="00943825" w:rsidRDefault="00943825" w:rsidP="00943825">
            <w:pPr>
              <w:spacing w:after="0" w:line="240" w:lineRule="auto"/>
              <w:jc w:val="center"/>
              <w:rPr>
                <w:rFonts w:eastAsia="MS Mincho"/>
              </w:rPr>
            </w:pPr>
            <w:r>
              <w:rPr>
                <w:rFonts w:ascii="Times New Roman" w:eastAsia="Times New Roman" w:hAnsi="Times New Roman"/>
                <w:b/>
                <w:sz w:val="20"/>
                <w:szCs w:val="20"/>
              </w:rPr>
              <w:t>Min</w:t>
            </w:r>
          </w:p>
        </w:tc>
        <w:tc>
          <w:tcPr>
            <w:tcW w:w="1429" w:type="dxa"/>
            <w:tcBorders>
              <w:top w:val="single" w:sz="12" w:space="0" w:color="000000"/>
              <w:left w:val="nil"/>
              <w:bottom w:val="single" w:sz="8" w:space="0" w:color="000000"/>
              <w:right w:val="nil"/>
            </w:tcBorders>
            <w:tcMar>
              <w:top w:w="70" w:type="dxa"/>
              <w:left w:w="70" w:type="dxa"/>
              <w:bottom w:w="70" w:type="dxa"/>
              <w:right w:w="70" w:type="dxa"/>
            </w:tcMar>
          </w:tcPr>
          <w:p w14:paraId="231EE4AB" w14:textId="77777777" w:rsidR="00943825" w:rsidRDefault="00943825" w:rsidP="00943825">
            <w:pPr>
              <w:spacing w:after="0" w:line="240" w:lineRule="auto"/>
              <w:jc w:val="center"/>
              <w:rPr>
                <w:rFonts w:eastAsia="MS Mincho"/>
              </w:rPr>
            </w:pPr>
            <w:r>
              <w:rPr>
                <w:rFonts w:ascii="Times New Roman" w:eastAsia="Times New Roman" w:hAnsi="Times New Roman"/>
                <w:b/>
                <w:sz w:val="20"/>
                <w:szCs w:val="20"/>
              </w:rPr>
              <w:t>Max</w:t>
            </w:r>
          </w:p>
        </w:tc>
        <w:tc>
          <w:tcPr>
            <w:tcW w:w="1419" w:type="dxa"/>
            <w:tcBorders>
              <w:top w:val="single" w:sz="12" w:space="0" w:color="000000"/>
              <w:left w:val="nil"/>
              <w:bottom w:val="single" w:sz="8" w:space="0" w:color="000000"/>
              <w:right w:val="nil"/>
            </w:tcBorders>
            <w:tcMar>
              <w:top w:w="70" w:type="dxa"/>
              <w:left w:w="70" w:type="dxa"/>
              <w:bottom w:w="70" w:type="dxa"/>
              <w:right w:w="70" w:type="dxa"/>
            </w:tcMar>
          </w:tcPr>
          <w:p w14:paraId="73373ED2" w14:textId="77777777" w:rsidR="00943825" w:rsidRDefault="00943825" w:rsidP="00943825">
            <w:pPr>
              <w:spacing w:after="0" w:line="240" w:lineRule="auto"/>
              <w:jc w:val="center"/>
              <w:rPr>
                <w:rFonts w:eastAsia="MS Mincho"/>
              </w:rPr>
            </w:pPr>
            <w:r>
              <w:rPr>
                <w:rFonts w:ascii="Times New Roman" w:eastAsia="Times New Roman" w:hAnsi="Times New Roman"/>
                <w:b/>
                <w:sz w:val="20"/>
                <w:szCs w:val="20"/>
              </w:rPr>
              <w:t>N</w:t>
            </w:r>
          </w:p>
        </w:tc>
      </w:tr>
      <w:tr w:rsidR="00943825" w14:paraId="2A68A2F1"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15C9D31C" w14:textId="77777777" w:rsidR="00943825" w:rsidRDefault="00943825" w:rsidP="00943825">
            <w:pPr>
              <w:spacing w:after="0" w:line="240" w:lineRule="auto"/>
              <w:rPr>
                <w:rFonts w:eastAsia="MS Mincho"/>
              </w:rPr>
            </w:pPr>
            <w:r>
              <w:rPr>
                <w:rFonts w:ascii="Times New Roman" w:eastAsia="Times New Roman" w:hAnsi="Times New Roman"/>
                <w:sz w:val="20"/>
                <w:szCs w:val="20"/>
              </w:rPr>
              <w:t>High-skilled permit share</w:t>
            </w:r>
          </w:p>
        </w:tc>
        <w:tc>
          <w:tcPr>
            <w:tcW w:w="1416" w:type="dxa"/>
            <w:tcBorders>
              <w:top w:val="nil"/>
              <w:left w:val="nil"/>
              <w:bottom w:val="nil"/>
              <w:right w:val="nil"/>
            </w:tcBorders>
            <w:tcMar>
              <w:top w:w="70" w:type="dxa"/>
              <w:left w:w="70" w:type="dxa"/>
              <w:bottom w:w="70" w:type="dxa"/>
              <w:right w:w="70" w:type="dxa"/>
            </w:tcMar>
          </w:tcPr>
          <w:p w14:paraId="7AB4A871"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0.210</w:t>
            </w:r>
          </w:p>
        </w:tc>
        <w:tc>
          <w:tcPr>
            <w:tcW w:w="1416" w:type="dxa"/>
            <w:tcBorders>
              <w:top w:val="nil"/>
              <w:left w:val="nil"/>
              <w:bottom w:val="nil"/>
              <w:right w:val="nil"/>
            </w:tcBorders>
            <w:tcMar>
              <w:top w:w="70" w:type="dxa"/>
              <w:left w:w="70" w:type="dxa"/>
              <w:bottom w:w="70" w:type="dxa"/>
              <w:right w:w="70" w:type="dxa"/>
            </w:tcMar>
          </w:tcPr>
          <w:p w14:paraId="7FAEFDFE"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0.295</w:t>
            </w:r>
          </w:p>
        </w:tc>
        <w:tc>
          <w:tcPr>
            <w:tcW w:w="1430" w:type="dxa"/>
            <w:tcBorders>
              <w:top w:val="nil"/>
              <w:left w:val="nil"/>
              <w:bottom w:val="nil"/>
              <w:right w:val="nil"/>
            </w:tcBorders>
            <w:tcMar>
              <w:top w:w="70" w:type="dxa"/>
              <w:left w:w="70" w:type="dxa"/>
              <w:bottom w:w="70" w:type="dxa"/>
              <w:right w:w="70" w:type="dxa"/>
            </w:tcMar>
          </w:tcPr>
          <w:p w14:paraId="7752FEB8"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w14:paraId="4602C604"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1.000</w:t>
            </w:r>
          </w:p>
        </w:tc>
        <w:tc>
          <w:tcPr>
            <w:tcW w:w="1419" w:type="dxa"/>
            <w:tcBorders>
              <w:top w:val="nil"/>
              <w:left w:val="nil"/>
              <w:bottom w:val="nil"/>
              <w:right w:val="nil"/>
            </w:tcBorders>
            <w:tcMar>
              <w:top w:w="70" w:type="dxa"/>
              <w:left w:w="70" w:type="dxa"/>
              <w:bottom w:w="70" w:type="dxa"/>
              <w:right w:w="70" w:type="dxa"/>
            </w:tcMar>
          </w:tcPr>
          <w:p w14:paraId="737353F4"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5,608</w:t>
            </w:r>
          </w:p>
        </w:tc>
      </w:tr>
      <w:tr w:rsidR="00943825" w14:paraId="5B2D7494"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0B3FAF3A"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all-migrant-worker policy score</w:t>
            </w:r>
          </w:p>
        </w:tc>
        <w:tc>
          <w:tcPr>
            <w:tcW w:w="1416" w:type="dxa"/>
            <w:tcBorders>
              <w:top w:val="nil"/>
              <w:left w:val="nil"/>
              <w:bottom w:val="nil"/>
              <w:right w:val="nil"/>
            </w:tcBorders>
            <w:tcMar>
              <w:top w:w="70" w:type="dxa"/>
              <w:left w:w="70" w:type="dxa"/>
              <w:bottom w:w="70" w:type="dxa"/>
              <w:right w:w="70" w:type="dxa"/>
            </w:tcMar>
          </w:tcPr>
          <w:p w14:paraId="2531F5F9"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-0.859</w:t>
            </w:r>
          </w:p>
        </w:tc>
        <w:tc>
          <w:tcPr>
            <w:tcW w:w="1416" w:type="dxa"/>
            <w:tcBorders>
              <w:top w:val="nil"/>
              <w:left w:val="nil"/>
              <w:bottom w:val="nil"/>
              <w:right w:val="nil"/>
            </w:tcBorders>
            <w:tcMar>
              <w:top w:w="70" w:type="dxa"/>
              <w:left w:w="70" w:type="dxa"/>
              <w:bottom w:w="70" w:type="dxa"/>
              <w:right w:w="70" w:type="dxa"/>
            </w:tcMar>
          </w:tcPr>
          <w:p w14:paraId="08B62A40"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4.847</w:t>
            </w:r>
          </w:p>
        </w:tc>
        <w:tc>
          <w:tcPr>
            <w:tcW w:w="1430" w:type="dxa"/>
            <w:tcBorders>
              <w:top w:val="nil"/>
              <w:left w:val="nil"/>
              <w:bottom w:val="nil"/>
              <w:right w:val="nil"/>
            </w:tcBorders>
            <w:tcMar>
              <w:top w:w="70" w:type="dxa"/>
              <w:left w:w="70" w:type="dxa"/>
              <w:bottom w:w="70" w:type="dxa"/>
              <w:right w:w="70" w:type="dxa"/>
            </w:tcMar>
          </w:tcPr>
          <w:p w14:paraId="4F7F9617"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-16.000</w:t>
            </w:r>
          </w:p>
        </w:tc>
        <w:tc>
          <w:tcPr>
            <w:tcW w:w="1429" w:type="dxa"/>
            <w:tcBorders>
              <w:top w:val="nil"/>
              <w:left w:val="nil"/>
              <w:bottom w:val="nil"/>
              <w:right w:val="nil"/>
            </w:tcBorders>
            <w:tcMar>
              <w:top w:w="70" w:type="dxa"/>
              <w:left w:w="70" w:type="dxa"/>
              <w:bottom w:w="70" w:type="dxa"/>
              <w:right w:w="70" w:type="dxa"/>
            </w:tcMar>
          </w:tcPr>
          <w:p w14:paraId="6CADDD13"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8.000</w:t>
            </w:r>
          </w:p>
        </w:tc>
        <w:tc>
          <w:tcPr>
            <w:tcW w:w="1419" w:type="dxa"/>
            <w:tcBorders>
              <w:top w:val="nil"/>
              <w:left w:val="nil"/>
              <w:bottom w:val="nil"/>
              <w:right w:val="nil"/>
            </w:tcBorders>
            <w:tcMar>
              <w:top w:w="70" w:type="dxa"/>
              <w:left w:w="70" w:type="dxa"/>
              <w:bottom w:w="70" w:type="dxa"/>
              <w:right w:w="70" w:type="dxa"/>
            </w:tcMar>
          </w:tcPr>
          <w:p w14:paraId="6507113E"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5,608</w:t>
            </w:r>
          </w:p>
        </w:tc>
      </w:tr>
      <w:tr w:rsidR="00943825" w14:paraId="39ABDE43"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79DE31AC"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high-skill-targeted policy score</w:t>
            </w:r>
          </w:p>
        </w:tc>
        <w:tc>
          <w:tcPr>
            <w:tcW w:w="1416" w:type="dxa"/>
            <w:tcBorders>
              <w:top w:val="nil"/>
              <w:left w:val="nil"/>
              <w:bottom w:val="nil"/>
              <w:right w:val="nil"/>
            </w:tcBorders>
            <w:tcMar>
              <w:top w:w="70" w:type="dxa"/>
              <w:left w:w="70" w:type="dxa"/>
              <w:bottom w:w="70" w:type="dxa"/>
              <w:right w:w="70" w:type="dxa"/>
            </w:tcMar>
          </w:tcPr>
          <w:p w14:paraId="5C248081"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-9.008</w:t>
            </w:r>
          </w:p>
        </w:tc>
        <w:tc>
          <w:tcPr>
            <w:tcW w:w="1416" w:type="dxa"/>
            <w:tcBorders>
              <w:top w:val="nil"/>
              <w:left w:val="nil"/>
              <w:bottom w:val="nil"/>
              <w:right w:val="nil"/>
            </w:tcBorders>
            <w:tcMar>
              <w:top w:w="70" w:type="dxa"/>
              <w:left w:w="70" w:type="dxa"/>
              <w:bottom w:w="70" w:type="dxa"/>
              <w:right w:w="70" w:type="dxa"/>
            </w:tcMar>
          </w:tcPr>
          <w:p w14:paraId="7F62B9CA"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8.178</w:t>
            </w:r>
          </w:p>
        </w:tc>
        <w:tc>
          <w:tcPr>
            <w:tcW w:w="1430" w:type="dxa"/>
            <w:tcBorders>
              <w:top w:val="nil"/>
              <w:left w:val="nil"/>
              <w:bottom w:val="nil"/>
              <w:right w:val="nil"/>
            </w:tcBorders>
            <w:tcMar>
              <w:top w:w="70" w:type="dxa"/>
              <w:left w:w="70" w:type="dxa"/>
              <w:bottom w:w="70" w:type="dxa"/>
              <w:right w:w="70" w:type="dxa"/>
            </w:tcMar>
          </w:tcPr>
          <w:p w14:paraId="097E6DED"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-34.000</w:t>
            </w:r>
          </w:p>
        </w:tc>
        <w:tc>
          <w:tcPr>
            <w:tcW w:w="1429" w:type="dxa"/>
            <w:tcBorders>
              <w:top w:val="nil"/>
              <w:left w:val="nil"/>
              <w:bottom w:val="nil"/>
              <w:right w:val="nil"/>
            </w:tcBorders>
            <w:tcMar>
              <w:top w:w="70" w:type="dxa"/>
              <w:left w:w="70" w:type="dxa"/>
              <w:bottom w:w="70" w:type="dxa"/>
              <w:right w:w="70" w:type="dxa"/>
            </w:tcMar>
          </w:tcPr>
          <w:p w14:paraId="524BD405"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3.000</w:t>
            </w:r>
          </w:p>
        </w:tc>
        <w:tc>
          <w:tcPr>
            <w:tcW w:w="1419" w:type="dxa"/>
            <w:tcBorders>
              <w:top w:val="nil"/>
              <w:left w:val="nil"/>
              <w:bottom w:val="nil"/>
              <w:right w:val="nil"/>
            </w:tcBorders>
            <w:tcMar>
              <w:top w:w="70" w:type="dxa"/>
              <w:left w:w="70" w:type="dxa"/>
              <w:bottom w:w="70" w:type="dxa"/>
              <w:right w:w="70" w:type="dxa"/>
            </w:tcMar>
          </w:tcPr>
          <w:p w14:paraId="4211A320"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5,608</w:t>
            </w:r>
          </w:p>
        </w:tc>
      </w:tr>
      <w:tr w:rsidR="00943825" w14:paraId="720A3252"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117A8FCD"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low-skill-targeted policy score</w:t>
            </w:r>
          </w:p>
        </w:tc>
        <w:tc>
          <w:tcPr>
            <w:tcW w:w="1416" w:type="dxa"/>
            <w:tcBorders>
              <w:top w:val="nil"/>
              <w:left w:val="nil"/>
              <w:bottom w:val="nil"/>
              <w:right w:val="nil"/>
            </w:tcBorders>
            <w:tcMar>
              <w:top w:w="70" w:type="dxa"/>
              <w:left w:w="70" w:type="dxa"/>
              <w:bottom w:w="70" w:type="dxa"/>
              <w:right w:w="70" w:type="dxa"/>
            </w:tcMar>
          </w:tcPr>
          <w:p w14:paraId="25EB6EAF"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-0.045</w:t>
            </w:r>
          </w:p>
        </w:tc>
        <w:tc>
          <w:tcPr>
            <w:tcW w:w="1416" w:type="dxa"/>
            <w:tcBorders>
              <w:top w:val="nil"/>
              <w:left w:val="nil"/>
              <w:bottom w:val="nil"/>
              <w:right w:val="nil"/>
            </w:tcBorders>
            <w:tcMar>
              <w:top w:w="70" w:type="dxa"/>
              <w:left w:w="70" w:type="dxa"/>
              <w:bottom w:w="70" w:type="dxa"/>
              <w:right w:w="70" w:type="dxa"/>
            </w:tcMar>
          </w:tcPr>
          <w:p w14:paraId="540206CA"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1.582</w:t>
            </w:r>
          </w:p>
        </w:tc>
        <w:tc>
          <w:tcPr>
            <w:tcW w:w="1430" w:type="dxa"/>
            <w:tcBorders>
              <w:top w:val="nil"/>
              <w:left w:val="nil"/>
              <w:bottom w:val="nil"/>
              <w:right w:val="nil"/>
            </w:tcBorders>
            <w:tcMar>
              <w:top w:w="70" w:type="dxa"/>
              <w:left w:w="70" w:type="dxa"/>
              <w:bottom w:w="70" w:type="dxa"/>
              <w:right w:w="70" w:type="dxa"/>
            </w:tcMar>
          </w:tcPr>
          <w:p w14:paraId="6CCB5DB4"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-6.000</w:t>
            </w:r>
          </w:p>
        </w:tc>
        <w:tc>
          <w:tcPr>
            <w:tcW w:w="1429" w:type="dxa"/>
            <w:tcBorders>
              <w:top w:val="nil"/>
              <w:left w:val="nil"/>
              <w:bottom w:val="nil"/>
              <w:right w:val="nil"/>
            </w:tcBorders>
            <w:tcMar>
              <w:top w:w="70" w:type="dxa"/>
              <w:left w:w="70" w:type="dxa"/>
              <w:bottom w:w="70" w:type="dxa"/>
              <w:right w:w="70" w:type="dxa"/>
            </w:tcMar>
          </w:tcPr>
          <w:p w14:paraId="50D6B8ED"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4.000</w:t>
            </w:r>
          </w:p>
        </w:tc>
        <w:tc>
          <w:tcPr>
            <w:tcW w:w="1419" w:type="dxa"/>
            <w:tcBorders>
              <w:top w:val="nil"/>
              <w:left w:val="nil"/>
              <w:bottom w:val="nil"/>
              <w:right w:val="nil"/>
            </w:tcBorders>
            <w:tcMar>
              <w:top w:w="70" w:type="dxa"/>
              <w:left w:w="70" w:type="dxa"/>
              <w:bottom w:w="70" w:type="dxa"/>
              <w:right w:w="70" w:type="dxa"/>
            </w:tcMar>
          </w:tcPr>
          <w:p w14:paraId="58814393"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5,608</w:t>
            </w:r>
          </w:p>
        </w:tc>
      </w:tr>
      <w:tr w:rsidR="00943825" w14:paraId="07B1D27A"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0C395E6A"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bilateral permit scale</w:t>
            </w:r>
          </w:p>
        </w:tc>
        <w:tc>
          <w:tcPr>
            <w:tcW w:w="1416" w:type="dxa"/>
            <w:tcBorders>
              <w:top w:val="nil"/>
              <w:left w:val="nil"/>
              <w:bottom w:val="nil"/>
              <w:right w:val="nil"/>
            </w:tcBorders>
            <w:tcMar>
              <w:top w:w="70" w:type="dxa"/>
              <w:left w:w="70" w:type="dxa"/>
              <w:bottom w:w="70" w:type="dxa"/>
              <w:right w:w="70" w:type="dxa"/>
            </w:tcMar>
          </w:tcPr>
          <w:p w14:paraId="0FE7CE45"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4.697</w:t>
            </w:r>
          </w:p>
        </w:tc>
        <w:tc>
          <w:tcPr>
            <w:tcW w:w="1416" w:type="dxa"/>
            <w:tcBorders>
              <w:top w:val="nil"/>
              <w:left w:val="nil"/>
              <w:bottom w:val="nil"/>
              <w:right w:val="nil"/>
            </w:tcBorders>
            <w:tcMar>
              <w:top w:w="70" w:type="dxa"/>
              <w:left w:w="70" w:type="dxa"/>
              <w:bottom w:w="70" w:type="dxa"/>
              <w:right w:w="70" w:type="dxa"/>
            </w:tcMar>
          </w:tcPr>
          <w:p w14:paraId="4AE0E4AA"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1.531</w:t>
            </w:r>
          </w:p>
        </w:tc>
        <w:tc>
          <w:tcPr>
            <w:tcW w:w="1430" w:type="dxa"/>
            <w:tcBorders>
              <w:top w:val="nil"/>
              <w:left w:val="nil"/>
              <w:bottom w:val="nil"/>
              <w:right w:val="nil"/>
            </w:tcBorders>
            <w:tcMar>
              <w:top w:w="70" w:type="dxa"/>
              <w:left w:w="70" w:type="dxa"/>
              <w:bottom w:w="70" w:type="dxa"/>
              <w:right w:w="70" w:type="dxa"/>
            </w:tcMar>
          </w:tcPr>
          <w:p w14:paraId="30B11F0E"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w14:paraId="16013900"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10.603</w:t>
            </w:r>
          </w:p>
        </w:tc>
        <w:tc>
          <w:tcPr>
            <w:tcW w:w="1419" w:type="dxa"/>
            <w:tcBorders>
              <w:top w:val="nil"/>
              <w:left w:val="nil"/>
              <w:bottom w:val="nil"/>
              <w:right w:val="nil"/>
            </w:tcBorders>
            <w:tcMar>
              <w:top w:w="70" w:type="dxa"/>
              <w:left w:w="70" w:type="dxa"/>
              <w:bottom w:w="70" w:type="dxa"/>
              <w:right w:w="70" w:type="dxa"/>
            </w:tcMar>
          </w:tcPr>
          <w:p w14:paraId="47F47178"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5,608</w:t>
            </w:r>
          </w:p>
        </w:tc>
      </w:tr>
      <w:tr w:rsidR="00943825" w14:paraId="6ADD20E3"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4BE4498B"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destination log unemployment</w:t>
            </w:r>
          </w:p>
        </w:tc>
        <w:tc>
          <w:tcPr>
            <w:tcW w:w="1416" w:type="dxa"/>
            <w:tcBorders>
              <w:top w:val="nil"/>
              <w:left w:val="nil"/>
              <w:bottom w:val="nil"/>
              <w:right w:val="nil"/>
            </w:tcBorders>
            <w:tcMar>
              <w:top w:w="70" w:type="dxa"/>
              <w:left w:w="70" w:type="dxa"/>
              <w:bottom w:w="70" w:type="dxa"/>
              <w:right w:w="70" w:type="dxa"/>
            </w:tcMar>
          </w:tcPr>
          <w:p w14:paraId="0FE62E51"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2.115</w:t>
            </w:r>
          </w:p>
        </w:tc>
        <w:tc>
          <w:tcPr>
            <w:tcW w:w="1416" w:type="dxa"/>
            <w:tcBorders>
              <w:top w:val="nil"/>
              <w:left w:val="nil"/>
              <w:bottom w:val="nil"/>
              <w:right w:val="nil"/>
            </w:tcBorders>
            <w:tcMar>
              <w:top w:w="70" w:type="dxa"/>
              <w:left w:w="70" w:type="dxa"/>
              <w:bottom w:w="70" w:type="dxa"/>
              <w:right w:w="70" w:type="dxa"/>
            </w:tcMar>
          </w:tcPr>
          <w:p w14:paraId="0C8BA495"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0.510</w:t>
            </w:r>
          </w:p>
        </w:tc>
        <w:tc>
          <w:tcPr>
            <w:tcW w:w="1430" w:type="dxa"/>
            <w:tcBorders>
              <w:top w:val="nil"/>
              <w:left w:val="nil"/>
              <w:bottom w:val="nil"/>
              <w:right w:val="nil"/>
            </w:tcBorders>
            <w:tcMar>
              <w:top w:w="70" w:type="dxa"/>
              <w:left w:w="70" w:type="dxa"/>
              <w:bottom w:w="70" w:type="dxa"/>
              <w:right w:w="70" w:type="dxa"/>
            </w:tcMar>
          </w:tcPr>
          <w:p w14:paraId="6435A2B9"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0.788</w:t>
            </w:r>
          </w:p>
        </w:tc>
        <w:tc>
          <w:tcPr>
            <w:tcW w:w="1429" w:type="dxa"/>
            <w:tcBorders>
              <w:top w:val="nil"/>
              <w:left w:val="nil"/>
              <w:bottom w:val="nil"/>
              <w:right w:val="nil"/>
            </w:tcBorders>
            <w:tcMar>
              <w:top w:w="70" w:type="dxa"/>
              <w:left w:w="70" w:type="dxa"/>
              <w:bottom w:w="70" w:type="dxa"/>
              <w:right w:w="70" w:type="dxa"/>
            </w:tcMar>
          </w:tcPr>
          <w:p w14:paraId="78B06EB1"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3.325</w:t>
            </w:r>
          </w:p>
        </w:tc>
        <w:tc>
          <w:tcPr>
            <w:tcW w:w="1419" w:type="dxa"/>
            <w:tcBorders>
              <w:top w:val="nil"/>
              <w:left w:val="nil"/>
              <w:bottom w:val="nil"/>
              <w:right w:val="nil"/>
            </w:tcBorders>
            <w:tcMar>
              <w:top w:w="70" w:type="dxa"/>
              <w:left w:w="70" w:type="dxa"/>
              <w:bottom w:w="70" w:type="dxa"/>
              <w:right w:w="70" w:type="dxa"/>
            </w:tcMar>
          </w:tcPr>
          <w:p w14:paraId="23937430"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5,608</w:t>
            </w:r>
          </w:p>
        </w:tc>
      </w:tr>
      <w:tr w:rsidR="00943825" w14:paraId="166A45FF" w14:textId="77777777">
        <w:trPr>
          <w:cantSplit/>
          <w:jc w:val="center"/>
        </w:trPr>
        <w:tc>
          <w:tcPr>
            <w:tcW w:w="1916" w:type="dxa"/>
            <w:tcBorders>
              <w:top w:val="nil"/>
              <w:left w:val="nil"/>
              <w:bottom w:val="single" w:sz="12" w:space="0" w:color="000000"/>
              <w:right w:val="nil"/>
            </w:tcBorders>
            <w:tcMar>
              <w:top w:w="70" w:type="dxa"/>
              <w:left w:w="70" w:type="dxa"/>
              <w:bottom w:w="70" w:type="dxa"/>
              <w:right w:w="70" w:type="dxa"/>
            </w:tcMar>
          </w:tcPr>
          <w:p w14:paraId="4043A14C"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destination real GDP growth</w:t>
            </w:r>
          </w:p>
        </w:tc>
        <w:tc>
          <w:tcPr>
            <w:tcW w:w="1416" w:type="dxa"/>
            <w:tcBorders>
              <w:top w:val="nil"/>
              <w:left w:val="nil"/>
              <w:bottom w:val="single" w:sz="12" w:space="0" w:color="000000"/>
              <w:right w:val="nil"/>
            </w:tcBorders>
            <w:tcMar>
              <w:top w:w="70" w:type="dxa"/>
              <w:left w:w="70" w:type="dxa"/>
              <w:bottom w:w="70" w:type="dxa"/>
              <w:right w:w="70" w:type="dxa"/>
            </w:tcMar>
          </w:tcPr>
          <w:p w14:paraId="7D8FAB9C"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1.610</w:t>
            </w:r>
          </w:p>
        </w:tc>
        <w:tc>
          <w:tcPr>
            <w:tcW w:w="1416" w:type="dxa"/>
            <w:tcBorders>
              <w:top w:val="nil"/>
              <w:left w:val="nil"/>
              <w:bottom w:val="single" w:sz="12" w:space="0" w:color="000000"/>
              <w:right w:val="nil"/>
            </w:tcBorders>
            <w:tcMar>
              <w:top w:w="70" w:type="dxa"/>
              <w:left w:w="70" w:type="dxa"/>
              <w:bottom w:w="70" w:type="dxa"/>
              <w:right w:w="70" w:type="dxa"/>
            </w:tcMar>
          </w:tcPr>
          <w:p w14:paraId="0BB7790F"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3.204</w:t>
            </w:r>
          </w:p>
        </w:tc>
        <w:tc>
          <w:tcPr>
            <w:tcW w:w="1430" w:type="dxa"/>
            <w:tcBorders>
              <w:top w:val="nil"/>
              <w:left w:val="nil"/>
              <w:bottom w:val="single" w:sz="12" w:space="0" w:color="000000"/>
              <w:right w:val="nil"/>
            </w:tcBorders>
            <w:tcMar>
              <w:top w:w="70" w:type="dxa"/>
              <w:left w:w="70" w:type="dxa"/>
              <w:bottom w:w="70" w:type="dxa"/>
              <w:right w:w="70" w:type="dxa"/>
            </w:tcMar>
          </w:tcPr>
          <w:p w14:paraId="18ABF1D1"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-16.000</w:t>
            </w:r>
          </w:p>
        </w:tc>
        <w:tc>
          <w:tcPr>
            <w:tcW w:w="1429" w:type="dxa"/>
            <w:tcBorders>
              <w:top w:val="nil"/>
              <w:left w:val="nil"/>
              <w:bottom w:val="single" w:sz="12" w:space="0" w:color="000000"/>
              <w:right w:val="nil"/>
            </w:tcBorders>
            <w:tcMar>
              <w:top w:w="70" w:type="dxa"/>
              <w:left w:w="70" w:type="dxa"/>
              <w:bottom w:w="70" w:type="dxa"/>
              <w:right w:w="70" w:type="dxa"/>
            </w:tcMar>
          </w:tcPr>
          <w:p w14:paraId="1768AFB4"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24.600</w:t>
            </w:r>
          </w:p>
        </w:tc>
        <w:tc>
          <w:tcPr>
            <w:tcW w:w="1419" w:type="dxa"/>
            <w:tcBorders>
              <w:top w:val="nil"/>
              <w:left w:val="nil"/>
              <w:bottom w:val="single" w:sz="12" w:space="0" w:color="000000"/>
              <w:right w:val="nil"/>
            </w:tcBorders>
            <w:tcMar>
              <w:top w:w="70" w:type="dxa"/>
              <w:left w:w="70" w:type="dxa"/>
              <w:bottom w:w="70" w:type="dxa"/>
              <w:right w:w="70" w:type="dxa"/>
            </w:tcMar>
          </w:tcPr>
          <w:p w14:paraId="26293886" w14:textId="77777777" w:rsidR="00943825" w:rsidRDefault="00943825" w:rsidP="00943825">
            <w:pPr>
              <w:spacing w:after="0" w:line="240" w:lineRule="auto"/>
              <w:jc w:val="center"/>
              <w:rPr>
                <w:rFonts w:eastAsia="MS Mincho"/>
              </w:rPr>
            </w:pPr>
            <w:r>
              <w:rPr>
                <w:rFonts w:ascii="Times New Roman" w:eastAsia="Times New Roman" w:hAnsi="Times New Roman"/>
                <w:sz w:val="20"/>
                <w:szCs w:val="20"/>
              </w:rPr>
              <w:t>5,608</w:t>
            </w:r>
          </w:p>
        </w:tc>
      </w:tr>
    </w:tbl>
    <w:p w14:paraId="060C0EE6" w14:textId="77777777" w:rsidR="00E46317" w:rsidRDefault="00E46317" w:rsidP="00B201DE">
      <w:pPr>
        <w:spacing w:before="160"/>
      </w:pPr>
      <w:r>
        <w:t>Table 5 describes the aggregate and bilateral samples. The bilateral panel is larger because it retains origin-destination corridors. Mean HSRate is 17.5% in the aggregate sample and 21.0% bilaterally; the mean policy score is slightly negative in both. These statistics are descriptive. N denotes observations and G destination clusters.</w:t>
      </w:r>
    </w:p>
    <w:p w14:paraId="17A43711" w14:textId="77777777" w:rsidR="00961C7F" w:rsidRDefault="008A042F">
      <w:pPr>
        <w:jc w:val="center"/>
      </w:pPr>
      <w:r>
        <w:rPr>
          <w:noProof/>
        </w:rPr>
        <w:lastRenderedPageBreak/>
        <w:drawing>
          <wp:inline distT="0" distB="0" distL="0" distR="0" wp14:anchorId="5B0B7F19" wp14:editId="6317C19D">
            <wp:extent cx="5577840" cy="5916092"/>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577840" cy="5916092"/>
                    </a:xfrm>
                    <a:prstGeom prst="rect">
                      <a:avLst/>
                    </a:prstGeom>
                    <a:noFill/>
                  </pic:spPr>
                </pic:pic>
              </a:graphicData>
            </a:graphic>
          </wp:inline>
        </w:drawing>
      </w:r>
    </w:p>
    <w:p w14:paraId="11E152C8" w14:textId="77777777" w:rsidR="008F026E" w:rsidRDefault="008F026E">
      <w:pPr>
        <w:jc w:val="center"/>
        <w:rPr>
          <w:sz w:val="18"/>
          <w:szCs w:val="18"/>
        </w:rPr>
      </w:pPr>
      <w:r>
        <w:rPr>
          <w:sz w:val="18"/>
          <w:szCs w:val="18"/>
        </w:rPr>
        <w:t>Graph 1. Descriptive relationship between cumulative net policy-change score and HSRate, 2008-2019. Graph 1A shows each destination's first-to-last endpoint change within the window; seven series lack one or both exact boundary years. The affected destinations are Belgium, Croatia, Iceland, Luxembourg, the Netherlands, Switzerland, and the United Kingdom. Graph 1B reports cumulative policy paths for the nine largest destinations by total Non-EU employment permits, with the United Kingdom marked separately because of Brexit. France and the United Kingdom both equal 0 from 2008 through 2013; contrasting line types and markers make their exact overlap visible. Graph 1A covers 31 descriptive series; the controlled regressions retain 30 destination clusters after the complete-case filter.</w:t>
      </w:r>
    </w:p>
    <w:p w14:paraId="0C3180B3" w14:textId="77777777" w:rsidR="00961C7F" w:rsidRDefault="008A042F" w:rsidP="001B5A82">
      <w:pPr>
        <w:jc w:val="both"/>
      </w:pPr>
      <w:r>
        <w:t>Graph 1 is descriptive: its endpoint slope is insignificant, with HSRate rising in 22 destinations, unchanged in three, and falling in six. Twenty of 31 policy paths move toward net liberalization, and about 62% of retained events are less restrictive. Because denominators and endpoint windows differ, the fixed-effects models provide the formal test.</w:t>
      </w:r>
    </w:p>
    <w:p w14:paraId="622315C9" w14:textId="77777777" w:rsidR="00961C7F" w:rsidRDefault="008A042F">
      <w:pPr>
        <w:pStyle w:val="Heading1"/>
      </w:pPr>
      <w:r>
        <w:lastRenderedPageBreak/>
        <w:t>7. Results</w:t>
      </w:r>
    </w:p>
    <w:p w14:paraId="7707BA26" w14:textId="77777777" w:rsidR="00961C7F" w:rsidRDefault="008A042F">
      <w:pPr>
        <w:pStyle w:val="Heading2"/>
      </w:pPr>
      <w:r>
        <w:t>7.1 Aggregate country-year results</w:t>
      </w:r>
    </w:p>
    <w:p w14:paraId="7E7D46DA" w14:textId="77777777" w:rsidR="008F026E" w:rsidRDefault="00081F09">
      <w:pPr>
        <w:jc w:val="both"/>
      </w:pPr>
      <w:r>
        <w:t>The aggregate destination-year models are shown first as a benchmark because they collapse all Non-EU origins into one destination-year observation and therefore cannot absorb origin-specific shocks. In these benchmark models, policy restrictiveness is not significantly associated with the high-skilled share; the insignificant aggregate estimates may reflect missing origin-side variation or the smaller and less precise aggregate sample, but they should not be read as proof either way.</w:t>
      </w:r>
    </w:p>
    <w:p w14:paraId="27140D90" w14:textId="77777777" w:rsidR="008F026E" w:rsidRDefault="00A36F18">
      <w:pPr>
        <w:jc w:val="both"/>
      </w:pPr>
      <w:r>
        <w:t>In the full aggregate model, the all-migrant-worker cumulative coefficient is β = 0.002296 with cluster-robust SE = 0.001925 (t = 1.19, p = 0.243, N = 280, G = 30). The annual policy-flow estimate (β = 0.000796, SE = 0.002334, p = 0.736) and the aggregate log high-skilled-count outcome (β = 0.022422, SE = 0.027276, p = 0.418) are also insignificant. The aggregate evidence therefore provides no support for a composition or count association; the main test is the bilateral specification in Section 7.2.</w:t>
      </w:r>
    </w:p>
    <w:p w14:paraId="4759043C" w14:textId="77777777" w:rsidR="008F026E" w:rsidRDefault="00A36F18">
      <w:pPr>
        <w:jc w:val="both"/>
      </w:pPr>
      <w:r>
        <w:t>Table 6 introduces the aggregate controls progressively. The first column includes only destination and year fixed effects; each subsequent column adds one block, the high-skilled and low-skilled policy controls, then PermitScale, then lagged destination unemployment and GDP growth. The fourth column is the full aggregate HSRate specification represented by Equation (1). The fifth column uses the same full controls with log(1 + HSNumber) as an aggregate count comparison. The final column reports Equation (2), the aggregate annual policy-flow model. These progressive columns show how the coefficient shifts as controls are introduced; they are not alternatives to the preferred bilateral model.</w:t>
      </w:r>
    </w:p>
    <w:p w14:paraId="3D04511B" w14:textId="77777777" w:rsidR="00961C7F" w:rsidRPr="0038122C" w:rsidRDefault="008A042F">
      <w:pPr>
        <w:keepNext/>
        <w:jc w:val="center"/>
      </w:pPr>
      <w:r>
        <w:rPr>
          <w:b/>
          <w:i/>
        </w:rPr>
        <w:t>Table 6. Aggregate country-year regression results. Outcome: high-skilled share, except the log-count column (log high-skilled permit count).</w:t>
      </w:r>
    </w:p>
    <w:tbl>
      <w:tblPr>
        <w:tblW w:w="0" w:type="auto"/>
        <w:jc w:val="center"/>
        <w:tblLayout w:type="fixed"/>
        <w:tblLook w:val="04A0" w:firstRow="1" w:lastRow="0" w:firstColumn="1" w:lastColumn="0" w:noHBand="0" w:noVBand="1"/>
      </w:tblPr>
      <w:tblGrid>
        <w:gridCol w:w="3528"/>
        <w:gridCol w:w="907"/>
        <w:gridCol w:w="907"/>
        <w:gridCol w:w="907"/>
        <w:gridCol w:w="907"/>
        <w:gridCol w:w="1080"/>
        <w:gridCol w:w="1123"/>
      </w:tblGrid>
      <w:tr w:rsidR="00C70AE2" w14:paraId="6F5C1C6A" w14:textId="77777777">
        <w:trPr>
          <w:cantSplit/>
          <w:tblHeader/>
          <w:jc w:val="center"/>
        </w:trPr>
        <w:tc>
          <w:tcPr>
            <w:tcW w:w="3528" w:type="dxa"/>
            <w:tcBorders>
              <w:top w:val="single" w:sz="10" w:space="0" w:color="000000"/>
              <w:left w:val="nil"/>
              <w:bottom w:val="single" w:sz="8" w:space="0" w:color="000000"/>
              <w:right w:val="nil"/>
            </w:tcBorders>
            <w:shd w:val="clear" w:color="auto" w:fill="EDEDED"/>
            <w:vAlign w:val="center"/>
          </w:tcPr>
          <w:p w14:paraId="69A85472" w14:textId="77777777" w:rsidR="00C70AE2" w:rsidRDefault="00C70AE2">
            <w:pPr>
              <w:spacing w:after="0" w:line="240" w:lineRule="auto"/>
            </w:pPr>
          </w:p>
        </w:tc>
        <w:tc>
          <w:tcPr>
            <w:tcW w:w="907" w:type="dxa"/>
            <w:tcBorders>
              <w:top w:val="single" w:sz="10" w:space="0" w:color="000000"/>
              <w:left w:val="nil"/>
              <w:bottom w:val="single" w:sz="8" w:space="0" w:color="000000"/>
              <w:right w:val="nil"/>
            </w:tcBorders>
            <w:shd w:val="clear" w:color="auto" w:fill="EDEDED"/>
            <w:vAlign w:val="center"/>
          </w:tcPr>
          <w:p w14:paraId="79BC78DF" w14:textId="77777777" w:rsidR="00C70AE2" w:rsidRDefault="00A36F18">
            <w:pPr>
              <w:spacing w:after="0" w:line="240" w:lineRule="auto"/>
              <w:jc w:val="center"/>
            </w:pPr>
            <w:r>
              <w:rPr>
                <w:rFonts w:ascii="Times New Roman" w:hAnsi="Times New Roman"/>
                <w:b/>
                <w:sz w:val="15"/>
              </w:rPr>
              <w:t>FE only</w:t>
            </w:r>
          </w:p>
        </w:tc>
        <w:tc>
          <w:tcPr>
            <w:tcW w:w="907" w:type="dxa"/>
            <w:tcBorders>
              <w:top w:val="single" w:sz="10" w:space="0" w:color="000000"/>
              <w:left w:val="nil"/>
              <w:bottom w:val="single" w:sz="8" w:space="0" w:color="000000"/>
              <w:right w:val="nil"/>
            </w:tcBorders>
            <w:shd w:val="clear" w:color="auto" w:fill="EDEDED"/>
            <w:vAlign w:val="center"/>
          </w:tcPr>
          <w:p w14:paraId="4E75EC96" w14:textId="77777777" w:rsidR="00C70AE2" w:rsidRDefault="00A36F18">
            <w:pPr>
              <w:spacing w:after="0" w:line="240" w:lineRule="auto"/>
              <w:jc w:val="center"/>
            </w:pPr>
            <w:r>
              <w:rPr>
                <w:rFonts w:ascii="Times New Roman" w:hAnsi="Times New Roman"/>
                <w:b/>
                <w:sz w:val="15"/>
              </w:rPr>
              <w:t>+ Skill controls</w:t>
            </w:r>
          </w:p>
        </w:tc>
        <w:tc>
          <w:tcPr>
            <w:tcW w:w="907" w:type="dxa"/>
            <w:tcBorders>
              <w:top w:val="single" w:sz="10" w:space="0" w:color="000000"/>
              <w:left w:val="nil"/>
              <w:bottom w:val="single" w:sz="8" w:space="0" w:color="000000"/>
              <w:right w:val="nil"/>
            </w:tcBorders>
            <w:shd w:val="clear" w:color="auto" w:fill="EDEDED"/>
            <w:vAlign w:val="center"/>
          </w:tcPr>
          <w:p w14:paraId="1D020DC9" w14:textId="77777777" w:rsidR="00C70AE2" w:rsidRDefault="00A36F18">
            <w:pPr>
              <w:spacing w:after="0" w:line="240" w:lineRule="auto"/>
              <w:jc w:val="center"/>
            </w:pPr>
            <w:r>
              <w:rPr>
                <w:rFonts w:ascii="Times New Roman" w:hAnsi="Times New Roman"/>
                <w:b/>
                <w:sz w:val="15"/>
              </w:rPr>
              <w:t>+ PermitScale</w:t>
            </w:r>
          </w:p>
        </w:tc>
        <w:tc>
          <w:tcPr>
            <w:tcW w:w="907" w:type="dxa"/>
            <w:tcBorders>
              <w:top w:val="single" w:sz="10" w:space="0" w:color="000000"/>
              <w:left w:val="nil"/>
              <w:bottom w:val="single" w:sz="8" w:space="0" w:color="000000"/>
              <w:right w:val="nil"/>
            </w:tcBorders>
            <w:shd w:val="clear" w:color="auto" w:fill="EDEDED"/>
            <w:vAlign w:val="center"/>
          </w:tcPr>
          <w:p w14:paraId="72D7A2F2" w14:textId="77777777" w:rsidR="00C70AE2" w:rsidRDefault="00A36F18">
            <w:pPr>
              <w:spacing w:after="0" w:line="240" w:lineRule="auto"/>
              <w:jc w:val="center"/>
            </w:pPr>
            <w:r>
              <w:rPr>
                <w:rFonts w:ascii="Times New Roman" w:hAnsi="Times New Roman"/>
                <w:b/>
                <w:sz w:val="15"/>
              </w:rPr>
              <w:t>Full aggregate (Eq. 1)</w:t>
            </w:r>
          </w:p>
        </w:tc>
        <w:tc>
          <w:tcPr>
            <w:tcW w:w="1080" w:type="dxa"/>
            <w:tcBorders>
              <w:top w:val="single" w:sz="10" w:space="0" w:color="000000"/>
              <w:left w:val="nil"/>
              <w:bottom w:val="single" w:sz="8" w:space="0" w:color="000000"/>
              <w:right w:val="nil"/>
            </w:tcBorders>
            <w:shd w:val="clear" w:color="auto" w:fill="EDEDED"/>
            <w:vAlign w:val="center"/>
          </w:tcPr>
          <w:p w14:paraId="55931054" w14:textId="77777777" w:rsidR="00C70AE2" w:rsidRDefault="00A36F18">
            <w:pPr>
              <w:spacing w:after="0" w:line="240" w:lineRule="auto"/>
              <w:jc w:val="center"/>
            </w:pPr>
            <w:r>
              <w:rPr>
                <w:rFonts w:ascii="Times New Roman" w:hAnsi="Times New Roman"/>
                <w:b/>
                <w:sz w:val="15"/>
              </w:rPr>
              <w:t>Full, log count</w:t>
            </w:r>
          </w:p>
        </w:tc>
        <w:tc>
          <w:tcPr>
            <w:tcW w:w="1123" w:type="dxa"/>
            <w:tcBorders>
              <w:top w:val="single" w:sz="10" w:space="0" w:color="000000"/>
              <w:left w:val="nil"/>
              <w:bottom w:val="single" w:sz="8" w:space="0" w:color="000000"/>
              <w:right w:val="nil"/>
            </w:tcBorders>
            <w:shd w:val="clear" w:color="auto" w:fill="EDEDED"/>
            <w:vAlign w:val="center"/>
          </w:tcPr>
          <w:p w14:paraId="05E64E72" w14:textId="77777777" w:rsidR="00C70AE2" w:rsidRDefault="00A36F18">
            <w:pPr>
              <w:spacing w:after="0" w:line="240" w:lineRule="auto"/>
              <w:jc w:val="center"/>
            </w:pPr>
            <w:r>
              <w:rPr>
                <w:rFonts w:ascii="Times New Roman" w:hAnsi="Times New Roman"/>
                <w:b/>
                <w:sz w:val="15"/>
              </w:rPr>
              <w:t>Annual flow</w:t>
            </w:r>
          </w:p>
        </w:tc>
      </w:tr>
      <w:tr w:rsidR="00C70AE2" w14:paraId="6169B2A4" w14:textId="77777777">
        <w:trPr>
          <w:cantSplit/>
          <w:jc w:val="center"/>
        </w:trPr>
        <w:tc>
          <w:tcPr>
            <w:tcW w:w="3528" w:type="dxa"/>
            <w:tcBorders>
              <w:top w:val="nil"/>
              <w:left w:val="nil"/>
              <w:bottom w:val="nil"/>
              <w:right w:val="nil"/>
            </w:tcBorders>
            <w:shd w:val="clear" w:color="auto" w:fill="F5F5F5"/>
            <w:vAlign w:val="center"/>
          </w:tcPr>
          <w:p w14:paraId="3BBB06C5" w14:textId="77777777" w:rsidR="00C70AE2" w:rsidRDefault="00A36F18">
            <w:pPr>
              <w:spacing w:after="0" w:line="240" w:lineRule="auto"/>
            </w:pPr>
            <w:r>
              <w:rPr>
                <w:rFonts w:ascii="Times New Roman" w:hAnsi="Times New Roman"/>
                <w:i/>
                <w:sz w:val="15"/>
              </w:rPr>
              <w:t>Policy coefficient</w:t>
            </w:r>
          </w:p>
        </w:tc>
        <w:tc>
          <w:tcPr>
            <w:tcW w:w="907" w:type="dxa"/>
            <w:tcBorders>
              <w:top w:val="nil"/>
              <w:left w:val="nil"/>
              <w:bottom w:val="nil"/>
              <w:right w:val="nil"/>
            </w:tcBorders>
            <w:shd w:val="clear" w:color="auto" w:fill="F5F5F5"/>
            <w:vAlign w:val="center"/>
          </w:tcPr>
          <w:p w14:paraId="10FF7B93"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34347F3C"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5D01E98D"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2D69AE60"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4A535EC8"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7B680A8D" w14:textId="77777777" w:rsidR="00C70AE2" w:rsidRDefault="00C70AE2">
            <w:pPr>
              <w:spacing w:after="0" w:line="240" w:lineRule="auto"/>
              <w:jc w:val="center"/>
            </w:pPr>
          </w:p>
        </w:tc>
      </w:tr>
      <w:tr w:rsidR="00C70AE2" w14:paraId="0C1E3E30" w14:textId="77777777">
        <w:trPr>
          <w:cantSplit/>
          <w:jc w:val="center"/>
        </w:trPr>
        <w:tc>
          <w:tcPr>
            <w:tcW w:w="3528" w:type="dxa"/>
            <w:tcBorders>
              <w:top w:val="nil"/>
              <w:left w:val="nil"/>
              <w:bottom w:val="nil"/>
              <w:right w:val="nil"/>
            </w:tcBorders>
            <w:vAlign w:val="center"/>
          </w:tcPr>
          <w:p w14:paraId="2EF71B51" w14:textId="77777777" w:rsidR="00C70AE2" w:rsidRDefault="00A36F18">
            <w:pPr>
              <w:spacing w:after="0" w:line="240" w:lineRule="auto"/>
            </w:pPr>
            <w:r>
              <w:rPr>
                <w:rFonts w:ascii="Times New Roman" w:hAnsi="Times New Roman"/>
                <w:sz w:val="15"/>
              </w:rPr>
              <w:t>Lagged all-migrant-worker policy score</w:t>
            </w:r>
          </w:p>
        </w:tc>
        <w:tc>
          <w:tcPr>
            <w:tcW w:w="907" w:type="dxa"/>
            <w:tcBorders>
              <w:top w:val="nil"/>
              <w:left w:val="nil"/>
              <w:bottom w:val="nil"/>
              <w:right w:val="nil"/>
            </w:tcBorders>
            <w:vAlign w:val="center"/>
          </w:tcPr>
          <w:p w14:paraId="58DFAED1" w14:textId="77777777" w:rsidR="00C70AE2" w:rsidRDefault="00A36F18">
            <w:pPr>
              <w:spacing w:after="0" w:line="240" w:lineRule="auto"/>
              <w:jc w:val="center"/>
            </w:pPr>
            <w:r>
              <w:rPr>
                <w:rFonts w:ascii="Times New Roman" w:hAnsi="Times New Roman"/>
                <w:sz w:val="15"/>
              </w:rPr>
              <w:t>-0.000163</w:t>
            </w:r>
          </w:p>
        </w:tc>
        <w:tc>
          <w:tcPr>
            <w:tcW w:w="907" w:type="dxa"/>
            <w:tcBorders>
              <w:top w:val="nil"/>
              <w:left w:val="nil"/>
              <w:bottom w:val="nil"/>
              <w:right w:val="nil"/>
            </w:tcBorders>
            <w:vAlign w:val="center"/>
          </w:tcPr>
          <w:p w14:paraId="18427134" w14:textId="77777777" w:rsidR="00C70AE2" w:rsidRDefault="00A36F18">
            <w:pPr>
              <w:spacing w:after="0" w:line="240" w:lineRule="auto"/>
              <w:jc w:val="center"/>
            </w:pPr>
            <w:r>
              <w:rPr>
                <w:rFonts w:ascii="Times New Roman" w:hAnsi="Times New Roman"/>
                <w:sz w:val="15"/>
              </w:rPr>
              <w:t>0.000748</w:t>
            </w:r>
          </w:p>
        </w:tc>
        <w:tc>
          <w:tcPr>
            <w:tcW w:w="907" w:type="dxa"/>
            <w:tcBorders>
              <w:top w:val="nil"/>
              <w:left w:val="nil"/>
              <w:bottom w:val="nil"/>
              <w:right w:val="nil"/>
            </w:tcBorders>
            <w:vAlign w:val="center"/>
          </w:tcPr>
          <w:p w14:paraId="47FD933C" w14:textId="77777777" w:rsidR="00C70AE2" w:rsidRDefault="00A36F18">
            <w:pPr>
              <w:spacing w:after="0" w:line="240" w:lineRule="auto"/>
              <w:jc w:val="center"/>
            </w:pPr>
            <w:r>
              <w:rPr>
                <w:rFonts w:ascii="Times New Roman" w:hAnsi="Times New Roman"/>
                <w:sz w:val="15"/>
              </w:rPr>
              <w:t>0.002102</w:t>
            </w:r>
          </w:p>
        </w:tc>
        <w:tc>
          <w:tcPr>
            <w:tcW w:w="907" w:type="dxa"/>
            <w:tcBorders>
              <w:top w:val="nil"/>
              <w:left w:val="nil"/>
              <w:bottom w:val="nil"/>
              <w:right w:val="nil"/>
            </w:tcBorders>
            <w:vAlign w:val="center"/>
          </w:tcPr>
          <w:p w14:paraId="6606393D" w14:textId="77777777" w:rsidR="00C70AE2" w:rsidRDefault="00A36F18">
            <w:pPr>
              <w:spacing w:after="0" w:line="240" w:lineRule="auto"/>
              <w:jc w:val="center"/>
            </w:pPr>
            <w:r>
              <w:rPr>
                <w:rFonts w:ascii="Times New Roman" w:hAnsi="Times New Roman"/>
                <w:sz w:val="15"/>
              </w:rPr>
              <w:t>0.002296</w:t>
            </w:r>
          </w:p>
        </w:tc>
        <w:tc>
          <w:tcPr>
            <w:tcW w:w="1080" w:type="dxa"/>
            <w:tcBorders>
              <w:top w:val="nil"/>
              <w:left w:val="nil"/>
              <w:bottom w:val="nil"/>
              <w:right w:val="nil"/>
            </w:tcBorders>
            <w:vAlign w:val="center"/>
          </w:tcPr>
          <w:p w14:paraId="17CECE33" w14:textId="77777777" w:rsidR="00C70AE2" w:rsidRDefault="00A36F18">
            <w:pPr>
              <w:spacing w:after="0" w:line="240" w:lineRule="auto"/>
              <w:jc w:val="center"/>
            </w:pPr>
            <w:r>
              <w:rPr>
                <w:rFonts w:ascii="Times New Roman" w:hAnsi="Times New Roman"/>
                <w:sz w:val="15"/>
              </w:rPr>
              <w:t>0.022422</w:t>
            </w:r>
          </w:p>
        </w:tc>
        <w:tc>
          <w:tcPr>
            <w:tcW w:w="1123" w:type="dxa"/>
            <w:tcBorders>
              <w:top w:val="nil"/>
              <w:left w:val="nil"/>
              <w:bottom w:val="nil"/>
              <w:right w:val="nil"/>
            </w:tcBorders>
            <w:vAlign w:val="center"/>
          </w:tcPr>
          <w:p w14:paraId="73C949B9" w14:textId="77777777" w:rsidR="00C70AE2" w:rsidRDefault="00A36F18">
            <w:pPr>
              <w:spacing w:after="0" w:line="240" w:lineRule="auto"/>
              <w:jc w:val="center"/>
            </w:pPr>
            <w:r>
              <w:rPr>
                <w:rFonts w:ascii="Times New Roman" w:hAnsi="Times New Roman"/>
                <w:sz w:val="15"/>
              </w:rPr>
              <w:t>0.000796</w:t>
            </w:r>
          </w:p>
        </w:tc>
      </w:tr>
      <w:tr w:rsidR="00C70AE2" w14:paraId="22FF914A" w14:textId="77777777">
        <w:trPr>
          <w:cantSplit/>
          <w:jc w:val="center"/>
        </w:trPr>
        <w:tc>
          <w:tcPr>
            <w:tcW w:w="3528" w:type="dxa"/>
            <w:tcBorders>
              <w:top w:val="nil"/>
              <w:left w:val="nil"/>
              <w:bottom w:val="nil"/>
              <w:right w:val="nil"/>
            </w:tcBorders>
            <w:vAlign w:val="center"/>
          </w:tcPr>
          <w:p w14:paraId="7F447433" w14:textId="77777777" w:rsidR="00C70AE2" w:rsidRDefault="00A36F18">
            <w:pPr>
              <w:spacing w:after="0" w:line="240" w:lineRule="auto"/>
            </w:pPr>
            <w:r>
              <w:rPr>
                <w:rFonts w:ascii="Times New Roman" w:hAnsi="Times New Roman"/>
                <w:sz w:val="15"/>
              </w:rPr>
              <w:t>Cluster-robust SE</w:t>
            </w:r>
          </w:p>
        </w:tc>
        <w:tc>
          <w:tcPr>
            <w:tcW w:w="907" w:type="dxa"/>
            <w:tcBorders>
              <w:top w:val="nil"/>
              <w:left w:val="nil"/>
              <w:bottom w:val="nil"/>
              <w:right w:val="nil"/>
            </w:tcBorders>
            <w:vAlign w:val="center"/>
          </w:tcPr>
          <w:p w14:paraId="002AD4A6" w14:textId="77777777" w:rsidR="00C70AE2" w:rsidRDefault="00A36F18">
            <w:pPr>
              <w:spacing w:after="0" w:line="240" w:lineRule="auto"/>
              <w:jc w:val="center"/>
            </w:pPr>
            <w:r>
              <w:rPr>
                <w:rFonts w:ascii="Times New Roman" w:hAnsi="Times New Roman"/>
                <w:sz w:val="15"/>
              </w:rPr>
              <w:t>(0.002118)</w:t>
            </w:r>
          </w:p>
        </w:tc>
        <w:tc>
          <w:tcPr>
            <w:tcW w:w="907" w:type="dxa"/>
            <w:tcBorders>
              <w:top w:val="nil"/>
              <w:left w:val="nil"/>
              <w:bottom w:val="nil"/>
              <w:right w:val="nil"/>
            </w:tcBorders>
            <w:vAlign w:val="center"/>
          </w:tcPr>
          <w:p w14:paraId="062C8B0C" w14:textId="77777777" w:rsidR="00C70AE2" w:rsidRDefault="00A36F18">
            <w:pPr>
              <w:spacing w:after="0" w:line="240" w:lineRule="auto"/>
              <w:jc w:val="center"/>
            </w:pPr>
            <w:r>
              <w:rPr>
                <w:rFonts w:ascii="Times New Roman" w:hAnsi="Times New Roman"/>
                <w:sz w:val="15"/>
              </w:rPr>
              <w:t>(0.001890)</w:t>
            </w:r>
          </w:p>
        </w:tc>
        <w:tc>
          <w:tcPr>
            <w:tcW w:w="907" w:type="dxa"/>
            <w:tcBorders>
              <w:top w:val="nil"/>
              <w:left w:val="nil"/>
              <w:bottom w:val="nil"/>
              <w:right w:val="nil"/>
            </w:tcBorders>
            <w:vAlign w:val="center"/>
          </w:tcPr>
          <w:p w14:paraId="75DEFB50" w14:textId="77777777" w:rsidR="00C70AE2" w:rsidRDefault="00A36F18">
            <w:pPr>
              <w:spacing w:after="0" w:line="240" w:lineRule="auto"/>
              <w:jc w:val="center"/>
            </w:pPr>
            <w:r>
              <w:rPr>
                <w:rFonts w:ascii="Times New Roman" w:hAnsi="Times New Roman"/>
                <w:sz w:val="15"/>
              </w:rPr>
              <w:t>(0.001791)</w:t>
            </w:r>
          </w:p>
        </w:tc>
        <w:tc>
          <w:tcPr>
            <w:tcW w:w="907" w:type="dxa"/>
            <w:tcBorders>
              <w:top w:val="nil"/>
              <w:left w:val="nil"/>
              <w:bottom w:val="nil"/>
              <w:right w:val="nil"/>
            </w:tcBorders>
            <w:vAlign w:val="center"/>
          </w:tcPr>
          <w:p w14:paraId="065C1DDE" w14:textId="77777777" w:rsidR="00C70AE2" w:rsidRDefault="00A36F18">
            <w:pPr>
              <w:spacing w:after="0" w:line="240" w:lineRule="auto"/>
              <w:jc w:val="center"/>
            </w:pPr>
            <w:r>
              <w:rPr>
                <w:rFonts w:ascii="Times New Roman" w:hAnsi="Times New Roman"/>
                <w:sz w:val="15"/>
              </w:rPr>
              <w:t>(0.001925)</w:t>
            </w:r>
          </w:p>
        </w:tc>
        <w:tc>
          <w:tcPr>
            <w:tcW w:w="1080" w:type="dxa"/>
            <w:tcBorders>
              <w:top w:val="nil"/>
              <w:left w:val="nil"/>
              <w:bottom w:val="nil"/>
              <w:right w:val="nil"/>
            </w:tcBorders>
            <w:vAlign w:val="center"/>
          </w:tcPr>
          <w:p w14:paraId="16F28D44" w14:textId="77777777" w:rsidR="00C70AE2" w:rsidRDefault="00A36F18">
            <w:pPr>
              <w:spacing w:after="0" w:line="240" w:lineRule="auto"/>
              <w:jc w:val="center"/>
            </w:pPr>
            <w:r>
              <w:rPr>
                <w:rFonts w:ascii="Times New Roman" w:hAnsi="Times New Roman"/>
                <w:sz w:val="15"/>
              </w:rPr>
              <w:t>(0.027276)</w:t>
            </w:r>
          </w:p>
        </w:tc>
        <w:tc>
          <w:tcPr>
            <w:tcW w:w="1123" w:type="dxa"/>
            <w:tcBorders>
              <w:top w:val="nil"/>
              <w:left w:val="nil"/>
              <w:bottom w:val="nil"/>
              <w:right w:val="nil"/>
            </w:tcBorders>
            <w:vAlign w:val="center"/>
          </w:tcPr>
          <w:p w14:paraId="72222558" w14:textId="77777777" w:rsidR="00C70AE2" w:rsidRDefault="00A36F18">
            <w:pPr>
              <w:spacing w:after="0" w:line="240" w:lineRule="auto"/>
              <w:jc w:val="center"/>
            </w:pPr>
            <w:r>
              <w:rPr>
                <w:rFonts w:ascii="Times New Roman" w:hAnsi="Times New Roman"/>
                <w:sz w:val="15"/>
              </w:rPr>
              <w:t>(0.002334)</w:t>
            </w:r>
          </w:p>
        </w:tc>
      </w:tr>
      <w:tr w:rsidR="00C70AE2" w14:paraId="09800AC6" w14:textId="77777777">
        <w:trPr>
          <w:cantSplit/>
          <w:jc w:val="center"/>
        </w:trPr>
        <w:tc>
          <w:tcPr>
            <w:tcW w:w="3528" w:type="dxa"/>
            <w:tcBorders>
              <w:top w:val="nil"/>
              <w:left w:val="nil"/>
              <w:bottom w:val="nil"/>
              <w:right w:val="nil"/>
            </w:tcBorders>
            <w:vAlign w:val="center"/>
          </w:tcPr>
          <w:p w14:paraId="41758226" w14:textId="77777777" w:rsidR="00C70AE2" w:rsidRDefault="00A36F18">
            <w:pPr>
              <w:spacing w:after="0" w:line="240" w:lineRule="auto"/>
            </w:pPr>
            <w:r>
              <w:rPr>
                <w:rFonts w:ascii="Times New Roman" w:hAnsi="Times New Roman"/>
                <w:sz w:val="15"/>
              </w:rPr>
              <w:t>Exact p-value</w:t>
            </w:r>
          </w:p>
        </w:tc>
        <w:tc>
          <w:tcPr>
            <w:tcW w:w="907" w:type="dxa"/>
            <w:tcBorders>
              <w:top w:val="nil"/>
              <w:left w:val="nil"/>
              <w:bottom w:val="nil"/>
              <w:right w:val="nil"/>
            </w:tcBorders>
            <w:vAlign w:val="center"/>
          </w:tcPr>
          <w:p w14:paraId="540EC378" w14:textId="77777777" w:rsidR="00C70AE2" w:rsidRDefault="00A36F18">
            <w:pPr>
              <w:spacing w:after="0" w:line="240" w:lineRule="auto"/>
              <w:jc w:val="center"/>
            </w:pPr>
            <w:r>
              <w:rPr>
                <w:rFonts w:ascii="Times New Roman" w:hAnsi="Times New Roman"/>
                <w:sz w:val="15"/>
              </w:rPr>
              <w:t>0.939</w:t>
            </w:r>
          </w:p>
        </w:tc>
        <w:tc>
          <w:tcPr>
            <w:tcW w:w="907" w:type="dxa"/>
            <w:tcBorders>
              <w:top w:val="nil"/>
              <w:left w:val="nil"/>
              <w:bottom w:val="nil"/>
              <w:right w:val="nil"/>
            </w:tcBorders>
            <w:vAlign w:val="center"/>
          </w:tcPr>
          <w:p w14:paraId="556DC05D" w14:textId="77777777" w:rsidR="00C70AE2" w:rsidRDefault="00A36F18">
            <w:pPr>
              <w:spacing w:after="0" w:line="240" w:lineRule="auto"/>
              <w:jc w:val="center"/>
            </w:pPr>
            <w:r>
              <w:rPr>
                <w:rFonts w:ascii="Times New Roman" w:hAnsi="Times New Roman"/>
                <w:sz w:val="15"/>
              </w:rPr>
              <w:t>0.695</w:t>
            </w:r>
          </w:p>
        </w:tc>
        <w:tc>
          <w:tcPr>
            <w:tcW w:w="907" w:type="dxa"/>
            <w:tcBorders>
              <w:top w:val="nil"/>
              <w:left w:val="nil"/>
              <w:bottom w:val="nil"/>
              <w:right w:val="nil"/>
            </w:tcBorders>
            <w:vAlign w:val="center"/>
          </w:tcPr>
          <w:p w14:paraId="6E798D98" w14:textId="77777777" w:rsidR="00C70AE2" w:rsidRDefault="00A36F18">
            <w:pPr>
              <w:spacing w:after="0" w:line="240" w:lineRule="auto"/>
              <w:jc w:val="center"/>
            </w:pPr>
            <w:r>
              <w:rPr>
                <w:rFonts w:ascii="Times New Roman" w:hAnsi="Times New Roman"/>
                <w:sz w:val="15"/>
              </w:rPr>
              <w:t>0.250</w:t>
            </w:r>
          </w:p>
        </w:tc>
        <w:tc>
          <w:tcPr>
            <w:tcW w:w="907" w:type="dxa"/>
            <w:tcBorders>
              <w:top w:val="nil"/>
              <w:left w:val="nil"/>
              <w:bottom w:val="nil"/>
              <w:right w:val="nil"/>
            </w:tcBorders>
            <w:vAlign w:val="center"/>
          </w:tcPr>
          <w:p w14:paraId="4839E9F1" w14:textId="77777777" w:rsidR="00C70AE2" w:rsidRDefault="00A36F18">
            <w:pPr>
              <w:spacing w:after="0" w:line="240" w:lineRule="auto"/>
              <w:jc w:val="center"/>
            </w:pPr>
            <w:r>
              <w:rPr>
                <w:rFonts w:ascii="Times New Roman" w:hAnsi="Times New Roman"/>
                <w:sz w:val="15"/>
              </w:rPr>
              <w:t>0.243</w:t>
            </w:r>
          </w:p>
        </w:tc>
        <w:tc>
          <w:tcPr>
            <w:tcW w:w="1080" w:type="dxa"/>
            <w:tcBorders>
              <w:top w:val="nil"/>
              <w:left w:val="nil"/>
              <w:bottom w:val="nil"/>
              <w:right w:val="nil"/>
            </w:tcBorders>
            <w:vAlign w:val="center"/>
          </w:tcPr>
          <w:p w14:paraId="70D0A7C7" w14:textId="77777777" w:rsidR="00C70AE2" w:rsidRDefault="00A36F18">
            <w:pPr>
              <w:spacing w:after="0" w:line="240" w:lineRule="auto"/>
              <w:jc w:val="center"/>
            </w:pPr>
            <w:r>
              <w:rPr>
                <w:rFonts w:ascii="Times New Roman" w:hAnsi="Times New Roman"/>
                <w:sz w:val="15"/>
              </w:rPr>
              <w:t>0.418</w:t>
            </w:r>
          </w:p>
        </w:tc>
        <w:tc>
          <w:tcPr>
            <w:tcW w:w="1123" w:type="dxa"/>
            <w:tcBorders>
              <w:top w:val="nil"/>
              <w:left w:val="nil"/>
              <w:bottom w:val="nil"/>
              <w:right w:val="nil"/>
            </w:tcBorders>
            <w:vAlign w:val="center"/>
          </w:tcPr>
          <w:p w14:paraId="0FC16658" w14:textId="77777777" w:rsidR="00C70AE2" w:rsidRDefault="00A36F18">
            <w:pPr>
              <w:spacing w:after="0" w:line="240" w:lineRule="auto"/>
              <w:jc w:val="center"/>
            </w:pPr>
            <w:r>
              <w:rPr>
                <w:rFonts w:ascii="Times New Roman" w:hAnsi="Times New Roman"/>
                <w:sz w:val="15"/>
              </w:rPr>
              <w:t>0.736</w:t>
            </w:r>
          </w:p>
        </w:tc>
      </w:tr>
      <w:tr w:rsidR="00C70AE2" w14:paraId="448334C9" w14:textId="77777777">
        <w:trPr>
          <w:cantSplit/>
          <w:jc w:val="center"/>
        </w:trPr>
        <w:tc>
          <w:tcPr>
            <w:tcW w:w="3528" w:type="dxa"/>
            <w:tcBorders>
              <w:top w:val="nil"/>
              <w:left w:val="nil"/>
              <w:bottom w:val="nil"/>
              <w:right w:val="nil"/>
            </w:tcBorders>
            <w:shd w:val="clear" w:color="auto" w:fill="F5F5F5"/>
            <w:vAlign w:val="center"/>
          </w:tcPr>
          <w:p w14:paraId="102A0861" w14:textId="77777777" w:rsidR="00C70AE2" w:rsidRDefault="00A36F18">
            <w:pPr>
              <w:spacing w:after="0" w:line="240" w:lineRule="auto"/>
            </w:pPr>
            <w:r>
              <w:rPr>
                <w:rFonts w:ascii="Times New Roman" w:hAnsi="Times New Roman"/>
                <w:i/>
                <w:sz w:val="15"/>
              </w:rPr>
              <w:t>Specification</w:t>
            </w:r>
          </w:p>
        </w:tc>
        <w:tc>
          <w:tcPr>
            <w:tcW w:w="907" w:type="dxa"/>
            <w:tcBorders>
              <w:top w:val="nil"/>
              <w:left w:val="nil"/>
              <w:bottom w:val="nil"/>
              <w:right w:val="nil"/>
            </w:tcBorders>
            <w:shd w:val="clear" w:color="auto" w:fill="F5F5F5"/>
            <w:vAlign w:val="center"/>
          </w:tcPr>
          <w:p w14:paraId="3790186D"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2E05E75D"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3389A57D"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429E89EC"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571DF095"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32A379C4" w14:textId="77777777" w:rsidR="00C70AE2" w:rsidRDefault="00C70AE2">
            <w:pPr>
              <w:spacing w:after="0" w:line="240" w:lineRule="auto"/>
              <w:jc w:val="center"/>
            </w:pPr>
          </w:p>
        </w:tc>
      </w:tr>
      <w:tr w:rsidR="00C70AE2" w14:paraId="518C77F1" w14:textId="77777777">
        <w:trPr>
          <w:cantSplit/>
          <w:jc w:val="center"/>
        </w:trPr>
        <w:tc>
          <w:tcPr>
            <w:tcW w:w="3528" w:type="dxa"/>
            <w:tcBorders>
              <w:top w:val="nil"/>
              <w:left w:val="nil"/>
              <w:bottom w:val="nil"/>
              <w:right w:val="nil"/>
            </w:tcBorders>
            <w:vAlign w:val="center"/>
          </w:tcPr>
          <w:p w14:paraId="788CE207" w14:textId="77777777" w:rsidR="00C70AE2" w:rsidRDefault="00A36F18">
            <w:pPr>
              <w:spacing w:after="0" w:line="240" w:lineRule="auto"/>
            </w:pPr>
            <w:r>
              <w:rPr>
                <w:rFonts w:ascii="Times New Roman" w:hAnsi="Times New Roman"/>
                <w:sz w:val="15"/>
              </w:rPr>
              <w:t>Outcome</w:t>
            </w:r>
          </w:p>
        </w:tc>
        <w:tc>
          <w:tcPr>
            <w:tcW w:w="907" w:type="dxa"/>
            <w:tcBorders>
              <w:top w:val="nil"/>
              <w:left w:val="nil"/>
              <w:bottom w:val="nil"/>
              <w:right w:val="nil"/>
            </w:tcBorders>
            <w:vAlign w:val="center"/>
          </w:tcPr>
          <w:p w14:paraId="4FC80CAB" w14: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489AEC24" w14: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7A61E9C1" w14: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195198A9" w14:textId="77777777" w:rsidR="00C70AE2" w:rsidRDefault="00A36F18">
            <w:pPr>
              <w:spacing w:after="0" w:line="240" w:lineRule="auto"/>
              <w:jc w:val="center"/>
            </w:pPr>
            <w:r>
              <w:rPr>
                <w:rFonts w:ascii="Times New Roman" w:hAnsi="Times New Roman"/>
                <w:sz w:val="15"/>
              </w:rPr>
              <w:t>HS share</w:t>
            </w:r>
          </w:p>
        </w:tc>
        <w:tc>
          <w:tcPr>
            <w:tcW w:w="1080" w:type="dxa"/>
            <w:tcBorders>
              <w:top w:val="nil"/>
              <w:left w:val="nil"/>
              <w:bottom w:val="nil"/>
              <w:right w:val="nil"/>
            </w:tcBorders>
            <w:vAlign w:val="center"/>
          </w:tcPr>
          <w:p w14:paraId="6A5A557F" w14:textId="77777777" w:rsidR="00C70AE2" w:rsidRDefault="00A36F18">
            <w:pPr>
              <w:spacing w:after="0" w:line="240" w:lineRule="auto"/>
              <w:jc w:val="center"/>
            </w:pPr>
            <w:r>
              <w:rPr>
                <w:rFonts w:ascii="Times New Roman" w:hAnsi="Times New Roman"/>
                <w:sz w:val="15"/>
              </w:rPr>
              <w:t>Log HS count</w:t>
            </w:r>
          </w:p>
        </w:tc>
        <w:tc>
          <w:tcPr>
            <w:tcW w:w="1123" w:type="dxa"/>
            <w:tcBorders>
              <w:top w:val="nil"/>
              <w:left w:val="nil"/>
              <w:bottom w:val="nil"/>
              <w:right w:val="nil"/>
            </w:tcBorders>
            <w:vAlign w:val="center"/>
          </w:tcPr>
          <w:p w14:paraId="268EDBA1" w14:textId="77777777" w:rsidR="00C70AE2" w:rsidRDefault="00A36F18">
            <w:pPr>
              <w:spacing w:after="0" w:line="240" w:lineRule="auto"/>
              <w:jc w:val="center"/>
            </w:pPr>
            <w:r>
              <w:rPr>
                <w:rFonts w:ascii="Times New Roman" w:hAnsi="Times New Roman"/>
                <w:sz w:val="15"/>
              </w:rPr>
              <w:t>HS share</w:t>
            </w:r>
          </w:p>
        </w:tc>
      </w:tr>
      <w:tr w:rsidR="00C70AE2" w14:paraId="214FC129" w14:textId="77777777">
        <w:trPr>
          <w:cantSplit/>
          <w:jc w:val="center"/>
        </w:trPr>
        <w:tc>
          <w:tcPr>
            <w:tcW w:w="3528" w:type="dxa"/>
            <w:tcBorders>
              <w:top w:val="nil"/>
              <w:left w:val="nil"/>
              <w:bottom w:val="nil"/>
              <w:right w:val="nil"/>
            </w:tcBorders>
            <w:vAlign w:val="center"/>
          </w:tcPr>
          <w:p w14:paraId="14E24B32" w14:textId="77777777" w:rsidR="00C70AE2" w:rsidRDefault="00A36F18">
            <w:pPr>
              <w:spacing w:after="0" w:line="240" w:lineRule="auto"/>
            </w:pPr>
            <w:r>
              <w:rPr>
                <w:rFonts w:ascii="Times New Roman" w:hAnsi="Times New Roman"/>
                <w:sz w:val="15"/>
              </w:rPr>
              <w:t>Skill-target policy controls</w:t>
            </w:r>
          </w:p>
        </w:tc>
        <w:tc>
          <w:tcPr>
            <w:tcW w:w="907" w:type="dxa"/>
            <w:tcBorders>
              <w:top w:val="nil"/>
              <w:left w:val="nil"/>
              <w:bottom w:val="nil"/>
              <w:right w:val="nil"/>
            </w:tcBorders>
            <w:vAlign w:val="center"/>
          </w:tcPr>
          <w:p w14:paraId="486B6D31"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5C48DB33" w14: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720E0AAB" w14: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1FBC257A" w14: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0FF68D9E" w14: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00A3A724" w14:textId="77777777" w:rsidR="00C70AE2" w:rsidRDefault="00A36F18">
            <w:pPr>
              <w:spacing w:after="0" w:line="240" w:lineRule="auto"/>
              <w:jc w:val="center"/>
            </w:pPr>
            <w:r>
              <w:rPr>
                <w:rFonts w:ascii="Times New Roman" w:hAnsi="Times New Roman"/>
                <w:sz w:val="15"/>
              </w:rPr>
              <w:t>Yes</w:t>
            </w:r>
          </w:p>
        </w:tc>
      </w:tr>
      <w:tr w:rsidR="00C70AE2" w14:paraId="213A5A77" w14:textId="77777777">
        <w:trPr>
          <w:cantSplit/>
          <w:jc w:val="center"/>
        </w:trPr>
        <w:tc>
          <w:tcPr>
            <w:tcW w:w="3528" w:type="dxa"/>
            <w:tcBorders>
              <w:top w:val="nil"/>
              <w:left w:val="nil"/>
              <w:bottom w:val="nil"/>
              <w:right w:val="nil"/>
            </w:tcBorders>
            <w:vAlign w:val="center"/>
          </w:tcPr>
          <w:p w14:paraId="0BB1F467" w14:textId="77777777" w:rsidR="00C70AE2" w:rsidRDefault="00A36F18">
            <w:pPr>
              <w:spacing w:after="0" w:line="240" w:lineRule="auto"/>
            </w:pPr>
            <w:r>
              <w:rPr>
                <w:rFonts w:ascii="Times New Roman" w:hAnsi="Times New Roman"/>
                <w:sz w:val="15"/>
              </w:rPr>
              <w:t>Lagged permit scale</w:t>
            </w:r>
          </w:p>
        </w:tc>
        <w:tc>
          <w:tcPr>
            <w:tcW w:w="907" w:type="dxa"/>
            <w:tcBorders>
              <w:top w:val="nil"/>
              <w:left w:val="nil"/>
              <w:bottom w:val="nil"/>
              <w:right w:val="nil"/>
            </w:tcBorders>
            <w:vAlign w:val="center"/>
          </w:tcPr>
          <w:p w14:paraId="44F9BC5E"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3BBC3309"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3DFEAA13" w14: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6DCF7184" w14: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4A42D442" w14: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00D5B2D6" w14:textId="77777777" w:rsidR="00C70AE2" w:rsidRDefault="00A36F18">
            <w:pPr>
              <w:spacing w:after="0" w:line="240" w:lineRule="auto"/>
              <w:jc w:val="center"/>
            </w:pPr>
            <w:r>
              <w:rPr>
                <w:rFonts w:ascii="Times New Roman" w:hAnsi="Times New Roman"/>
                <w:sz w:val="15"/>
              </w:rPr>
              <w:t>Yes</w:t>
            </w:r>
          </w:p>
        </w:tc>
      </w:tr>
      <w:tr w:rsidR="00C70AE2" w14:paraId="1702F392" w14:textId="77777777">
        <w:trPr>
          <w:cantSplit/>
          <w:jc w:val="center"/>
        </w:trPr>
        <w:tc>
          <w:tcPr>
            <w:tcW w:w="3528" w:type="dxa"/>
            <w:tcBorders>
              <w:top w:val="nil"/>
              <w:left w:val="nil"/>
              <w:bottom w:val="nil"/>
              <w:right w:val="nil"/>
            </w:tcBorders>
            <w:vAlign w:val="center"/>
          </w:tcPr>
          <w:p w14:paraId="56AD4CD7" w14:textId="77777777" w:rsidR="00C70AE2" w:rsidRDefault="00A36F18">
            <w:pPr>
              <w:spacing w:after="0" w:line="240" w:lineRule="auto"/>
            </w:pPr>
            <w:r>
              <w:rPr>
                <w:rFonts w:ascii="Times New Roman" w:hAnsi="Times New Roman"/>
                <w:sz w:val="15"/>
              </w:rPr>
              <w:t>Destination macro controls</w:t>
            </w:r>
          </w:p>
        </w:tc>
        <w:tc>
          <w:tcPr>
            <w:tcW w:w="907" w:type="dxa"/>
            <w:tcBorders>
              <w:top w:val="nil"/>
              <w:left w:val="nil"/>
              <w:bottom w:val="nil"/>
              <w:right w:val="nil"/>
            </w:tcBorders>
            <w:vAlign w:val="center"/>
          </w:tcPr>
          <w:p w14:paraId="5169AFA1"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5E839BB6"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79F9885B"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74F0F2D5" w14: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5AA0C53F" w14: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64BBE311" w14:textId="77777777" w:rsidR="00C70AE2" w:rsidRDefault="00A36F18">
            <w:pPr>
              <w:spacing w:after="0" w:line="240" w:lineRule="auto"/>
              <w:jc w:val="center"/>
            </w:pPr>
            <w:r>
              <w:rPr>
                <w:rFonts w:ascii="Times New Roman" w:hAnsi="Times New Roman"/>
                <w:sz w:val="15"/>
              </w:rPr>
              <w:t>Yes</w:t>
            </w:r>
          </w:p>
        </w:tc>
      </w:tr>
      <w:tr w:rsidR="00C70AE2" w14:paraId="48F15529" w14:textId="77777777">
        <w:trPr>
          <w:cantSplit/>
          <w:jc w:val="center"/>
        </w:trPr>
        <w:tc>
          <w:tcPr>
            <w:tcW w:w="3528" w:type="dxa"/>
            <w:tcBorders>
              <w:top w:val="nil"/>
              <w:left w:val="nil"/>
              <w:bottom w:val="nil"/>
              <w:right w:val="nil"/>
            </w:tcBorders>
            <w:vAlign w:val="center"/>
          </w:tcPr>
          <w:p w14:paraId="6746ED32" w14:textId="77777777" w:rsidR="00C70AE2" w:rsidRDefault="00A36F18">
            <w:pPr>
              <w:spacing w:after="0" w:line="240" w:lineRule="auto"/>
            </w:pPr>
            <w:r>
              <w:rPr>
                <w:rFonts w:ascii="Times New Roman" w:hAnsi="Times New Roman"/>
                <w:sz w:val="15"/>
              </w:rPr>
              <w:t>Observations</w:t>
            </w:r>
          </w:p>
        </w:tc>
        <w:tc>
          <w:tcPr>
            <w:tcW w:w="907" w:type="dxa"/>
            <w:tcBorders>
              <w:top w:val="nil"/>
              <w:left w:val="nil"/>
              <w:bottom w:val="nil"/>
              <w:right w:val="nil"/>
            </w:tcBorders>
            <w:vAlign w:val="center"/>
          </w:tcPr>
          <w:p w14:paraId="27068A1B" w14:textId="77777777" w:rsidR="00C70AE2" w:rsidRDefault="00A36F18">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w14:paraId="40ECF9B6" w14:textId="77777777" w:rsidR="00C70AE2" w:rsidRDefault="00A36F18">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w14:paraId="5E349508" w14:textId="77777777" w:rsidR="00C70AE2" w:rsidRDefault="00A36F18">
            <w:pPr>
              <w:spacing w:after="0" w:line="240" w:lineRule="auto"/>
              <w:jc w:val="center"/>
            </w:pPr>
            <w:r>
              <w:rPr>
                <w:rFonts w:ascii="Times New Roman" w:hAnsi="Times New Roman"/>
                <w:sz w:val="15"/>
              </w:rPr>
              <w:t>312</w:t>
            </w:r>
          </w:p>
        </w:tc>
        <w:tc>
          <w:tcPr>
            <w:tcW w:w="907" w:type="dxa"/>
            <w:tcBorders>
              <w:top w:val="nil"/>
              <w:left w:val="nil"/>
              <w:bottom w:val="nil"/>
              <w:right w:val="nil"/>
            </w:tcBorders>
            <w:vAlign w:val="center"/>
          </w:tcPr>
          <w:p w14:paraId="22462C8C" w14:textId="77777777" w:rsidR="00C70AE2" w:rsidRDefault="00A36F18">
            <w:pPr>
              <w:spacing w:after="0" w:line="240" w:lineRule="auto"/>
              <w:jc w:val="center"/>
            </w:pPr>
            <w:r>
              <w:rPr>
                <w:rFonts w:ascii="Times New Roman" w:hAnsi="Times New Roman"/>
                <w:sz w:val="15"/>
              </w:rPr>
              <w:t>280</w:t>
            </w:r>
          </w:p>
        </w:tc>
        <w:tc>
          <w:tcPr>
            <w:tcW w:w="1080" w:type="dxa"/>
            <w:tcBorders>
              <w:top w:val="nil"/>
              <w:left w:val="nil"/>
              <w:bottom w:val="nil"/>
              <w:right w:val="nil"/>
            </w:tcBorders>
            <w:vAlign w:val="center"/>
          </w:tcPr>
          <w:p w14:paraId="7927CC20" w14:textId="77777777" w:rsidR="00C70AE2" w:rsidRDefault="00A36F18">
            <w:pPr>
              <w:spacing w:after="0" w:line="240" w:lineRule="auto"/>
              <w:jc w:val="center"/>
            </w:pPr>
            <w:r>
              <w:rPr>
                <w:rFonts w:ascii="Times New Roman" w:hAnsi="Times New Roman"/>
                <w:sz w:val="15"/>
              </w:rPr>
              <w:t>280</w:t>
            </w:r>
          </w:p>
        </w:tc>
        <w:tc>
          <w:tcPr>
            <w:tcW w:w="1123" w:type="dxa"/>
            <w:tcBorders>
              <w:top w:val="nil"/>
              <w:left w:val="nil"/>
              <w:bottom w:val="nil"/>
              <w:right w:val="nil"/>
            </w:tcBorders>
            <w:vAlign w:val="center"/>
          </w:tcPr>
          <w:p w14:paraId="06CEDC98" w14:textId="77777777" w:rsidR="00C70AE2" w:rsidRDefault="00A36F18">
            <w:pPr>
              <w:spacing w:after="0" w:line="240" w:lineRule="auto"/>
              <w:jc w:val="center"/>
            </w:pPr>
            <w:r>
              <w:rPr>
                <w:rFonts w:ascii="Times New Roman" w:hAnsi="Times New Roman"/>
                <w:sz w:val="15"/>
              </w:rPr>
              <w:t>280</w:t>
            </w:r>
          </w:p>
        </w:tc>
      </w:tr>
      <w:tr w:rsidR="00C70AE2" w14:paraId="41E0C096" w14:textId="77777777">
        <w:trPr>
          <w:cantSplit/>
          <w:jc w:val="center"/>
        </w:trPr>
        <w:tc>
          <w:tcPr>
            <w:tcW w:w="3528" w:type="dxa"/>
            <w:tcBorders>
              <w:top w:val="nil"/>
              <w:left w:val="nil"/>
              <w:bottom w:val="single" w:sz="10" w:space="0" w:color="000000"/>
              <w:right w:val="nil"/>
            </w:tcBorders>
            <w:vAlign w:val="center"/>
          </w:tcPr>
          <w:p w14:paraId="6D5CEA99" w14:textId="77777777" w:rsidR="00C70AE2" w:rsidRDefault="00A36F18">
            <w:pPr>
              <w:spacing w:after="0" w:line="240" w:lineRule="auto"/>
            </w:pPr>
            <w:r>
              <w:rPr>
                <w:rFonts w:ascii="Times New Roman" w:hAnsi="Times New Roman"/>
                <w:sz w:val="15"/>
              </w:rPr>
              <w:t>Destination clusters</w:t>
            </w:r>
          </w:p>
        </w:tc>
        <w:tc>
          <w:tcPr>
            <w:tcW w:w="907" w:type="dxa"/>
            <w:tcBorders>
              <w:top w:val="nil"/>
              <w:left w:val="nil"/>
              <w:bottom w:val="single" w:sz="10" w:space="0" w:color="000000"/>
              <w:right w:val="nil"/>
            </w:tcBorders>
            <w:vAlign w:val="center"/>
          </w:tcPr>
          <w:p w14:paraId="20A0CE38" w14: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5413FDB4" w14: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1DF8C78C" w14: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6C0C0193" w14:textId="77777777" w:rsidR="00C70AE2" w:rsidRDefault="00A36F18">
            <w:pPr>
              <w:spacing w:after="0" w:line="240" w:lineRule="auto"/>
              <w:jc w:val="center"/>
            </w:pPr>
            <w:r>
              <w:rPr>
                <w:rFonts w:ascii="Times New Roman" w:hAnsi="Times New Roman"/>
                <w:sz w:val="15"/>
              </w:rPr>
              <w:t>30</w:t>
            </w:r>
          </w:p>
        </w:tc>
        <w:tc>
          <w:tcPr>
            <w:tcW w:w="1080" w:type="dxa"/>
            <w:tcBorders>
              <w:top w:val="nil"/>
              <w:left w:val="nil"/>
              <w:bottom w:val="single" w:sz="10" w:space="0" w:color="000000"/>
              <w:right w:val="nil"/>
            </w:tcBorders>
            <w:vAlign w:val="center"/>
          </w:tcPr>
          <w:p w14:paraId="23A55BB1" w14:textId="77777777" w:rsidR="00C70AE2" w:rsidRDefault="00A36F18">
            <w:pPr>
              <w:spacing w:after="0" w:line="240" w:lineRule="auto"/>
              <w:jc w:val="center"/>
            </w:pPr>
            <w:r>
              <w:rPr>
                <w:rFonts w:ascii="Times New Roman" w:hAnsi="Times New Roman"/>
                <w:sz w:val="15"/>
              </w:rPr>
              <w:t>30</w:t>
            </w:r>
          </w:p>
        </w:tc>
        <w:tc>
          <w:tcPr>
            <w:tcW w:w="1123" w:type="dxa"/>
            <w:tcBorders>
              <w:top w:val="nil"/>
              <w:left w:val="nil"/>
              <w:bottom w:val="single" w:sz="10" w:space="0" w:color="000000"/>
              <w:right w:val="nil"/>
            </w:tcBorders>
            <w:vAlign w:val="center"/>
          </w:tcPr>
          <w:p w14:paraId="19BB4F5F" w14:textId="77777777" w:rsidR="00C70AE2" w:rsidRDefault="00A36F18">
            <w:pPr>
              <w:spacing w:after="0" w:line="240" w:lineRule="auto"/>
              <w:jc w:val="center"/>
            </w:pPr>
            <w:r>
              <w:rPr>
                <w:rFonts w:ascii="Times New Roman" w:hAnsi="Times New Roman"/>
                <w:sz w:val="15"/>
              </w:rPr>
              <w:t>30</w:t>
            </w:r>
          </w:p>
        </w:tc>
      </w:tr>
    </w:tbl>
    <w:p w14:paraId="6649027F" w14:textId="77777777" w:rsidR="001D720F" w:rsidRPr="006B4C5C" w:rsidRDefault="00A36F18" w:rsidP="001D720F">
      <w:pPr>
        <w:jc w:val="center"/>
        <w:rPr>
          <w:sz w:val="18"/>
          <w:szCs w:val="18"/>
        </w:rPr>
      </w:pPr>
      <w:r>
        <w:rPr>
          <w:sz w:val="18"/>
          <w:szCs w:val="18"/>
        </w:rPr>
        <w:t xml:space="preserve">Table 6 note. All models include destination and year fixed effects. The first two columns include 2008-2019 because they do not require lagged permit scale. The remaining columns begin in 2009 because the 2008 outcome has no 2007 permit value from which to construct that control; missing unemployment further reduces the full-control sample. All columns apply the minimum current employment-permit denominator of 30. The progressive coefficients </w:t>
      </w:r>
      <w:r>
        <w:rPr>
          <w:sz w:val="18"/>
          <w:szCs w:val="18"/>
        </w:rPr>
        <w:lastRenderedPageBreak/>
        <w:t>are therefore not estimated on an identical sample. In all regression tables, N denotes the number of observations retained after the specification's outcome, lags, controls, and fixed effects are jointly available; G denotes the number of destination-country clusters used for cluster-robust inference.</w:t>
      </w:r>
    </w:p>
    <w:p w14:paraId="19F1B155" w14:textId="77777777" w:rsidR="00961C7F" w:rsidRDefault="008A042F">
      <w:pPr>
        <w:pStyle w:val="Heading2"/>
      </w:pPr>
      <w:r>
        <w:t>7.2 Preferred bilateral origin-year fixed-effects result</w:t>
      </w:r>
    </w:p>
    <w:p w14:paraId="682CD2A2" w14:textId="77777777" w:rsidR="001D720F" w:rsidRDefault="008A042F" w:rsidP="007D1ADB">
      <w:pPr>
        <w:jc w:val="both"/>
      </w:pPr>
      <w:r>
        <w:t>The bilateral specification is the main test of the Section 3 prediction. It uses the all-migrant-worker-only cumulative measure, origin-year fixed effects, and permit-denominator weights. These choices address two weaknesses of the aggregate model: unobserved origin-side conditions and noisy shares in small permit cells. Table 7 reports the preferred model and three bilateral comparisons. Its annual-flow column is a bilateral analogue of Equation (2); Equation (2) itself appears only in the final column of Table 6.</w:t>
      </w:r>
    </w:p>
    <w:p w14:paraId="1A997901" w14:textId="77777777" w:rsidR="001D720F" w:rsidRDefault="001D720F" w:rsidP="00773048">
      <w:pPr>
        <w:jc w:val="center"/>
      </w:pPr>
      <w:r>
        <w:rPr>
          <w:b/>
          <w:i/>
        </w:rPr>
        <w:t>Table 7. Preferred bilateral specification and comparison models.</w:t>
      </w:r>
    </w:p>
    <w:tbl>
      <w:tblPr>
        <w:tblpPr w:leftFromText="180" w:rightFromText="180" w:vertAnchor="text" w:horzAnchor="margin" w:tblpY="-55"/>
        <w:tblW w:w="9360" w:type="dxa"/>
        <w:tblLayout w:type="fixed"/>
        <w:tblLook w:val="04A0" w:firstRow="1" w:lastRow="0" w:firstColumn="1" w:lastColumn="0" w:noHBand="0" w:noVBand="1"/>
      </w:tblPr>
      <w:tblGrid>
        <w:gridCol w:w="3672"/>
        <w:gridCol w:w="1440"/>
        <w:gridCol w:w="1440"/>
        <w:gridCol w:w="1440"/>
        <w:gridCol w:w="1368"/>
      </w:tblGrid>
      <w:tr w:rsidR="00754752" w14:paraId="39EEA108" w14:textId="77777777" w:rsidTr="00754752">
        <w:trPr>
          <w:cantSplit/>
          <w:tblHeader/>
        </w:trPr>
        <w:tc>
          <w:tcPr>
            <w:tcW w:w="3672" w:type="dxa"/>
            <w:tcBorders>
              <w:top w:val="single" w:sz="10" w:space="0" w:color="000000"/>
              <w:left w:val="nil"/>
              <w:bottom w:val="single" w:sz="8" w:space="0" w:color="000000"/>
              <w:right w:val="nil"/>
            </w:tcBorders>
            <w:shd w:val="clear" w:color="auto" w:fill="EDEDED"/>
            <w:vAlign w:val="center"/>
          </w:tcPr>
          <w:p w14:paraId="0CC3E146" w14:textId="77777777" w:rsidR="00754752" w:rsidRDefault="00754752" w:rsidP="00754752">
            <w:pPr>
              <w:spacing w:after="0" w:line="240" w:lineRule="auto"/>
            </w:pPr>
          </w:p>
        </w:tc>
        <w:tc>
          <w:tcPr>
            <w:tcW w:w="1440" w:type="dxa"/>
            <w:tcBorders>
              <w:top w:val="single" w:sz="10" w:space="0" w:color="000000"/>
              <w:left w:val="nil"/>
              <w:bottom w:val="single" w:sz="8" w:space="0" w:color="000000"/>
              <w:right w:val="nil"/>
            </w:tcBorders>
            <w:shd w:val="clear" w:color="auto" w:fill="EDEDED"/>
            <w:vAlign w:val="center"/>
          </w:tcPr>
          <w:p w14:paraId="51A5FFF6" w14:textId="77777777" w:rsidR="00754752" w:rsidRDefault="00754752" w:rsidP="00754752">
            <w:pPr>
              <w:spacing w:after="0" w:line="240" w:lineRule="auto"/>
              <w:jc w:val="center"/>
            </w:pPr>
            <w:r>
              <w:rPr>
                <w:rFonts w:ascii="Times New Roman" w:hAnsi="Times New Roman"/>
                <w:b/>
                <w:sz w:val="15"/>
              </w:rPr>
              <w:t>Preferred bilateral (weighted)</w:t>
            </w:r>
          </w:p>
        </w:tc>
        <w:tc>
          <w:tcPr>
            <w:tcW w:w="1440" w:type="dxa"/>
            <w:tcBorders>
              <w:top w:val="single" w:sz="10" w:space="0" w:color="000000"/>
              <w:left w:val="nil"/>
              <w:bottom w:val="single" w:sz="8" w:space="0" w:color="000000"/>
              <w:right w:val="nil"/>
            </w:tcBorders>
            <w:shd w:val="clear" w:color="auto" w:fill="EDEDED"/>
            <w:vAlign w:val="center"/>
          </w:tcPr>
          <w:p w14:paraId="68596FC9" w14:textId="77777777" w:rsidR="00754752" w:rsidRDefault="00754752" w:rsidP="00754752">
            <w:pPr>
              <w:spacing w:after="0" w:line="240" w:lineRule="auto"/>
              <w:jc w:val="center"/>
            </w:pPr>
            <w:r>
              <w:rPr>
                <w:rFonts w:ascii="Times New Roman" w:hAnsi="Times New Roman"/>
                <w:b/>
                <w:sz w:val="15"/>
              </w:rPr>
              <w:t>Unweighted comparison</w:t>
            </w:r>
          </w:p>
        </w:tc>
        <w:tc>
          <w:tcPr>
            <w:tcW w:w="1440" w:type="dxa"/>
            <w:tcBorders>
              <w:top w:val="single" w:sz="10" w:space="0" w:color="000000"/>
              <w:left w:val="nil"/>
              <w:bottom w:val="single" w:sz="8" w:space="0" w:color="000000"/>
              <w:right w:val="nil"/>
            </w:tcBorders>
            <w:shd w:val="clear" w:color="auto" w:fill="EDEDED"/>
            <w:vAlign w:val="center"/>
          </w:tcPr>
          <w:p w14:paraId="4A224FAE" w14:textId="77777777" w:rsidR="00754752" w:rsidRDefault="00754752" w:rsidP="00754752">
            <w:pPr>
              <w:spacing w:after="0" w:line="240" w:lineRule="auto"/>
              <w:jc w:val="center"/>
            </w:pPr>
            <w:r>
              <w:rPr>
                <w:rFonts w:ascii="Times New Roman" w:hAnsi="Times New Roman"/>
                <w:b/>
                <w:sz w:val="15"/>
              </w:rPr>
              <w:t>Weighted corridor FE</w:t>
            </w:r>
          </w:p>
        </w:tc>
        <w:tc>
          <w:tcPr>
            <w:tcW w:w="1368" w:type="dxa"/>
            <w:tcBorders>
              <w:top w:val="single" w:sz="10" w:space="0" w:color="000000"/>
              <w:left w:val="nil"/>
              <w:bottom w:val="single" w:sz="8" w:space="0" w:color="000000"/>
              <w:right w:val="nil"/>
            </w:tcBorders>
            <w:shd w:val="clear" w:color="auto" w:fill="EDEDED"/>
            <w:vAlign w:val="center"/>
          </w:tcPr>
          <w:p w14:paraId="2157A200" w14:textId="77777777" w:rsidR="00754752" w:rsidRDefault="00754752" w:rsidP="00754752">
            <w:pPr>
              <w:spacing w:after="0" w:line="240" w:lineRule="auto"/>
              <w:jc w:val="center"/>
            </w:pPr>
            <w:r>
              <w:rPr>
                <w:rFonts w:ascii="Times New Roman" w:hAnsi="Times New Roman"/>
                <w:b/>
                <w:sz w:val="15"/>
              </w:rPr>
              <w:t>Annual policy flow</w:t>
            </w:r>
          </w:p>
        </w:tc>
      </w:tr>
      <w:tr w:rsidR="00754752" w14:paraId="5B9BE179" w14:textId="77777777" w:rsidTr="00754752">
        <w:trPr>
          <w:cantSplit/>
        </w:trPr>
        <w:tc>
          <w:tcPr>
            <w:tcW w:w="3672" w:type="dxa"/>
            <w:tcBorders>
              <w:top w:val="nil"/>
              <w:left w:val="nil"/>
              <w:bottom w:val="nil"/>
              <w:right w:val="nil"/>
            </w:tcBorders>
            <w:shd w:val="clear" w:color="auto" w:fill="F5F5F5"/>
            <w:vAlign w:val="center"/>
          </w:tcPr>
          <w:p w14:paraId="12A4913E" w14:textId="77777777" w:rsidR="00754752" w:rsidRDefault="00754752" w:rsidP="00754752">
            <w:pPr>
              <w:spacing w:after="0" w:line="240" w:lineRule="auto"/>
            </w:pPr>
            <w:r>
              <w:rPr>
                <w:rFonts w:ascii="Times New Roman" w:hAnsi="Times New Roman"/>
                <w:i/>
                <w:sz w:val="15"/>
              </w:rPr>
              <w:t>Coefficients</w:t>
            </w:r>
          </w:p>
        </w:tc>
        <w:tc>
          <w:tcPr>
            <w:tcW w:w="1440" w:type="dxa"/>
            <w:tcBorders>
              <w:top w:val="nil"/>
              <w:left w:val="nil"/>
              <w:bottom w:val="nil"/>
              <w:right w:val="nil"/>
            </w:tcBorders>
            <w:shd w:val="clear" w:color="auto" w:fill="F5F5F5"/>
            <w:vAlign w:val="center"/>
          </w:tcPr>
          <w:p w14:paraId="4E64A920" w14:textId="77777777" w:rsidR="00754752" w:rsidRDefault="00754752" w:rsidP="00754752">
            <w:pPr>
              <w:spacing w:after="0" w:line="240" w:lineRule="auto"/>
              <w:jc w:val="center"/>
            </w:pPr>
          </w:p>
        </w:tc>
        <w:tc>
          <w:tcPr>
            <w:tcW w:w="1440" w:type="dxa"/>
            <w:tcBorders>
              <w:top w:val="nil"/>
              <w:left w:val="nil"/>
              <w:bottom w:val="nil"/>
              <w:right w:val="nil"/>
            </w:tcBorders>
            <w:shd w:val="clear" w:color="auto" w:fill="F5F5F5"/>
            <w:vAlign w:val="center"/>
          </w:tcPr>
          <w:p w14:paraId="06B913E9" w14:textId="77777777" w:rsidR="00754752" w:rsidRDefault="00754752" w:rsidP="00754752">
            <w:pPr>
              <w:spacing w:after="0" w:line="240" w:lineRule="auto"/>
              <w:jc w:val="center"/>
            </w:pPr>
          </w:p>
        </w:tc>
        <w:tc>
          <w:tcPr>
            <w:tcW w:w="1440" w:type="dxa"/>
            <w:tcBorders>
              <w:top w:val="nil"/>
              <w:left w:val="nil"/>
              <w:bottom w:val="nil"/>
              <w:right w:val="nil"/>
            </w:tcBorders>
            <w:shd w:val="clear" w:color="auto" w:fill="F5F5F5"/>
            <w:vAlign w:val="center"/>
          </w:tcPr>
          <w:p w14:paraId="053D789C" w14:textId="77777777" w:rsidR="00754752" w:rsidRDefault="00754752" w:rsidP="00754752">
            <w:pPr>
              <w:spacing w:after="0" w:line="240" w:lineRule="auto"/>
              <w:jc w:val="center"/>
            </w:pPr>
          </w:p>
        </w:tc>
        <w:tc>
          <w:tcPr>
            <w:tcW w:w="1368" w:type="dxa"/>
            <w:tcBorders>
              <w:top w:val="nil"/>
              <w:left w:val="nil"/>
              <w:bottom w:val="nil"/>
              <w:right w:val="nil"/>
            </w:tcBorders>
            <w:shd w:val="clear" w:color="auto" w:fill="F5F5F5"/>
            <w:vAlign w:val="center"/>
          </w:tcPr>
          <w:p w14:paraId="2248BD88" w14:textId="77777777" w:rsidR="00754752" w:rsidRDefault="00754752" w:rsidP="00754752">
            <w:pPr>
              <w:spacing w:after="0" w:line="240" w:lineRule="auto"/>
              <w:jc w:val="center"/>
            </w:pPr>
          </w:p>
        </w:tc>
      </w:tr>
      <w:tr w:rsidR="00754752" w14:paraId="34812693" w14:textId="77777777" w:rsidTr="00754752">
        <w:trPr>
          <w:cantSplit/>
        </w:trPr>
        <w:tc>
          <w:tcPr>
            <w:tcW w:w="3672" w:type="dxa"/>
            <w:tcBorders>
              <w:top w:val="nil"/>
              <w:left w:val="nil"/>
              <w:bottom w:val="nil"/>
              <w:right w:val="nil"/>
            </w:tcBorders>
            <w:vAlign w:val="center"/>
          </w:tcPr>
          <w:p w14:paraId="0625BB59" w14:textId="77777777" w:rsidR="00754752" w:rsidRDefault="00754752" w:rsidP="00754752">
            <w:pPr>
              <w:spacing w:after="0" w:line="240" w:lineRule="auto"/>
            </w:pPr>
            <w:r>
              <w:rPr>
                <w:rFonts w:ascii="Times New Roman" w:hAnsi="Times New Roman"/>
                <w:sz w:val="15"/>
              </w:rPr>
              <w:t>Lagged cumulative all-migrant-worker score</w:t>
            </w:r>
          </w:p>
        </w:tc>
        <w:tc>
          <w:tcPr>
            <w:tcW w:w="1440" w:type="dxa"/>
            <w:tcBorders>
              <w:top w:val="nil"/>
              <w:left w:val="nil"/>
              <w:bottom w:val="nil"/>
              <w:right w:val="nil"/>
            </w:tcBorders>
            <w:vAlign w:val="center"/>
          </w:tcPr>
          <w:p w14:paraId="7090F762" w14:textId="77777777" w:rsidR="00754752" w:rsidRDefault="00754752" w:rsidP="00754752">
            <w:pPr>
              <w:spacing w:after="0" w:line="240" w:lineRule="auto"/>
              <w:jc w:val="center"/>
            </w:pPr>
            <w:r>
              <w:rPr>
                <w:rFonts w:ascii="Times New Roman" w:hAnsi="Times New Roman"/>
                <w:b/>
                <w:sz w:val="15"/>
              </w:rPr>
              <w:t>0.006516***</w:t>
            </w:r>
          </w:p>
        </w:tc>
        <w:tc>
          <w:tcPr>
            <w:tcW w:w="1440" w:type="dxa"/>
            <w:tcBorders>
              <w:top w:val="nil"/>
              <w:left w:val="nil"/>
              <w:bottom w:val="nil"/>
              <w:right w:val="nil"/>
            </w:tcBorders>
            <w:vAlign w:val="center"/>
          </w:tcPr>
          <w:p w14:paraId="046F5155" w14:textId="77777777" w:rsidR="00754752" w:rsidRDefault="00754752" w:rsidP="00754752">
            <w:pPr>
              <w:spacing w:after="0" w:line="240" w:lineRule="auto"/>
              <w:jc w:val="center"/>
            </w:pPr>
            <w:r>
              <w:rPr>
                <w:rFonts w:ascii="Times New Roman" w:hAnsi="Times New Roman"/>
                <w:sz w:val="15"/>
              </w:rPr>
              <w:t>0.004587**</w:t>
            </w:r>
          </w:p>
        </w:tc>
        <w:tc>
          <w:tcPr>
            <w:tcW w:w="1440" w:type="dxa"/>
            <w:tcBorders>
              <w:top w:val="nil"/>
              <w:left w:val="nil"/>
              <w:bottom w:val="nil"/>
              <w:right w:val="nil"/>
            </w:tcBorders>
            <w:vAlign w:val="center"/>
          </w:tcPr>
          <w:p w14:paraId="3D8FDE8E" w14:textId="77777777" w:rsidR="00754752" w:rsidRDefault="00754752" w:rsidP="00754752">
            <w:pPr>
              <w:spacing w:after="0" w:line="240" w:lineRule="auto"/>
              <w:jc w:val="center"/>
            </w:pPr>
            <w:r>
              <w:rPr>
                <w:rFonts w:ascii="Times New Roman" w:hAnsi="Times New Roman"/>
                <w:sz w:val="15"/>
              </w:rPr>
              <w:t>0.005495***</w:t>
            </w:r>
          </w:p>
        </w:tc>
        <w:tc>
          <w:tcPr>
            <w:tcW w:w="1368" w:type="dxa"/>
            <w:tcBorders>
              <w:top w:val="nil"/>
              <w:left w:val="nil"/>
              <w:bottom w:val="nil"/>
              <w:right w:val="nil"/>
            </w:tcBorders>
            <w:vAlign w:val="center"/>
          </w:tcPr>
          <w:p w14:paraId="5359BBA9" w14:textId="77777777" w:rsidR="00754752" w:rsidRDefault="00754752" w:rsidP="00754752">
            <w:pPr>
              <w:spacing w:after="0" w:line="240" w:lineRule="auto"/>
              <w:jc w:val="center"/>
            </w:pPr>
            <w:r>
              <w:rPr>
                <w:rFonts w:ascii="Times New Roman" w:hAnsi="Times New Roman"/>
                <w:sz w:val="15"/>
              </w:rPr>
              <w:t>--</w:t>
            </w:r>
          </w:p>
        </w:tc>
      </w:tr>
      <w:tr w:rsidR="00754752" w14:paraId="07BB1F6C" w14:textId="77777777" w:rsidTr="00754752">
        <w:trPr>
          <w:cantSplit/>
        </w:trPr>
        <w:tc>
          <w:tcPr>
            <w:tcW w:w="3672" w:type="dxa"/>
            <w:tcBorders>
              <w:top w:val="nil"/>
              <w:left w:val="nil"/>
              <w:bottom w:val="nil"/>
              <w:right w:val="nil"/>
            </w:tcBorders>
            <w:vAlign w:val="center"/>
          </w:tcPr>
          <w:p w14:paraId="59B1A99F" w14:textId="77777777" w:rsidR="00754752" w:rsidRDefault="00754752" w:rsidP="00754752">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0FC518E6" w14:textId="77777777" w:rsidR="00754752" w:rsidRDefault="00754752" w:rsidP="00754752">
            <w:pPr>
              <w:spacing w:after="0" w:line="240" w:lineRule="auto"/>
              <w:jc w:val="center"/>
            </w:pPr>
            <w:r>
              <w:rPr>
                <w:rFonts w:ascii="Times New Roman" w:hAnsi="Times New Roman"/>
                <w:sz w:val="15"/>
              </w:rPr>
              <w:t>(0.001612)</w:t>
            </w:r>
          </w:p>
        </w:tc>
        <w:tc>
          <w:tcPr>
            <w:tcW w:w="1440" w:type="dxa"/>
            <w:tcBorders>
              <w:top w:val="nil"/>
              <w:left w:val="nil"/>
              <w:bottom w:val="nil"/>
              <w:right w:val="nil"/>
            </w:tcBorders>
            <w:vAlign w:val="center"/>
          </w:tcPr>
          <w:p w14:paraId="1758E4C2" w14:textId="77777777" w:rsidR="00754752" w:rsidRDefault="00754752" w:rsidP="00754752">
            <w:pPr>
              <w:spacing w:after="0" w:line="240" w:lineRule="auto"/>
              <w:jc w:val="center"/>
            </w:pPr>
            <w:r>
              <w:rPr>
                <w:rFonts w:ascii="Times New Roman" w:hAnsi="Times New Roman"/>
                <w:sz w:val="15"/>
              </w:rPr>
              <w:t>(0.001850)</w:t>
            </w:r>
          </w:p>
        </w:tc>
        <w:tc>
          <w:tcPr>
            <w:tcW w:w="1440" w:type="dxa"/>
            <w:tcBorders>
              <w:top w:val="nil"/>
              <w:left w:val="nil"/>
              <w:bottom w:val="nil"/>
              <w:right w:val="nil"/>
            </w:tcBorders>
            <w:vAlign w:val="center"/>
          </w:tcPr>
          <w:p w14:paraId="484C989A" w14:textId="77777777" w:rsidR="00754752" w:rsidRDefault="00754752" w:rsidP="00754752">
            <w:pPr>
              <w:spacing w:after="0" w:line="240" w:lineRule="auto"/>
              <w:jc w:val="center"/>
            </w:pPr>
            <w:r>
              <w:rPr>
                <w:rFonts w:ascii="Times New Roman" w:hAnsi="Times New Roman"/>
                <w:sz w:val="15"/>
              </w:rPr>
              <w:t>(0.001565)</w:t>
            </w:r>
          </w:p>
        </w:tc>
        <w:tc>
          <w:tcPr>
            <w:tcW w:w="1368" w:type="dxa"/>
            <w:tcBorders>
              <w:top w:val="nil"/>
              <w:left w:val="nil"/>
              <w:bottom w:val="nil"/>
              <w:right w:val="nil"/>
            </w:tcBorders>
            <w:vAlign w:val="center"/>
          </w:tcPr>
          <w:p w14:paraId="3D8739A4" w14:textId="77777777" w:rsidR="00754752" w:rsidRDefault="00754752" w:rsidP="00754752">
            <w:pPr>
              <w:spacing w:after="0" w:line="240" w:lineRule="auto"/>
              <w:jc w:val="center"/>
            </w:pPr>
            <w:r>
              <w:rPr>
                <w:rFonts w:ascii="Times New Roman" w:hAnsi="Times New Roman"/>
                <w:sz w:val="15"/>
              </w:rPr>
              <w:t>--</w:t>
            </w:r>
          </w:p>
        </w:tc>
      </w:tr>
      <w:tr w:rsidR="00754752" w14:paraId="63694E84" w14:textId="77777777" w:rsidTr="00754752">
        <w:trPr>
          <w:cantSplit/>
        </w:trPr>
        <w:tc>
          <w:tcPr>
            <w:tcW w:w="3672" w:type="dxa"/>
            <w:tcBorders>
              <w:top w:val="nil"/>
              <w:left w:val="nil"/>
              <w:bottom w:val="nil"/>
              <w:right w:val="nil"/>
            </w:tcBorders>
            <w:vAlign w:val="center"/>
          </w:tcPr>
          <w:p w14:paraId="30B139B8" w14:textId="77777777" w:rsidR="00754752" w:rsidRDefault="00754752" w:rsidP="00754752">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1A000643" w14:textId="77777777" w:rsidR="00754752" w:rsidRDefault="00754752" w:rsidP="00754752">
            <w:pPr>
              <w:spacing w:after="0" w:line="240" w:lineRule="auto"/>
              <w:jc w:val="center"/>
            </w:pPr>
            <w:r>
              <w:rPr>
                <w:rFonts w:ascii="Times New Roman" w:hAnsi="Times New Roman"/>
                <w:sz w:val="15"/>
              </w:rPr>
              <w:t>&lt;0.001</w:t>
            </w:r>
          </w:p>
        </w:tc>
        <w:tc>
          <w:tcPr>
            <w:tcW w:w="1440" w:type="dxa"/>
            <w:tcBorders>
              <w:top w:val="nil"/>
              <w:left w:val="nil"/>
              <w:bottom w:val="nil"/>
              <w:right w:val="nil"/>
            </w:tcBorders>
            <w:vAlign w:val="center"/>
          </w:tcPr>
          <w:p w14:paraId="0DFCF795" w14:textId="77777777" w:rsidR="00754752" w:rsidRDefault="00754752" w:rsidP="00754752">
            <w:pPr>
              <w:spacing w:after="0" w:line="240" w:lineRule="auto"/>
              <w:jc w:val="center"/>
            </w:pPr>
            <w:r>
              <w:rPr>
                <w:rFonts w:ascii="Times New Roman" w:hAnsi="Times New Roman"/>
                <w:sz w:val="15"/>
              </w:rPr>
              <w:t>0.019</w:t>
            </w:r>
          </w:p>
        </w:tc>
        <w:tc>
          <w:tcPr>
            <w:tcW w:w="1440" w:type="dxa"/>
            <w:tcBorders>
              <w:top w:val="nil"/>
              <w:left w:val="nil"/>
              <w:bottom w:val="nil"/>
              <w:right w:val="nil"/>
            </w:tcBorders>
            <w:vAlign w:val="center"/>
          </w:tcPr>
          <w:p w14:paraId="3CB2CE4B" w14:textId="77777777" w:rsidR="00754752" w:rsidRDefault="00754752" w:rsidP="00754752">
            <w:pPr>
              <w:spacing w:after="0" w:line="240" w:lineRule="auto"/>
              <w:jc w:val="center"/>
            </w:pPr>
            <w:r>
              <w:rPr>
                <w:rFonts w:ascii="Times New Roman" w:hAnsi="Times New Roman"/>
                <w:sz w:val="15"/>
              </w:rPr>
              <w:t>0.0015</w:t>
            </w:r>
          </w:p>
        </w:tc>
        <w:tc>
          <w:tcPr>
            <w:tcW w:w="1368" w:type="dxa"/>
            <w:tcBorders>
              <w:top w:val="nil"/>
              <w:left w:val="nil"/>
              <w:bottom w:val="nil"/>
              <w:right w:val="nil"/>
            </w:tcBorders>
            <w:vAlign w:val="center"/>
          </w:tcPr>
          <w:p w14:paraId="32A0F1CF" w14:textId="77777777" w:rsidR="00754752" w:rsidRDefault="00754752" w:rsidP="00754752">
            <w:pPr>
              <w:spacing w:after="0" w:line="240" w:lineRule="auto"/>
              <w:jc w:val="center"/>
            </w:pPr>
            <w:r>
              <w:rPr>
                <w:rFonts w:ascii="Times New Roman" w:hAnsi="Times New Roman"/>
                <w:sz w:val="15"/>
              </w:rPr>
              <w:t>--</w:t>
            </w:r>
          </w:p>
        </w:tc>
      </w:tr>
      <w:tr w:rsidR="00754752" w14:paraId="3428F85E" w14:textId="77777777" w:rsidTr="00754752">
        <w:trPr>
          <w:cantSplit/>
        </w:trPr>
        <w:tc>
          <w:tcPr>
            <w:tcW w:w="3672" w:type="dxa"/>
            <w:tcBorders>
              <w:top w:val="nil"/>
              <w:left w:val="nil"/>
              <w:bottom w:val="nil"/>
              <w:right w:val="nil"/>
            </w:tcBorders>
            <w:vAlign w:val="center"/>
          </w:tcPr>
          <w:p w14:paraId="59F60042" w14:textId="77777777" w:rsidR="00754752" w:rsidRDefault="00754752" w:rsidP="00754752">
            <w:pPr>
              <w:spacing w:after="0" w:line="240" w:lineRule="auto"/>
            </w:pPr>
            <w:r>
              <w:rPr>
                <w:rFonts w:ascii="Times New Roman" w:hAnsi="Times New Roman"/>
                <w:sz w:val="15"/>
              </w:rPr>
              <w:t>Lagged annual all-migrant-worker policy flow</w:t>
            </w:r>
          </w:p>
        </w:tc>
        <w:tc>
          <w:tcPr>
            <w:tcW w:w="1440" w:type="dxa"/>
            <w:tcBorders>
              <w:top w:val="nil"/>
              <w:left w:val="nil"/>
              <w:bottom w:val="nil"/>
              <w:right w:val="nil"/>
            </w:tcBorders>
            <w:vAlign w:val="center"/>
          </w:tcPr>
          <w:p w14:paraId="4D74C9CE"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146EB7E9"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76921179" w14:textId="77777777" w:rsidR="00754752" w:rsidRDefault="00754752" w:rsidP="00754752">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5CB55920" w14:textId="77777777" w:rsidR="00754752" w:rsidRDefault="00754752" w:rsidP="00754752">
            <w:pPr>
              <w:spacing w:after="0" w:line="240" w:lineRule="auto"/>
              <w:jc w:val="center"/>
            </w:pPr>
            <w:r>
              <w:rPr>
                <w:rFonts w:ascii="Times New Roman" w:hAnsi="Times New Roman"/>
                <w:sz w:val="15"/>
              </w:rPr>
              <w:t>0.000407</w:t>
            </w:r>
          </w:p>
        </w:tc>
      </w:tr>
      <w:tr w:rsidR="00754752" w14:paraId="0CE2298C" w14:textId="77777777" w:rsidTr="00754752">
        <w:trPr>
          <w:cantSplit/>
        </w:trPr>
        <w:tc>
          <w:tcPr>
            <w:tcW w:w="3672" w:type="dxa"/>
            <w:tcBorders>
              <w:top w:val="nil"/>
              <w:left w:val="nil"/>
              <w:bottom w:val="nil"/>
              <w:right w:val="nil"/>
            </w:tcBorders>
            <w:vAlign w:val="center"/>
          </w:tcPr>
          <w:p w14:paraId="22CCFC87" w14:textId="77777777" w:rsidR="00754752" w:rsidRDefault="00754752" w:rsidP="00754752">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2D007A5F"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06635240"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2B571C85" w14:textId="77777777" w:rsidR="00754752" w:rsidRDefault="00754752" w:rsidP="00754752">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47EDE7CB" w14:textId="77777777" w:rsidR="00754752" w:rsidRDefault="00754752" w:rsidP="00754752">
            <w:pPr>
              <w:spacing w:after="0" w:line="240" w:lineRule="auto"/>
              <w:jc w:val="center"/>
            </w:pPr>
            <w:r>
              <w:rPr>
                <w:rFonts w:ascii="Times New Roman" w:hAnsi="Times New Roman"/>
                <w:sz w:val="15"/>
              </w:rPr>
              <w:t>(0.001935)</w:t>
            </w:r>
          </w:p>
        </w:tc>
      </w:tr>
      <w:tr w:rsidR="00754752" w14:paraId="49B31860" w14:textId="77777777" w:rsidTr="00754752">
        <w:trPr>
          <w:cantSplit/>
        </w:trPr>
        <w:tc>
          <w:tcPr>
            <w:tcW w:w="3672" w:type="dxa"/>
            <w:tcBorders>
              <w:top w:val="nil"/>
              <w:left w:val="nil"/>
              <w:bottom w:val="nil"/>
              <w:right w:val="nil"/>
            </w:tcBorders>
            <w:vAlign w:val="center"/>
          </w:tcPr>
          <w:p w14:paraId="5B608852" w14:textId="77777777" w:rsidR="00754752" w:rsidRDefault="00754752" w:rsidP="00754752">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215A8EED"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2A29EB79"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253B3E7A" w14:textId="77777777" w:rsidR="00754752" w:rsidRDefault="00754752" w:rsidP="00754752">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6CD886AA" w14:textId="77777777" w:rsidR="00754752" w:rsidRDefault="00754752" w:rsidP="00754752">
            <w:pPr>
              <w:spacing w:after="0" w:line="240" w:lineRule="auto"/>
              <w:jc w:val="center"/>
            </w:pPr>
            <w:r>
              <w:rPr>
                <w:rFonts w:ascii="Times New Roman" w:hAnsi="Times New Roman"/>
                <w:sz w:val="15"/>
              </w:rPr>
              <w:t>0.835</w:t>
            </w:r>
          </w:p>
        </w:tc>
      </w:tr>
      <w:tr w:rsidR="00754752" w14:paraId="6F6B3BCF" w14:textId="77777777" w:rsidTr="00754752">
        <w:trPr>
          <w:cantSplit/>
        </w:trPr>
        <w:tc>
          <w:tcPr>
            <w:tcW w:w="3672" w:type="dxa"/>
            <w:tcBorders>
              <w:top w:val="nil"/>
              <w:left w:val="nil"/>
              <w:bottom w:val="nil"/>
              <w:right w:val="nil"/>
            </w:tcBorders>
            <w:shd w:val="clear" w:color="auto" w:fill="F5F5F5"/>
            <w:vAlign w:val="center"/>
          </w:tcPr>
          <w:p w14:paraId="76BAF503" w14:textId="77777777" w:rsidR="00754752" w:rsidRDefault="00754752" w:rsidP="00754752">
            <w:pPr>
              <w:spacing w:after="0" w:line="240" w:lineRule="auto"/>
            </w:pPr>
            <w:r>
              <w:rPr>
                <w:rFonts w:ascii="Times New Roman" w:hAnsi="Times New Roman"/>
                <w:i/>
                <w:sz w:val="15"/>
              </w:rPr>
              <w:t>Specification</w:t>
            </w:r>
          </w:p>
        </w:tc>
        <w:tc>
          <w:tcPr>
            <w:tcW w:w="1440" w:type="dxa"/>
            <w:tcBorders>
              <w:top w:val="nil"/>
              <w:left w:val="nil"/>
              <w:bottom w:val="nil"/>
              <w:right w:val="nil"/>
            </w:tcBorders>
            <w:shd w:val="clear" w:color="auto" w:fill="F5F5F5"/>
            <w:vAlign w:val="center"/>
          </w:tcPr>
          <w:p w14:paraId="7D5661A2" w14:textId="77777777" w:rsidR="00754752" w:rsidRDefault="00754752" w:rsidP="00754752">
            <w:pPr>
              <w:spacing w:after="0" w:line="240" w:lineRule="auto"/>
              <w:jc w:val="center"/>
            </w:pPr>
          </w:p>
        </w:tc>
        <w:tc>
          <w:tcPr>
            <w:tcW w:w="1440" w:type="dxa"/>
            <w:tcBorders>
              <w:top w:val="nil"/>
              <w:left w:val="nil"/>
              <w:bottom w:val="nil"/>
              <w:right w:val="nil"/>
            </w:tcBorders>
            <w:shd w:val="clear" w:color="auto" w:fill="F5F5F5"/>
            <w:vAlign w:val="center"/>
          </w:tcPr>
          <w:p w14:paraId="75EC731E" w14:textId="77777777" w:rsidR="00754752" w:rsidRDefault="00754752" w:rsidP="00754752">
            <w:pPr>
              <w:spacing w:after="0" w:line="240" w:lineRule="auto"/>
              <w:jc w:val="center"/>
            </w:pPr>
          </w:p>
        </w:tc>
        <w:tc>
          <w:tcPr>
            <w:tcW w:w="1440" w:type="dxa"/>
            <w:tcBorders>
              <w:top w:val="nil"/>
              <w:left w:val="nil"/>
              <w:bottom w:val="nil"/>
              <w:right w:val="nil"/>
            </w:tcBorders>
            <w:shd w:val="clear" w:color="auto" w:fill="F5F5F5"/>
            <w:vAlign w:val="center"/>
          </w:tcPr>
          <w:p w14:paraId="0B093C10" w14:textId="77777777" w:rsidR="00754752" w:rsidRDefault="00754752" w:rsidP="00754752">
            <w:pPr>
              <w:spacing w:after="0" w:line="240" w:lineRule="auto"/>
              <w:jc w:val="center"/>
            </w:pPr>
          </w:p>
        </w:tc>
        <w:tc>
          <w:tcPr>
            <w:tcW w:w="1368" w:type="dxa"/>
            <w:tcBorders>
              <w:top w:val="nil"/>
              <w:left w:val="nil"/>
              <w:bottom w:val="nil"/>
              <w:right w:val="nil"/>
            </w:tcBorders>
            <w:shd w:val="clear" w:color="auto" w:fill="F5F5F5"/>
            <w:vAlign w:val="center"/>
          </w:tcPr>
          <w:p w14:paraId="7C51F685" w14:textId="77777777" w:rsidR="00754752" w:rsidRDefault="00754752" w:rsidP="00754752">
            <w:pPr>
              <w:spacing w:after="0" w:line="240" w:lineRule="auto"/>
              <w:jc w:val="center"/>
            </w:pPr>
          </w:p>
        </w:tc>
      </w:tr>
      <w:tr w:rsidR="00754752" w14:paraId="4B6C565C" w14:textId="77777777" w:rsidTr="00754752">
        <w:trPr>
          <w:cantSplit/>
        </w:trPr>
        <w:tc>
          <w:tcPr>
            <w:tcW w:w="3672" w:type="dxa"/>
            <w:tcBorders>
              <w:top w:val="nil"/>
              <w:left w:val="nil"/>
              <w:bottom w:val="nil"/>
              <w:right w:val="nil"/>
            </w:tcBorders>
            <w:vAlign w:val="center"/>
          </w:tcPr>
          <w:p w14:paraId="7FE258D3" w14:textId="77777777" w:rsidR="00754752" w:rsidRDefault="00754752" w:rsidP="00754752">
            <w:pPr>
              <w:spacing w:after="0" w:line="240" w:lineRule="auto"/>
            </w:pPr>
            <w:r>
              <w:rPr>
                <w:rFonts w:ascii="Times New Roman" w:hAnsi="Times New Roman"/>
                <w:sz w:val="15"/>
              </w:rPr>
              <w:t>Skill-target policy paths</w:t>
            </w:r>
          </w:p>
        </w:tc>
        <w:tc>
          <w:tcPr>
            <w:tcW w:w="1440" w:type="dxa"/>
            <w:tcBorders>
              <w:top w:val="nil"/>
              <w:left w:val="nil"/>
              <w:bottom w:val="nil"/>
              <w:right w:val="nil"/>
            </w:tcBorders>
            <w:vAlign w:val="center"/>
          </w:tcPr>
          <w:p w14:paraId="297694C2" w14:textId="77777777" w:rsidR="00754752" w:rsidRDefault="00754752" w:rsidP="00754752">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4535A4ED" w14:textId="77777777" w:rsidR="00754752" w:rsidRDefault="00754752" w:rsidP="00754752">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3604F8C2" w14:textId="77777777" w:rsidR="00754752" w:rsidRDefault="00754752" w:rsidP="00754752">
            <w:pPr>
              <w:spacing w:after="0" w:line="240" w:lineRule="auto"/>
              <w:jc w:val="center"/>
            </w:pPr>
            <w:r>
              <w:rPr>
                <w:rFonts w:ascii="Times New Roman" w:hAnsi="Times New Roman"/>
                <w:sz w:val="15"/>
              </w:rPr>
              <w:t>Cumulative</w:t>
            </w:r>
          </w:p>
        </w:tc>
        <w:tc>
          <w:tcPr>
            <w:tcW w:w="1368" w:type="dxa"/>
            <w:tcBorders>
              <w:top w:val="nil"/>
              <w:left w:val="nil"/>
              <w:bottom w:val="nil"/>
              <w:right w:val="nil"/>
            </w:tcBorders>
            <w:vAlign w:val="center"/>
          </w:tcPr>
          <w:p w14:paraId="77C7EA16" w14:textId="77777777" w:rsidR="00754752" w:rsidRDefault="00754752" w:rsidP="00754752">
            <w:pPr>
              <w:spacing w:after="0" w:line="240" w:lineRule="auto"/>
              <w:jc w:val="center"/>
            </w:pPr>
            <w:r>
              <w:rPr>
                <w:rFonts w:ascii="Times New Roman" w:hAnsi="Times New Roman"/>
                <w:sz w:val="15"/>
              </w:rPr>
              <w:t>Annual</w:t>
            </w:r>
          </w:p>
        </w:tc>
      </w:tr>
      <w:tr w:rsidR="00754752" w14:paraId="68BF1BF6" w14:textId="77777777" w:rsidTr="00754752">
        <w:trPr>
          <w:cantSplit/>
        </w:trPr>
        <w:tc>
          <w:tcPr>
            <w:tcW w:w="3672" w:type="dxa"/>
            <w:tcBorders>
              <w:top w:val="nil"/>
              <w:left w:val="nil"/>
              <w:bottom w:val="nil"/>
              <w:right w:val="nil"/>
            </w:tcBorders>
            <w:vAlign w:val="center"/>
          </w:tcPr>
          <w:p w14:paraId="1639F7BE" w14:textId="77777777" w:rsidR="00754752" w:rsidRDefault="00754752" w:rsidP="00754752">
            <w:pPr>
              <w:spacing w:after="0" w:line="240" w:lineRule="auto"/>
            </w:pPr>
            <w:r>
              <w:rPr>
                <w:rFonts w:ascii="Times New Roman" w:hAnsi="Times New Roman"/>
                <w:sz w:val="15"/>
              </w:rPr>
              <w:t>Permit-denominator weights</w:t>
            </w:r>
          </w:p>
        </w:tc>
        <w:tc>
          <w:tcPr>
            <w:tcW w:w="1440" w:type="dxa"/>
            <w:tcBorders>
              <w:top w:val="nil"/>
              <w:left w:val="nil"/>
              <w:bottom w:val="nil"/>
              <w:right w:val="nil"/>
            </w:tcBorders>
            <w:vAlign w:val="center"/>
          </w:tcPr>
          <w:p w14:paraId="48E1F237" w14:textId="77777777" w:rsidR="00754752" w:rsidRDefault="00754752" w:rsidP="00754752">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1F15F8AE" w14:textId="77777777" w:rsidR="00754752" w:rsidRDefault="00754752" w:rsidP="00754752">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28F1F6BE" w14:textId="77777777" w:rsidR="00754752" w:rsidRDefault="00754752" w:rsidP="00754752">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65938E18" w14:textId="77777777" w:rsidR="00754752" w:rsidRDefault="00754752" w:rsidP="00754752">
            <w:pPr>
              <w:spacing w:after="0" w:line="240" w:lineRule="auto"/>
              <w:jc w:val="center"/>
            </w:pPr>
            <w:r>
              <w:rPr>
                <w:rFonts w:ascii="Times New Roman" w:hAnsi="Times New Roman"/>
                <w:sz w:val="15"/>
              </w:rPr>
              <w:t>No</w:t>
            </w:r>
          </w:p>
        </w:tc>
      </w:tr>
      <w:tr w:rsidR="00754752" w14:paraId="09B8764B" w14:textId="77777777" w:rsidTr="00754752">
        <w:trPr>
          <w:cantSplit/>
        </w:trPr>
        <w:tc>
          <w:tcPr>
            <w:tcW w:w="3672" w:type="dxa"/>
            <w:tcBorders>
              <w:top w:val="nil"/>
              <w:left w:val="nil"/>
              <w:bottom w:val="nil"/>
              <w:right w:val="nil"/>
            </w:tcBorders>
            <w:vAlign w:val="center"/>
          </w:tcPr>
          <w:p w14:paraId="06A0A621" w14:textId="77777777" w:rsidR="00754752" w:rsidRDefault="00754752" w:rsidP="00754752">
            <w:pPr>
              <w:spacing w:after="0" w:line="240" w:lineRule="auto"/>
            </w:pPr>
            <w:r>
              <w:rPr>
                <w:rFonts w:ascii="Times New Roman" w:hAnsi="Times New Roman"/>
                <w:sz w:val="15"/>
              </w:rPr>
              <w:t>Destination fixed effects</w:t>
            </w:r>
          </w:p>
        </w:tc>
        <w:tc>
          <w:tcPr>
            <w:tcW w:w="1440" w:type="dxa"/>
            <w:tcBorders>
              <w:top w:val="nil"/>
              <w:left w:val="nil"/>
              <w:bottom w:val="nil"/>
              <w:right w:val="nil"/>
            </w:tcBorders>
            <w:vAlign w:val="center"/>
          </w:tcPr>
          <w:p w14:paraId="5C11F9D5" w14:textId="77777777" w:rsidR="00754752" w:rsidRDefault="00754752" w:rsidP="00754752">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38AA42E9" w14:textId="77777777" w:rsidR="00754752" w:rsidRDefault="00754752" w:rsidP="00754752">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76D5B903" w14:textId="77777777" w:rsidR="00754752" w:rsidRDefault="00754752" w:rsidP="00754752">
            <w:pPr>
              <w:spacing w:after="0" w:line="240" w:lineRule="auto"/>
              <w:jc w:val="center"/>
            </w:pPr>
            <w:r>
              <w:rPr>
                <w:rFonts w:ascii="Times New Roman" w:hAnsi="Times New Roman"/>
                <w:sz w:val="15"/>
              </w:rPr>
              <w:t>No</w:t>
            </w:r>
          </w:p>
        </w:tc>
        <w:tc>
          <w:tcPr>
            <w:tcW w:w="1368" w:type="dxa"/>
            <w:tcBorders>
              <w:top w:val="nil"/>
              <w:left w:val="nil"/>
              <w:bottom w:val="nil"/>
              <w:right w:val="nil"/>
            </w:tcBorders>
            <w:vAlign w:val="center"/>
          </w:tcPr>
          <w:p w14:paraId="0027962A" w14:textId="77777777" w:rsidR="00754752" w:rsidRDefault="00754752" w:rsidP="00754752">
            <w:pPr>
              <w:spacing w:after="0" w:line="240" w:lineRule="auto"/>
              <w:jc w:val="center"/>
            </w:pPr>
            <w:r>
              <w:rPr>
                <w:rFonts w:ascii="Times New Roman" w:hAnsi="Times New Roman"/>
                <w:sz w:val="15"/>
              </w:rPr>
              <w:t>Yes</w:t>
            </w:r>
          </w:p>
        </w:tc>
      </w:tr>
      <w:tr w:rsidR="00754752" w14:paraId="6E79A27B" w14:textId="77777777" w:rsidTr="00754752">
        <w:trPr>
          <w:cantSplit/>
        </w:trPr>
        <w:tc>
          <w:tcPr>
            <w:tcW w:w="3672" w:type="dxa"/>
            <w:tcBorders>
              <w:top w:val="nil"/>
              <w:left w:val="nil"/>
              <w:bottom w:val="nil"/>
              <w:right w:val="nil"/>
            </w:tcBorders>
            <w:vAlign w:val="center"/>
          </w:tcPr>
          <w:p w14:paraId="049ED519" w14:textId="77777777" w:rsidR="00754752" w:rsidRDefault="00754752" w:rsidP="00754752">
            <w:pPr>
              <w:spacing w:after="0" w:line="240" w:lineRule="auto"/>
            </w:pPr>
            <w:r>
              <w:rPr>
                <w:rFonts w:ascii="Times New Roman" w:hAnsi="Times New Roman"/>
                <w:sz w:val="15"/>
              </w:rPr>
              <w:t>Origin-destination corridor fixed effects</w:t>
            </w:r>
          </w:p>
        </w:tc>
        <w:tc>
          <w:tcPr>
            <w:tcW w:w="1440" w:type="dxa"/>
            <w:tcBorders>
              <w:top w:val="nil"/>
              <w:left w:val="nil"/>
              <w:bottom w:val="nil"/>
              <w:right w:val="nil"/>
            </w:tcBorders>
            <w:vAlign w:val="center"/>
          </w:tcPr>
          <w:p w14:paraId="5C61C443" w14:textId="77777777" w:rsidR="00754752" w:rsidRDefault="00754752" w:rsidP="00754752">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2DB32505" w14:textId="77777777" w:rsidR="00754752" w:rsidRDefault="00754752" w:rsidP="00754752">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4CA00C3A" w14:textId="77777777" w:rsidR="00754752" w:rsidRDefault="00754752" w:rsidP="00754752">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3301FDFD" w14:textId="77777777" w:rsidR="00754752" w:rsidRDefault="00754752" w:rsidP="00754752">
            <w:pPr>
              <w:spacing w:after="0" w:line="240" w:lineRule="auto"/>
              <w:jc w:val="center"/>
            </w:pPr>
            <w:r>
              <w:rPr>
                <w:rFonts w:ascii="Times New Roman" w:hAnsi="Times New Roman"/>
                <w:sz w:val="15"/>
              </w:rPr>
              <w:t>No</w:t>
            </w:r>
          </w:p>
        </w:tc>
      </w:tr>
      <w:tr w:rsidR="00754752" w14:paraId="3A56E934" w14:textId="77777777" w:rsidTr="00754752">
        <w:trPr>
          <w:cantSplit/>
        </w:trPr>
        <w:tc>
          <w:tcPr>
            <w:tcW w:w="3672" w:type="dxa"/>
            <w:tcBorders>
              <w:top w:val="nil"/>
              <w:left w:val="nil"/>
              <w:bottom w:val="nil"/>
              <w:right w:val="nil"/>
            </w:tcBorders>
            <w:vAlign w:val="center"/>
          </w:tcPr>
          <w:p w14:paraId="4B5B4524" w14:textId="77777777" w:rsidR="00754752" w:rsidRDefault="00754752" w:rsidP="00754752">
            <w:pPr>
              <w:spacing w:after="0" w:line="240" w:lineRule="auto"/>
            </w:pPr>
            <w:r>
              <w:rPr>
                <w:rFonts w:ascii="Times New Roman" w:hAnsi="Times New Roman"/>
                <w:sz w:val="15"/>
              </w:rPr>
              <w:t>Observations</w:t>
            </w:r>
          </w:p>
        </w:tc>
        <w:tc>
          <w:tcPr>
            <w:tcW w:w="1440" w:type="dxa"/>
            <w:tcBorders>
              <w:top w:val="nil"/>
              <w:left w:val="nil"/>
              <w:bottom w:val="nil"/>
              <w:right w:val="nil"/>
            </w:tcBorders>
            <w:vAlign w:val="center"/>
          </w:tcPr>
          <w:p w14:paraId="077844AF" w14:textId="77777777" w:rsidR="00754752" w:rsidRDefault="00754752" w:rsidP="00754752">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w14:paraId="2BEF8F72" w14:textId="77777777" w:rsidR="00754752" w:rsidRDefault="00754752" w:rsidP="00754752">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w14:paraId="205EBFCA" w14:textId="77777777" w:rsidR="00754752" w:rsidRDefault="00754752" w:rsidP="00754752">
            <w:pPr>
              <w:spacing w:after="0" w:line="240" w:lineRule="auto"/>
              <w:jc w:val="center"/>
            </w:pPr>
            <w:r>
              <w:rPr>
                <w:rFonts w:ascii="Times New Roman" w:hAnsi="Times New Roman"/>
                <w:sz w:val="15"/>
              </w:rPr>
              <w:t>5,608</w:t>
            </w:r>
          </w:p>
        </w:tc>
        <w:tc>
          <w:tcPr>
            <w:tcW w:w="1368" w:type="dxa"/>
            <w:tcBorders>
              <w:top w:val="nil"/>
              <w:left w:val="nil"/>
              <w:bottom w:val="nil"/>
              <w:right w:val="nil"/>
            </w:tcBorders>
            <w:vAlign w:val="center"/>
          </w:tcPr>
          <w:p w14:paraId="6DF064C6" w14:textId="77777777" w:rsidR="00754752" w:rsidRDefault="00754752" w:rsidP="00754752">
            <w:pPr>
              <w:spacing w:after="0" w:line="240" w:lineRule="auto"/>
              <w:jc w:val="center"/>
            </w:pPr>
            <w:r>
              <w:rPr>
                <w:rFonts w:ascii="Times New Roman" w:hAnsi="Times New Roman"/>
                <w:sz w:val="15"/>
              </w:rPr>
              <w:t>5,608</w:t>
            </w:r>
          </w:p>
        </w:tc>
      </w:tr>
      <w:tr w:rsidR="00754752" w14:paraId="61B03F35" w14:textId="77777777" w:rsidTr="00754752">
        <w:trPr>
          <w:cantSplit/>
        </w:trPr>
        <w:tc>
          <w:tcPr>
            <w:tcW w:w="3672" w:type="dxa"/>
            <w:tcBorders>
              <w:top w:val="nil"/>
              <w:left w:val="nil"/>
              <w:bottom w:val="single" w:sz="10" w:space="0" w:color="000000"/>
              <w:right w:val="nil"/>
            </w:tcBorders>
            <w:vAlign w:val="center"/>
          </w:tcPr>
          <w:p w14:paraId="333D51AC" w14:textId="77777777" w:rsidR="00754752" w:rsidRDefault="00754752" w:rsidP="00754752">
            <w:pPr>
              <w:spacing w:after="0" w:line="240" w:lineRule="auto"/>
            </w:pPr>
            <w:r>
              <w:rPr>
                <w:rFonts w:ascii="Times New Roman" w:hAnsi="Times New Roman"/>
                <w:sz w:val="15"/>
              </w:rPr>
              <w:t>Destination clusters</w:t>
            </w:r>
          </w:p>
        </w:tc>
        <w:tc>
          <w:tcPr>
            <w:tcW w:w="1440" w:type="dxa"/>
            <w:tcBorders>
              <w:top w:val="nil"/>
              <w:left w:val="nil"/>
              <w:bottom w:val="single" w:sz="10" w:space="0" w:color="000000"/>
              <w:right w:val="nil"/>
            </w:tcBorders>
            <w:vAlign w:val="center"/>
          </w:tcPr>
          <w:p w14:paraId="52730EE5" w14:textId="77777777" w:rsidR="00754752" w:rsidRDefault="00754752" w:rsidP="00754752">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230F581C" w14:textId="77777777" w:rsidR="00754752" w:rsidRDefault="00754752" w:rsidP="00754752">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1EB3F9C0" w14:textId="77777777" w:rsidR="00754752" w:rsidRDefault="00754752" w:rsidP="00754752">
            <w:pPr>
              <w:spacing w:after="0" w:line="240" w:lineRule="auto"/>
              <w:jc w:val="center"/>
            </w:pPr>
            <w:r>
              <w:rPr>
                <w:rFonts w:ascii="Times New Roman" w:hAnsi="Times New Roman"/>
                <w:sz w:val="15"/>
              </w:rPr>
              <w:t>30</w:t>
            </w:r>
          </w:p>
        </w:tc>
        <w:tc>
          <w:tcPr>
            <w:tcW w:w="1368" w:type="dxa"/>
            <w:tcBorders>
              <w:top w:val="nil"/>
              <w:left w:val="nil"/>
              <w:bottom w:val="single" w:sz="10" w:space="0" w:color="000000"/>
              <w:right w:val="nil"/>
            </w:tcBorders>
            <w:vAlign w:val="center"/>
          </w:tcPr>
          <w:p w14:paraId="7980EA7A" w14:textId="77777777" w:rsidR="00754752" w:rsidRDefault="00754752" w:rsidP="00754752">
            <w:pPr>
              <w:spacing w:after="0" w:line="240" w:lineRule="auto"/>
              <w:jc w:val="center"/>
            </w:pPr>
            <w:r>
              <w:rPr>
                <w:rFonts w:ascii="Times New Roman" w:hAnsi="Times New Roman"/>
                <w:sz w:val="15"/>
              </w:rPr>
              <w:t>30</w:t>
            </w:r>
          </w:p>
        </w:tc>
      </w:tr>
    </w:tbl>
    <w:p w14:paraId="4175BBE1" w14:textId="77777777" w:rsidR="004818D5" w:rsidRPr="006B4C5C" w:rsidRDefault="00A36F18" w:rsidP="00773048">
      <w:pPr>
        <w:jc w:val="center"/>
        <w:rPr>
          <w:sz w:val="18"/>
          <w:szCs w:val="18"/>
        </w:rPr>
      </w:pPr>
      <w:r>
        <w:rPr>
          <w:sz w:val="18"/>
          <w:szCs w:val="18"/>
        </w:rPr>
        <w:t>Table 7 note. Outcome: bilateral high-skilled share of employment-related permits. All models include origin-year fixed effects, lagged bilateral permit scale, lagged destination unemployment, lagged destination GDP growth, and the corresponding high- and low-skill policy paths; standard errors cluster by destination. The preferred, unweighted, and annual-flow models use destination fixed effects, while the corridor model replaces them with origin-destination fixed effects. The preferred and corridor models use employment-permit-denominator weights. All columns retain cells with at least 30 current employment permits.</w:t>
      </w:r>
    </w:p>
    <w:p w14:paraId="5CB58898" w14:textId="77777777" w:rsidR="008F026E" w:rsidRDefault="00A36F18">
      <w:pPr>
        <w:jc w:val="both"/>
      </w:pPr>
      <w:r>
        <w:t>The preferred bilateral coefficient is β = 0.006516 with cluster-robust SE = 0.001612 (t = 4.04, p &lt; 0.001, N = 5,608 origin-destination-year cells across G = 30 destinations). The wild-cluster bootstrap p-value is 0.007, so the result remains significant after the few-cluster correction. A one-unit increase in lagged cumulative net policy change for all-migrant-worker reforms is associated with a 0.65-percentage-point increase in HSRate, conditional on the full set of fixed effects and controls listed in the Table 7 notes. The high-skilled policy control is imprecisely estimated (β = 0.001423, p = 0.446). The low-skilled policy control is negative and marginal at ten percent (β = -0.008571, p = 0.085), so it is not treated as main evidence.</w:t>
      </w:r>
    </w:p>
    <w:p w14:paraId="3B46119A" w14:textId="77777777" w:rsidR="008F026E" w:rsidRDefault="00A36F18">
      <w:pPr>
        <w:jc w:val="both"/>
      </w:pPr>
      <w:r>
        <w:t xml:space="preserve">Scaling the estimate by event magnitude makes its size easier to interpret. A Mid-level restrictive reform contributes three cumulative units, corresponding to a 1.95-percentage-point higher </w:t>
      </w:r>
      <w:r>
        <w:lastRenderedPageBreak/>
        <w:t>HSRate the following year. A Major reform contributes four units, corresponding to 2.61 percentage points. Relative to the bilateral-sample mean HSRate of 21.0 percent, the Major-reform calculation is about 12.4 percent of the mean. The comparable full-control aggregate coefficient is smaller and imprecise (β = 0.002296, p = 0.243); its four-unit calculation is about 0.92 percentage points and is not statistically distinguishable from zero.</w:t>
      </w:r>
    </w:p>
    <w:p w14:paraId="0A1E0762" w14:textId="77777777" w:rsidR="008F026E" w:rsidRDefault="00A36F18">
      <w:pPr>
        <w:jc w:val="both"/>
      </w:pPr>
      <w:r>
        <w:t>The alternative bilateral models clarify which design choices matter. The unweighted controlled estimate remains positive (β = 0.004587, SE = 0.001850, p = 0.019), but its wild-cluster bootstrap p-value is 0.079. After the few-cluster correction, the strongest evidence therefore comes from the denominator-weighted estimator chosen in advance. The weighted corridor-fixed-effects estimate is also positive and significant (β = 0.005495, SE = 0.001565, p = 0.0015; bootstrap p = 0.0045), so the retained-sample result does not depend only on stable corridor differences.</w:t>
      </w:r>
    </w:p>
    <w:p w14:paraId="3D0DE430" w14:textId="77777777" w:rsidR="008F026E" w:rsidRDefault="00A36F18">
      <w:pPr>
        <w:jc w:val="both"/>
      </w:pPr>
      <w:r>
        <w:t>The bilateral annual policy-flow coefficient is not significant (β = 0.000407, p = 0.835). The preferred finding is therefore a cumulative net-policy-change association, not evidence of a short-run response to newly adopted annual events.</w:t>
      </w:r>
    </w:p>
    <w:p w14:paraId="58F7D802" w14:textId="77777777" w:rsidR="00961C7F" w:rsidRPr="005E60E1" w:rsidRDefault="008A042F" w:rsidP="005E60E1">
      <w:pPr>
        <w:spacing w:after="0" w:line="240" w:lineRule="auto"/>
        <w:rPr>
          <w:rFonts w:ascii="Cambria" w:hAnsi="Cambria"/>
          <w:b/>
          <w:bCs/>
          <w:sz w:val="26"/>
          <w:szCs w:val="26"/>
        </w:rPr>
      </w:pPr>
      <w:r w:rsidRPr="005E60E1">
        <w:rPr>
          <w:rFonts w:ascii="Cambria" w:hAnsi="Cambria"/>
          <w:b/>
          <w:bCs/>
          <w:sz w:val="26"/>
          <w:szCs w:val="26"/>
        </w:rPr>
        <w:t>7.3 Bilateral PPML Permit-Count Results and Category Diagnostics</w:t>
      </w:r>
    </w:p>
    <w:p w14:paraId="3726A503" w14:textId="77777777" w:rsidR="00580EF0" w:rsidRPr="00580EF0" w:rsidRDefault="00580EF0" w:rsidP="00580EF0">
      <w:pPr>
        <w:spacing w:after="0" w:line="240" w:lineRule="auto"/>
        <w:rPr>
          <w:rFonts w:ascii="Cambria" w:eastAsia="Cambria" w:hAnsi="Cambria" w:cs="Cambria"/>
          <w:b/>
          <w:bCs/>
          <w:color w:val="000000"/>
          <w:sz w:val="26"/>
          <w:szCs w:val="26"/>
        </w:rPr>
      </w:pPr>
    </w:p>
    <w:p w14:paraId="60952739" w14:textId="77777777" w:rsidR="004E18CD" w:rsidRDefault="0002048E" w:rsidP="004E18CD">
      <w:pPr>
        <w:jc w:val="both"/>
      </w:pPr>
      <w:r>
        <w:t>Table 8 reports the supporting PPML count models. Column (1) uses HSNumber as the dependent variable, while column (2) uses the total employment-permit count.</w:t>
      </w:r>
    </w:p>
    <w:tbl>
      <w:tblPr>
        <w:tblpPr w:leftFromText="180" w:rightFromText="180" w:vertAnchor="text" w:horzAnchor="margin" w:tblpY="450"/>
        <w:tblW w:w="9360" w:type="dxa"/>
        <w:tblLayout w:type="fixed"/>
        <w:tblLook w:val="04A0" w:firstRow="1" w:lastRow="0" w:firstColumn="1" w:lastColumn="0" w:noHBand="0" w:noVBand="1"/>
      </w:tblPr>
      <w:tblGrid>
        <w:gridCol w:w="5112"/>
        <w:gridCol w:w="2088"/>
        <w:gridCol w:w="2160"/>
      </w:tblGrid>
      <w:tr w:rsidR="00534A3C" w14:paraId="3277B733" w14:textId="77777777" w:rsidTr="003B3442">
        <w:trPr>
          <w:cantSplit/>
          <w:tblHeader/>
        </w:trPr>
        <w:tc>
          <w:tcPr>
            <w:tcW w:w="5112" w:type="dxa"/>
            <w:tcBorders>
              <w:top w:val="single" w:sz="10" w:space="0" w:color="000000"/>
              <w:left w:val="nil"/>
              <w:bottom w:val="single" w:sz="8" w:space="0" w:color="000000"/>
              <w:right w:val="nil"/>
            </w:tcBorders>
            <w:shd w:val="clear" w:color="auto" w:fill="EDEDED"/>
            <w:vAlign w:val="center"/>
          </w:tcPr>
          <w:p w14:paraId="550EAC51" w14:textId="77777777" w:rsidR="00534A3C" w:rsidRDefault="00534A3C" w:rsidP="003B3442">
            <w:pPr>
              <w:spacing w:after="0" w:line="240" w:lineRule="auto"/>
            </w:pPr>
          </w:p>
        </w:tc>
        <w:tc>
          <w:tcPr>
            <w:tcW w:w="2088" w:type="dxa"/>
            <w:tcBorders>
              <w:top w:val="single" w:sz="10" w:space="0" w:color="000000"/>
              <w:left w:val="nil"/>
              <w:bottom w:val="single" w:sz="8" w:space="0" w:color="000000"/>
              <w:right w:val="nil"/>
            </w:tcBorders>
            <w:shd w:val="clear" w:color="auto" w:fill="EDEDED"/>
            <w:vAlign w:val="center"/>
          </w:tcPr>
          <w:p w14:paraId="2EF58DDF" w14:textId="77777777" w:rsidR="00534A3C" w:rsidRDefault="00534A3C" w:rsidP="003B3442">
            <w:pPr>
              <w:spacing w:after="0" w:line="240" w:lineRule="auto"/>
              <w:jc w:val="center"/>
            </w:pPr>
            <w:r>
              <w:rPr>
                <w:rFonts w:ascii="Times New Roman" w:hAnsi="Times New Roman"/>
                <w:b/>
                <w:sz w:val="17"/>
              </w:rPr>
              <w:t>(1) High-skilled permit count</w:t>
            </w:r>
          </w:p>
        </w:tc>
        <w:tc>
          <w:tcPr>
            <w:tcW w:w="2160" w:type="dxa"/>
            <w:tcBorders>
              <w:top w:val="single" w:sz="10" w:space="0" w:color="000000"/>
              <w:left w:val="nil"/>
              <w:bottom w:val="single" w:sz="8" w:space="0" w:color="000000"/>
              <w:right w:val="nil"/>
            </w:tcBorders>
            <w:shd w:val="clear" w:color="auto" w:fill="EDEDED"/>
            <w:vAlign w:val="center"/>
          </w:tcPr>
          <w:p w14:paraId="1D5073D0" w14:textId="77777777" w:rsidR="00534A3C" w:rsidRDefault="00534A3C" w:rsidP="003B3442">
            <w:pPr>
              <w:spacing w:after="0" w:line="240" w:lineRule="auto"/>
              <w:jc w:val="center"/>
            </w:pPr>
            <w:r>
              <w:rPr>
                <w:rFonts w:ascii="Times New Roman" w:hAnsi="Times New Roman"/>
                <w:b/>
                <w:sz w:val="17"/>
              </w:rPr>
              <w:t>(2) Total employment-permit count</w:t>
            </w:r>
          </w:p>
        </w:tc>
      </w:tr>
      <w:tr w:rsidR="00534A3C" w14:paraId="1BF18A5D" w14:textId="77777777" w:rsidTr="003B3442">
        <w:trPr>
          <w:cantSplit/>
        </w:trPr>
        <w:tc>
          <w:tcPr>
            <w:tcW w:w="5112" w:type="dxa"/>
            <w:tcBorders>
              <w:top w:val="nil"/>
              <w:left w:val="nil"/>
              <w:bottom w:val="nil"/>
              <w:right w:val="nil"/>
            </w:tcBorders>
            <w:shd w:val="clear" w:color="auto" w:fill="F5F5F5"/>
            <w:vAlign w:val="center"/>
          </w:tcPr>
          <w:p w14:paraId="35BBE1B1" w14:textId="77777777" w:rsidR="00534A3C" w:rsidRDefault="00534A3C" w:rsidP="003B3442">
            <w:pPr>
              <w:spacing w:after="0" w:line="240" w:lineRule="auto"/>
            </w:pPr>
            <w:r>
              <w:rPr>
                <w:rFonts w:ascii="Times New Roman" w:hAnsi="Times New Roman"/>
                <w:i/>
                <w:sz w:val="17"/>
              </w:rPr>
              <w:t>Policy coefficient</w:t>
            </w:r>
          </w:p>
        </w:tc>
        <w:tc>
          <w:tcPr>
            <w:tcW w:w="2088" w:type="dxa"/>
            <w:tcBorders>
              <w:top w:val="nil"/>
              <w:left w:val="nil"/>
              <w:bottom w:val="nil"/>
              <w:right w:val="nil"/>
            </w:tcBorders>
            <w:shd w:val="clear" w:color="auto" w:fill="F5F5F5"/>
            <w:vAlign w:val="center"/>
          </w:tcPr>
          <w:p w14:paraId="03CE05B1" w14:textId="77777777" w:rsidR="00534A3C" w:rsidRDefault="00534A3C" w:rsidP="003B3442">
            <w:pPr>
              <w:spacing w:after="0" w:line="240" w:lineRule="auto"/>
              <w:jc w:val="center"/>
            </w:pPr>
          </w:p>
        </w:tc>
        <w:tc>
          <w:tcPr>
            <w:tcW w:w="2160" w:type="dxa"/>
            <w:tcBorders>
              <w:top w:val="nil"/>
              <w:left w:val="nil"/>
              <w:bottom w:val="nil"/>
              <w:right w:val="nil"/>
            </w:tcBorders>
            <w:shd w:val="clear" w:color="auto" w:fill="F5F5F5"/>
            <w:vAlign w:val="center"/>
          </w:tcPr>
          <w:p w14:paraId="11BD083B" w14:textId="77777777" w:rsidR="00534A3C" w:rsidRDefault="00534A3C" w:rsidP="003B3442">
            <w:pPr>
              <w:spacing w:after="0" w:line="240" w:lineRule="auto"/>
              <w:jc w:val="center"/>
            </w:pPr>
          </w:p>
        </w:tc>
      </w:tr>
      <w:tr w:rsidR="00534A3C" w14:paraId="59F6306A" w14:textId="77777777" w:rsidTr="003B3442">
        <w:trPr>
          <w:cantSplit/>
        </w:trPr>
        <w:tc>
          <w:tcPr>
            <w:tcW w:w="5112" w:type="dxa"/>
            <w:tcBorders>
              <w:top w:val="nil"/>
              <w:left w:val="nil"/>
              <w:bottom w:val="nil"/>
              <w:right w:val="nil"/>
            </w:tcBorders>
            <w:vAlign w:val="center"/>
          </w:tcPr>
          <w:p w14:paraId="1C55DDD7" w14:textId="77777777" w:rsidR="00534A3C" w:rsidRDefault="00534A3C" w:rsidP="003B3442">
            <w:pPr>
              <w:spacing w:after="0" w:line="240" w:lineRule="auto"/>
            </w:pPr>
            <w:r>
              <w:rPr>
                <w:rFonts w:ascii="Times New Roman" w:hAnsi="Times New Roman"/>
                <w:sz w:val="17"/>
              </w:rPr>
              <w:t>Lagged cumulative all-migrant-worker score</w:t>
            </w:r>
          </w:p>
        </w:tc>
        <w:tc>
          <w:tcPr>
            <w:tcW w:w="2088" w:type="dxa"/>
            <w:tcBorders>
              <w:top w:val="nil"/>
              <w:left w:val="nil"/>
              <w:bottom w:val="nil"/>
              <w:right w:val="nil"/>
            </w:tcBorders>
            <w:vAlign w:val="center"/>
          </w:tcPr>
          <w:p w14:paraId="252C4298" w14:textId="77777777" w:rsidR="00534A3C" w:rsidRDefault="00534A3C" w:rsidP="003B3442">
            <w:pPr>
              <w:spacing w:after="0" w:line="240" w:lineRule="auto"/>
              <w:jc w:val="center"/>
            </w:pPr>
            <w:r>
              <w:rPr>
                <w:rFonts w:ascii="Times New Roman" w:hAnsi="Times New Roman"/>
                <w:b/>
                <w:sz w:val="17"/>
              </w:rPr>
              <w:t>0.045536***</w:t>
            </w:r>
          </w:p>
        </w:tc>
        <w:tc>
          <w:tcPr>
            <w:tcW w:w="2160" w:type="dxa"/>
            <w:tcBorders>
              <w:top w:val="nil"/>
              <w:left w:val="nil"/>
              <w:bottom w:val="nil"/>
              <w:right w:val="nil"/>
            </w:tcBorders>
            <w:vAlign w:val="center"/>
          </w:tcPr>
          <w:p w14:paraId="2E03919E" w14:textId="77777777" w:rsidR="00534A3C" w:rsidRDefault="00534A3C" w:rsidP="003B3442">
            <w:pPr>
              <w:spacing w:after="0" w:line="240" w:lineRule="auto"/>
              <w:jc w:val="center"/>
            </w:pPr>
            <w:r>
              <w:rPr>
                <w:rFonts w:ascii="Times New Roman" w:hAnsi="Times New Roman"/>
                <w:sz w:val="17"/>
              </w:rPr>
              <w:t>-0.025527</w:t>
            </w:r>
          </w:p>
        </w:tc>
      </w:tr>
      <w:tr w:rsidR="00534A3C" w14:paraId="2D6E97C2" w14:textId="77777777" w:rsidTr="003B3442">
        <w:trPr>
          <w:cantSplit/>
        </w:trPr>
        <w:tc>
          <w:tcPr>
            <w:tcW w:w="5112" w:type="dxa"/>
            <w:tcBorders>
              <w:top w:val="nil"/>
              <w:left w:val="nil"/>
              <w:bottom w:val="nil"/>
              <w:right w:val="nil"/>
            </w:tcBorders>
            <w:vAlign w:val="center"/>
          </w:tcPr>
          <w:p w14:paraId="54AC406D" w14:textId="77777777" w:rsidR="00534A3C" w:rsidRDefault="00534A3C" w:rsidP="003B3442">
            <w:pPr>
              <w:spacing w:after="0" w:line="240" w:lineRule="auto"/>
            </w:pPr>
            <w:r>
              <w:rPr>
                <w:rFonts w:ascii="Times New Roman" w:hAnsi="Times New Roman"/>
                <w:sz w:val="17"/>
              </w:rPr>
              <w:t>Cluster-robust SE</w:t>
            </w:r>
          </w:p>
        </w:tc>
        <w:tc>
          <w:tcPr>
            <w:tcW w:w="2088" w:type="dxa"/>
            <w:tcBorders>
              <w:top w:val="nil"/>
              <w:left w:val="nil"/>
              <w:bottom w:val="nil"/>
              <w:right w:val="nil"/>
            </w:tcBorders>
            <w:vAlign w:val="center"/>
          </w:tcPr>
          <w:p w14:paraId="6F308158" w14:textId="77777777" w:rsidR="00534A3C" w:rsidRDefault="00534A3C" w:rsidP="003B3442">
            <w:pPr>
              <w:spacing w:after="0" w:line="240" w:lineRule="auto"/>
              <w:jc w:val="center"/>
            </w:pPr>
            <w:r>
              <w:rPr>
                <w:rFonts w:ascii="Times New Roman" w:hAnsi="Times New Roman"/>
                <w:sz w:val="17"/>
              </w:rPr>
              <w:t>(0.012895)</w:t>
            </w:r>
          </w:p>
        </w:tc>
        <w:tc>
          <w:tcPr>
            <w:tcW w:w="2160" w:type="dxa"/>
            <w:tcBorders>
              <w:top w:val="nil"/>
              <w:left w:val="nil"/>
              <w:bottom w:val="nil"/>
              <w:right w:val="nil"/>
            </w:tcBorders>
            <w:vAlign w:val="center"/>
          </w:tcPr>
          <w:p w14:paraId="32DEEE74" w14:textId="77777777" w:rsidR="00534A3C" w:rsidRDefault="00534A3C" w:rsidP="003B3442">
            <w:pPr>
              <w:spacing w:after="0" w:line="240" w:lineRule="auto"/>
              <w:jc w:val="center"/>
            </w:pPr>
            <w:r>
              <w:rPr>
                <w:rFonts w:ascii="Times New Roman" w:hAnsi="Times New Roman"/>
                <w:sz w:val="17"/>
              </w:rPr>
              <w:t>(0.017454)</w:t>
            </w:r>
          </w:p>
        </w:tc>
      </w:tr>
      <w:tr w:rsidR="00534A3C" w14:paraId="76492677" w14:textId="77777777" w:rsidTr="003B3442">
        <w:trPr>
          <w:cantSplit/>
        </w:trPr>
        <w:tc>
          <w:tcPr>
            <w:tcW w:w="5112" w:type="dxa"/>
            <w:tcBorders>
              <w:top w:val="nil"/>
              <w:left w:val="nil"/>
              <w:bottom w:val="nil"/>
              <w:right w:val="nil"/>
            </w:tcBorders>
            <w:vAlign w:val="center"/>
          </w:tcPr>
          <w:p w14:paraId="06C0A920" w14:textId="77777777" w:rsidR="00534A3C" w:rsidRDefault="00534A3C" w:rsidP="003B3442">
            <w:pPr>
              <w:spacing w:after="0" w:line="240" w:lineRule="auto"/>
            </w:pPr>
            <w:r>
              <w:rPr>
                <w:rFonts w:ascii="Times New Roman" w:hAnsi="Times New Roman"/>
                <w:sz w:val="17"/>
              </w:rPr>
              <w:t>Exact p-value</w:t>
            </w:r>
          </w:p>
        </w:tc>
        <w:tc>
          <w:tcPr>
            <w:tcW w:w="2088" w:type="dxa"/>
            <w:tcBorders>
              <w:top w:val="nil"/>
              <w:left w:val="nil"/>
              <w:bottom w:val="nil"/>
              <w:right w:val="nil"/>
            </w:tcBorders>
            <w:vAlign w:val="center"/>
          </w:tcPr>
          <w:p w14:paraId="2824D438" w14:textId="77777777" w:rsidR="00534A3C" w:rsidRDefault="00534A3C" w:rsidP="003B3442">
            <w:pPr>
              <w:spacing w:after="0" w:line="240" w:lineRule="auto"/>
              <w:jc w:val="center"/>
            </w:pPr>
            <w:r>
              <w:rPr>
                <w:rFonts w:ascii="Times New Roman" w:hAnsi="Times New Roman"/>
                <w:sz w:val="17"/>
              </w:rPr>
              <w:t>0.0016</w:t>
            </w:r>
          </w:p>
        </w:tc>
        <w:tc>
          <w:tcPr>
            <w:tcW w:w="2160" w:type="dxa"/>
            <w:tcBorders>
              <w:top w:val="nil"/>
              <w:left w:val="nil"/>
              <w:bottom w:val="nil"/>
              <w:right w:val="nil"/>
            </w:tcBorders>
            <w:vAlign w:val="center"/>
          </w:tcPr>
          <w:p w14:paraId="27EE2689" w14:textId="77777777" w:rsidR="00534A3C" w:rsidRDefault="00534A3C" w:rsidP="003B3442">
            <w:pPr>
              <w:spacing w:after="0" w:line="240" w:lineRule="auto"/>
              <w:jc w:val="center"/>
            </w:pPr>
            <w:r>
              <w:rPr>
                <w:rFonts w:ascii="Times New Roman" w:hAnsi="Times New Roman"/>
                <w:sz w:val="17"/>
              </w:rPr>
              <w:t>0.1543</w:t>
            </w:r>
          </w:p>
        </w:tc>
      </w:tr>
      <w:tr w:rsidR="00534A3C" w14:paraId="5D182DE9" w14:textId="77777777" w:rsidTr="003B3442">
        <w:trPr>
          <w:cantSplit/>
        </w:trPr>
        <w:tc>
          <w:tcPr>
            <w:tcW w:w="5112" w:type="dxa"/>
            <w:tcBorders>
              <w:top w:val="nil"/>
              <w:left w:val="nil"/>
              <w:bottom w:val="nil"/>
              <w:right w:val="nil"/>
            </w:tcBorders>
            <w:shd w:val="clear" w:color="auto" w:fill="F5F5F5"/>
            <w:vAlign w:val="center"/>
          </w:tcPr>
          <w:p w14:paraId="6F55951E" w14:textId="77777777" w:rsidR="00534A3C" w:rsidRDefault="00534A3C" w:rsidP="003B3442">
            <w:pPr>
              <w:spacing w:after="0" w:line="240" w:lineRule="auto"/>
            </w:pPr>
            <w:r>
              <w:rPr>
                <w:rFonts w:ascii="Times New Roman" w:hAnsi="Times New Roman"/>
                <w:i/>
                <w:sz w:val="17"/>
              </w:rPr>
              <w:t>Specification</w:t>
            </w:r>
          </w:p>
        </w:tc>
        <w:tc>
          <w:tcPr>
            <w:tcW w:w="2088" w:type="dxa"/>
            <w:tcBorders>
              <w:top w:val="nil"/>
              <w:left w:val="nil"/>
              <w:bottom w:val="nil"/>
              <w:right w:val="nil"/>
            </w:tcBorders>
            <w:shd w:val="clear" w:color="auto" w:fill="F5F5F5"/>
            <w:vAlign w:val="center"/>
          </w:tcPr>
          <w:p w14:paraId="4146A3B3" w14:textId="77777777" w:rsidR="00534A3C" w:rsidRDefault="00534A3C" w:rsidP="003B3442">
            <w:pPr>
              <w:spacing w:after="0" w:line="240" w:lineRule="auto"/>
              <w:jc w:val="center"/>
            </w:pPr>
          </w:p>
        </w:tc>
        <w:tc>
          <w:tcPr>
            <w:tcW w:w="2160" w:type="dxa"/>
            <w:tcBorders>
              <w:top w:val="nil"/>
              <w:left w:val="nil"/>
              <w:bottom w:val="nil"/>
              <w:right w:val="nil"/>
            </w:tcBorders>
            <w:shd w:val="clear" w:color="auto" w:fill="F5F5F5"/>
            <w:vAlign w:val="center"/>
          </w:tcPr>
          <w:p w14:paraId="4E02D0FC" w14:textId="77777777" w:rsidR="00534A3C" w:rsidRDefault="00534A3C" w:rsidP="003B3442">
            <w:pPr>
              <w:spacing w:after="0" w:line="240" w:lineRule="auto"/>
              <w:jc w:val="center"/>
            </w:pPr>
          </w:p>
        </w:tc>
      </w:tr>
      <w:tr w:rsidR="00534A3C" w14:paraId="2F9A151B" w14:textId="77777777" w:rsidTr="003B3442">
        <w:trPr>
          <w:cantSplit/>
        </w:trPr>
        <w:tc>
          <w:tcPr>
            <w:tcW w:w="5112" w:type="dxa"/>
            <w:tcBorders>
              <w:top w:val="nil"/>
              <w:left w:val="nil"/>
              <w:bottom w:val="nil"/>
              <w:right w:val="nil"/>
            </w:tcBorders>
            <w:vAlign w:val="center"/>
          </w:tcPr>
          <w:p w14:paraId="03A61FBC" w14:textId="77777777" w:rsidR="00534A3C" w:rsidRDefault="00534A3C" w:rsidP="003B3442">
            <w:pPr>
              <w:spacing w:after="0" w:line="240" w:lineRule="auto"/>
            </w:pPr>
            <w:r>
              <w:rPr>
                <w:rFonts w:ascii="Times New Roman" w:hAnsi="Times New Roman"/>
                <w:sz w:val="17"/>
              </w:rPr>
              <w:t>High-skilled policy control</w:t>
            </w:r>
          </w:p>
        </w:tc>
        <w:tc>
          <w:tcPr>
            <w:tcW w:w="2088" w:type="dxa"/>
            <w:tcBorders>
              <w:top w:val="nil"/>
              <w:left w:val="nil"/>
              <w:bottom w:val="nil"/>
              <w:right w:val="nil"/>
            </w:tcBorders>
            <w:vAlign w:val="center"/>
          </w:tcPr>
          <w:p w14:paraId="171C2BD7"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2ECAA7F4" w14:textId="77777777" w:rsidR="00534A3C" w:rsidRDefault="00534A3C" w:rsidP="003B3442">
            <w:pPr>
              <w:spacing w:after="0" w:line="240" w:lineRule="auto"/>
              <w:jc w:val="center"/>
            </w:pPr>
            <w:r>
              <w:rPr>
                <w:rFonts w:ascii="Times New Roman" w:hAnsi="Times New Roman"/>
                <w:sz w:val="17"/>
              </w:rPr>
              <w:t>Yes</w:t>
            </w:r>
          </w:p>
        </w:tc>
      </w:tr>
      <w:tr w:rsidR="00534A3C" w14:paraId="4F802045" w14:textId="77777777" w:rsidTr="003B3442">
        <w:trPr>
          <w:cantSplit/>
        </w:trPr>
        <w:tc>
          <w:tcPr>
            <w:tcW w:w="5112" w:type="dxa"/>
            <w:tcBorders>
              <w:top w:val="nil"/>
              <w:left w:val="nil"/>
              <w:bottom w:val="nil"/>
              <w:right w:val="nil"/>
            </w:tcBorders>
            <w:vAlign w:val="center"/>
          </w:tcPr>
          <w:p w14:paraId="45288201" w14:textId="77777777" w:rsidR="00534A3C" w:rsidRDefault="00534A3C" w:rsidP="003B3442">
            <w:pPr>
              <w:spacing w:after="0" w:line="240" w:lineRule="auto"/>
            </w:pPr>
            <w:r>
              <w:rPr>
                <w:rFonts w:ascii="Times New Roman" w:hAnsi="Times New Roman"/>
                <w:sz w:val="17"/>
              </w:rPr>
              <w:t>Low-skilled policy control</w:t>
            </w:r>
          </w:p>
        </w:tc>
        <w:tc>
          <w:tcPr>
            <w:tcW w:w="2088" w:type="dxa"/>
            <w:tcBorders>
              <w:top w:val="nil"/>
              <w:left w:val="nil"/>
              <w:bottom w:val="nil"/>
              <w:right w:val="nil"/>
            </w:tcBorders>
            <w:vAlign w:val="center"/>
          </w:tcPr>
          <w:p w14:paraId="3E1027FF"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0CDB2DFE" w14:textId="77777777" w:rsidR="00534A3C" w:rsidRDefault="00534A3C" w:rsidP="003B3442">
            <w:pPr>
              <w:spacing w:after="0" w:line="240" w:lineRule="auto"/>
              <w:jc w:val="center"/>
            </w:pPr>
            <w:r>
              <w:rPr>
                <w:rFonts w:ascii="Times New Roman" w:hAnsi="Times New Roman"/>
                <w:sz w:val="17"/>
              </w:rPr>
              <w:t>Yes</w:t>
            </w:r>
          </w:p>
        </w:tc>
      </w:tr>
      <w:tr w:rsidR="00534A3C" w14:paraId="43049D41" w14:textId="77777777" w:rsidTr="003B3442">
        <w:trPr>
          <w:cantSplit/>
        </w:trPr>
        <w:tc>
          <w:tcPr>
            <w:tcW w:w="5112" w:type="dxa"/>
            <w:tcBorders>
              <w:top w:val="nil"/>
              <w:left w:val="nil"/>
              <w:bottom w:val="nil"/>
              <w:right w:val="nil"/>
            </w:tcBorders>
            <w:vAlign w:val="center"/>
          </w:tcPr>
          <w:p w14:paraId="0162DD59" w14:textId="77777777" w:rsidR="00534A3C" w:rsidRDefault="00534A3C" w:rsidP="003B3442">
            <w:pPr>
              <w:spacing w:after="0" w:line="240" w:lineRule="auto"/>
            </w:pPr>
            <w:r>
              <w:rPr>
                <w:rFonts w:ascii="Times New Roman" w:hAnsi="Times New Roman"/>
                <w:sz w:val="17"/>
              </w:rPr>
              <w:t>Destination macro controls</w:t>
            </w:r>
          </w:p>
        </w:tc>
        <w:tc>
          <w:tcPr>
            <w:tcW w:w="2088" w:type="dxa"/>
            <w:tcBorders>
              <w:top w:val="nil"/>
              <w:left w:val="nil"/>
              <w:bottom w:val="nil"/>
              <w:right w:val="nil"/>
            </w:tcBorders>
            <w:vAlign w:val="center"/>
          </w:tcPr>
          <w:p w14:paraId="48D2507C"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476684E2" w14:textId="77777777" w:rsidR="00534A3C" w:rsidRDefault="00534A3C" w:rsidP="003B3442">
            <w:pPr>
              <w:spacing w:after="0" w:line="240" w:lineRule="auto"/>
              <w:jc w:val="center"/>
            </w:pPr>
            <w:r>
              <w:rPr>
                <w:rFonts w:ascii="Times New Roman" w:hAnsi="Times New Roman"/>
                <w:sz w:val="17"/>
              </w:rPr>
              <w:t>Yes</w:t>
            </w:r>
          </w:p>
        </w:tc>
      </w:tr>
      <w:tr w:rsidR="00534A3C" w14:paraId="33CDC121" w14:textId="77777777" w:rsidTr="003B3442">
        <w:trPr>
          <w:cantSplit/>
        </w:trPr>
        <w:tc>
          <w:tcPr>
            <w:tcW w:w="5112" w:type="dxa"/>
            <w:tcBorders>
              <w:top w:val="nil"/>
              <w:left w:val="nil"/>
              <w:bottom w:val="nil"/>
              <w:right w:val="nil"/>
            </w:tcBorders>
            <w:vAlign w:val="center"/>
          </w:tcPr>
          <w:p w14:paraId="2311A793" w14:textId="77777777" w:rsidR="00534A3C" w:rsidRDefault="00534A3C" w:rsidP="003B3442">
            <w:pPr>
              <w:spacing w:after="0" w:line="240" w:lineRule="auto"/>
            </w:pPr>
            <w:r>
              <w:rPr>
                <w:rFonts w:ascii="Times New Roman" w:hAnsi="Times New Roman"/>
                <w:sz w:val="17"/>
              </w:rPr>
              <w:t>Destination fixed effects</w:t>
            </w:r>
          </w:p>
        </w:tc>
        <w:tc>
          <w:tcPr>
            <w:tcW w:w="2088" w:type="dxa"/>
            <w:tcBorders>
              <w:top w:val="nil"/>
              <w:left w:val="nil"/>
              <w:bottom w:val="nil"/>
              <w:right w:val="nil"/>
            </w:tcBorders>
            <w:vAlign w:val="center"/>
          </w:tcPr>
          <w:p w14:paraId="77566786"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48CE7791" w14:textId="77777777" w:rsidR="00534A3C" w:rsidRDefault="00534A3C" w:rsidP="003B3442">
            <w:pPr>
              <w:spacing w:after="0" w:line="240" w:lineRule="auto"/>
              <w:jc w:val="center"/>
            </w:pPr>
            <w:r>
              <w:rPr>
                <w:rFonts w:ascii="Times New Roman" w:hAnsi="Times New Roman"/>
                <w:sz w:val="17"/>
              </w:rPr>
              <w:t>Yes</w:t>
            </w:r>
          </w:p>
        </w:tc>
      </w:tr>
      <w:tr w:rsidR="00534A3C" w14:paraId="53BA2E7C" w14:textId="77777777" w:rsidTr="003B3442">
        <w:trPr>
          <w:cantSplit/>
        </w:trPr>
        <w:tc>
          <w:tcPr>
            <w:tcW w:w="5112" w:type="dxa"/>
            <w:tcBorders>
              <w:top w:val="nil"/>
              <w:left w:val="nil"/>
              <w:bottom w:val="nil"/>
              <w:right w:val="nil"/>
            </w:tcBorders>
            <w:vAlign w:val="center"/>
          </w:tcPr>
          <w:p w14:paraId="7776E574" w14:textId="77777777" w:rsidR="00534A3C" w:rsidRDefault="00534A3C" w:rsidP="003B3442">
            <w:pPr>
              <w:spacing w:after="0" w:line="240" w:lineRule="auto"/>
            </w:pPr>
            <w:r>
              <w:rPr>
                <w:rFonts w:ascii="Times New Roman" w:hAnsi="Times New Roman"/>
                <w:sz w:val="17"/>
              </w:rPr>
              <w:t>Origin-year fixed effects</w:t>
            </w:r>
          </w:p>
        </w:tc>
        <w:tc>
          <w:tcPr>
            <w:tcW w:w="2088" w:type="dxa"/>
            <w:tcBorders>
              <w:top w:val="nil"/>
              <w:left w:val="nil"/>
              <w:bottom w:val="nil"/>
              <w:right w:val="nil"/>
            </w:tcBorders>
            <w:vAlign w:val="center"/>
          </w:tcPr>
          <w:p w14:paraId="274D8482"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63E14252" w14:textId="77777777" w:rsidR="00534A3C" w:rsidRDefault="00534A3C" w:rsidP="003B3442">
            <w:pPr>
              <w:spacing w:after="0" w:line="240" w:lineRule="auto"/>
              <w:jc w:val="center"/>
            </w:pPr>
            <w:r>
              <w:rPr>
                <w:rFonts w:ascii="Times New Roman" w:hAnsi="Times New Roman"/>
                <w:sz w:val="17"/>
              </w:rPr>
              <w:t>Yes</w:t>
            </w:r>
          </w:p>
        </w:tc>
      </w:tr>
      <w:tr w:rsidR="00534A3C" w14:paraId="4D2F902A" w14:textId="77777777" w:rsidTr="003B3442">
        <w:trPr>
          <w:cantSplit/>
        </w:trPr>
        <w:tc>
          <w:tcPr>
            <w:tcW w:w="5112" w:type="dxa"/>
            <w:tcBorders>
              <w:top w:val="nil"/>
              <w:left w:val="nil"/>
              <w:bottom w:val="nil"/>
              <w:right w:val="nil"/>
            </w:tcBorders>
            <w:vAlign w:val="center"/>
          </w:tcPr>
          <w:p w14:paraId="28963E10" w14:textId="77777777" w:rsidR="00534A3C" w:rsidRDefault="00534A3C" w:rsidP="003B3442">
            <w:pPr>
              <w:spacing w:after="0" w:line="240" w:lineRule="auto"/>
            </w:pPr>
            <w:r>
              <w:rPr>
                <w:rFonts w:ascii="Times New Roman" w:hAnsi="Times New Roman"/>
                <w:sz w:val="17"/>
              </w:rPr>
              <w:t>Lagged PermitScale control</w:t>
            </w:r>
          </w:p>
        </w:tc>
        <w:tc>
          <w:tcPr>
            <w:tcW w:w="2088" w:type="dxa"/>
            <w:tcBorders>
              <w:top w:val="nil"/>
              <w:left w:val="nil"/>
              <w:bottom w:val="nil"/>
              <w:right w:val="nil"/>
            </w:tcBorders>
            <w:vAlign w:val="center"/>
          </w:tcPr>
          <w:p w14:paraId="26D7BEAF" w14:textId="77777777" w:rsidR="00534A3C" w:rsidRDefault="00534A3C" w:rsidP="003B3442">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3DBB155E" w14:textId="77777777" w:rsidR="00534A3C" w:rsidRDefault="00534A3C" w:rsidP="003B3442">
            <w:pPr>
              <w:spacing w:after="0" w:line="240" w:lineRule="auto"/>
              <w:jc w:val="center"/>
            </w:pPr>
            <w:r>
              <w:rPr>
                <w:rFonts w:ascii="Times New Roman" w:hAnsi="Times New Roman"/>
                <w:sz w:val="17"/>
              </w:rPr>
              <w:t>No</w:t>
            </w:r>
          </w:p>
        </w:tc>
      </w:tr>
      <w:tr w:rsidR="00534A3C" w14:paraId="54B63743" w14:textId="77777777" w:rsidTr="003B3442">
        <w:trPr>
          <w:cantSplit/>
        </w:trPr>
        <w:tc>
          <w:tcPr>
            <w:tcW w:w="5112" w:type="dxa"/>
            <w:tcBorders>
              <w:top w:val="nil"/>
              <w:left w:val="nil"/>
              <w:bottom w:val="nil"/>
              <w:right w:val="nil"/>
            </w:tcBorders>
            <w:vAlign w:val="center"/>
          </w:tcPr>
          <w:p w14:paraId="34BA6D01" w14:textId="77777777" w:rsidR="00534A3C" w:rsidRDefault="00534A3C" w:rsidP="003B3442">
            <w:pPr>
              <w:spacing w:after="0" w:line="240" w:lineRule="auto"/>
            </w:pPr>
            <w:r>
              <w:rPr>
                <w:rFonts w:ascii="Times New Roman" w:hAnsi="Times New Roman"/>
                <w:sz w:val="17"/>
              </w:rPr>
              <w:t>Permit-denominator weights</w:t>
            </w:r>
          </w:p>
        </w:tc>
        <w:tc>
          <w:tcPr>
            <w:tcW w:w="2088" w:type="dxa"/>
            <w:tcBorders>
              <w:top w:val="nil"/>
              <w:left w:val="nil"/>
              <w:bottom w:val="nil"/>
              <w:right w:val="nil"/>
            </w:tcBorders>
            <w:vAlign w:val="center"/>
          </w:tcPr>
          <w:p w14:paraId="6EF49FB8" w14:textId="77777777" w:rsidR="00534A3C" w:rsidRDefault="00534A3C" w:rsidP="003B3442">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39A04650" w14:textId="77777777" w:rsidR="00534A3C" w:rsidRDefault="00534A3C" w:rsidP="003B3442">
            <w:pPr>
              <w:spacing w:after="0" w:line="240" w:lineRule="auto"/>
              <w:jc w:val="center"/>
            </w:pPr>
            <w:r>
              <w:rPr>
                <w:rFonts w:ascii="Times New Roman" w:hAnsi="Times New Roman"/>
                <w:sz w:val="17"/>
              </w:rPr>
              <w:t>No</w:t>
            </w:r>
          </w:p>
        </w:tc>
      </w:tr>
      <w:tr w:rsidR="00534A3C" w14:paraId="20E54314" w14:textId="77777777" w:rsidTr="003B3442">
        <w:trPr>
          <w:cantSplit/>
        </w:trPr>
        <w:tc>
          <w:tcPr>
            <w:tcW w:w="5112" w:type="dxa"/>
            <w:tcBorders>
              <w:top w:val="nil"/>
              <w:left w:val="nil"/>
              <w:bottom w:val="nil"/>
              <w:right w:val="nil"/>
            </w:tcBorders>
            <w:vAlign w:val="center"/>
          </w:tcPr>
          <w:p w14:paraId="6D72FB20" w14:textId="77777777" w:rsidR="00534A3C" w:rsidRDefault="00534A3C" w:rsidP="003B3442">
            <w:pPr>
              <w:spacing w:after="0" w:line="240" w:lineRule="auto"/>
            </w:pPr>
            <w:r>
              <w:rPr>
                <w:rFonts w:ascii="Times New Roman" w:hAnsi="Times New Roman"/>
                <w:sz w:val="17"/>
              </w:rPr>
              <w:t>Observations</w:t>
            </w:r>
          </w:p>
        </w:tc>
        <w:tc>
          <w:tcPr>
            <w:tcW w:w="2088" w:type="dxa"/>
            <w:tcBorders>
              <w:top w:val="nil"/>
              <w:left w:val="nil"/>
              <w:bottom w:val="nil"/>
              <w:right w:val="nil"/>
            </w:tcBorders>
            <w:vAlign w:val="center"/>
          </w:tcPr>
          <w:p w14:paraId="6F18E924" w14:textId="77777777" w:rsidR="00534A3C" w:rsidRDefault="00534A3C" w:rsidP="003B3442">
            <w:pPr>
              <w:spacing w:after="0" w:line="240" w:lineRule="auto"/>
              <w:jc w:val="center"/>
            </w:pPr>
            <w:r>
              <w:rPr>
                <w:rFonts w:ascii="Times New Roman" w:hAnsi="Times New Roman"/>
                <w:sz w:val="17"/>
              </w:rPr>
              <w:t>5,219</w:t>
            </w:r>
          </w:p>
        </w:tc>
        <w:tc>
          <w:tcPr>
            <w:tcW w:w="2160" w:type="dxa"/>
            <w:tcBorders>
              <w:top w:val="nil"/>
              <w:left w:val="nil"/>
              <w:bottom w:val="nil"/>
              <w:right w:val="nil"/>
            </w:tcBorders>
            <w:vAlign w:val="center"/>
          </w:tcPr>
          <w:p w14:paraId="29B50749" w14:textId="77777777" w:rsidR="00534A3C" w:rsidRDefault="00534A3C" w:rsidP="003B3442">
            <w:pPr>
              <w:spacing w:after="0" w:line="240" w:lineRule="auto"/>
              <w:jc w:val="center"/>
            </w:pPr>
            <w:r>
              <w:rPr>
                <w:rFonts w:ascii="Times New Roman" w:hAnsi="Times New Roman"/>
                <w:sz w:val="17"/>
              </w:rPr>
              <w:t>5,608</w:t>
            </w:r>
          </w:p>
        </w:tc>
      </w:tr>
      <w:tr w:rsidR="00534A3C" w14:paraId="6919BCC5" w14:textId="77777777" w:rsidTr="003B3442">
        <w:trPr>
          <w:cantSplit/>
        </w:trPr>
        <w:tc>
          <w:tcPr>
            <w:tcW w:w="5112" w:type="dxa"/>
            <w:tcBorders>
              <w:top w:val="nil"/>
              <w:left w:val="nil"/>
              <w:bottom w:val="single" w:sz="10" w:space="0" w:color="000000"/>
              <w:right w:val="nil"/>
            </w:tcBorders>
            <w:vAlign w:val="center"/>
          </w:tcPr>
          <w:p w14:paraId="164B1BA7" w14:textId="77777777" w:rsidR="00534A3C" w:rsidRDefault="00534A3C" w:rsidP="003B3442">
            <w:pPr>
              <w:spacing w:after="0" w:line="240" w:lineRule="auto"/>
            </w:pPr>
            <w:r>
              <w:rPr>
                <w:rFonts w:ascii="Times New Roman" w:hAnsi="Times New Roman"/>
                <w:sz w:val="17"/>
              </w:rPr>
              <w:t>Destination clusters</w:t>
            </w:r>
          </w:p>
        </w:tc>
        <w:tc>
          <w:tcPr>
            <w:tcW w:w="2088" w:type="dxa"/>
            <w:tcBorders>
              <w:top w:val="nil"/>
              <w:left w:val="nil"/>
              <w:bottom w:val="single" w:sz="10" w:space="0" w:color="000000"/>
              <w:right w:val="nil"/>
            </w:tcBorders>
            <w:vAlign w:val="center"/>
          </w:tcPr>
          <w:p w14:paraId="5A7090C9" w14:textId="77777777" w:rsidR="00534A3C" w:rsidRDefault="00534A3C" w:rsidP="003B3442">
            <w:pPr>
              <w:spacing w:after="0" w:line="240" w:lineRule="auto"/>
              <w:jc w:val="center"/>
            </w:pPr>
            <w:r>
              <w:rPr>
                <w:rFonts w:ascii="Times New Roman" w:hAnsi="Times New Roman"/>
                <w:sz w:val="17"/>
              </w:rPr>
              <w:t>27</w:t>
            </w:r>
          </w:p>
        </w:tc>
        <w:tc>
          <w:tcPr>
            <w:tcW w:w="2160" w:type="dxa"/>
            <w:tcBorders>
              <w:top w:val="nil"/>
              <w:left w:val="nil"/>
              <w:bottom w:val="single" w:sz="10" w:space="0" w:color="000000"/>
              <w:right w:val="nil"/>
            </w:tcBorders>
            <w:vAlign w:val="center"/>
          </w:tcPr>
          <w:p w14:paraId="2B6F54EC" w14:textId="77777777" w:rsidR="00534A3C" w:rsidRDefault="00534A3C" w:rsidP="003B3442">
            <w:pPr>
              <w:spacing w:after="0" w:line="240" w:lineRule="auto"/>
              <w:jc w:val="center"/>
            </w:pPr>
            <w:r>
              <w:rPr>
                <w:rFonts w:ascii="Times New Roman" w:hAnsi="Times New Roman"/>
                <w:sz w:val="17"/>
              </w:rPr>
              <w:t>30</w:t>
            </w:r>
          </w:p>
        </w:tc>
      </w:tr>
    </w:tbl>
    <w:p w14:paraId="1B6BC602" w14:textId="77777777" w:rsidR="00534A3C" w:rsidRPr="0002048E" w:rsidRDefault="00534A3C" w:rsidP="00534A3C">
      <w:pPr>
        <w:jc w:val="center"/>
        <w:rPr>
          <w:b/>
          <w:bCs/>
          <w:i/>
          <w:iCs/>
        </w:rPr>
      </w:pPr>
      <w:r>
        <w:rPr>
          <w:b/>
          <w:bCs/>
          <w:i/>
          <w:iCs/>
        </w:rPr>
        <w:t>Table 8. PPML estimates for bilateral permit-count outcomes.</w:t>
      </w:r>
    </w:p>
    <w:p w14:paraId="1097F88C" w14:textId="77777777" w:rsidR="00C70AE2" w:rsidRPr="006B4C5C" w:rsidRDefault="00A36F18" w:rsidP="0069536D">
      <w:pPr>
        <w:jc w:val="center"/>
        <w:rPr>
          <w:sz w:val="18"/>
          <w:szCs w:val="18"/>
        </w:rPr>
      </w:pPr>
      <w:r>
        <w:rPr>
          <w:sz w:val="18"/>
          <w:szCs w:val="18"/>
        </w:rPr>
        <w:t>Table 8 note. *** p &lt; 0.01, ** p &lt; 0.05, * p &lt; 0.10. Poisson Pseudo-Maximum-Likelihood estimates corresponding to Equation (4), estimated on the corridors retained by the main EMP &gt;= 30 share-sample rule. The dependent variable is HSNumber in column (1) and the total employment-permit count, EMP, in column (2). Both models include lagged destination unemployment and GDP growth. For column (1), separated destination and origin-year fixed-effect groups with all-zero high-skilled counts are removed before estimation; this reduces the sample from 5,608 cells and 30 clusters to 5,219 cells and 27 clusters. Standard errors clustered by destination are reported in parentheses. Coefficients are semi-elasticities; the exact percentage change associated with one Restrict unit is 100[exp(β)-1].</w:t>
      </w:r>
    </w:p>
    <w:p w14:paraId="3126C0B7" w14:textId="77777777" w:rsidR="00CE30CA" w:rsidRDefault="00CE30CA" w:rsidP="00CE30CA">
      <w:pPr>
        <w:jc w:val="both"/>
      </w:pPr>
      <w:r>
        <w:lastRenderedPageBreak/>
        <w:t>Table 8 complements the positive HSRate result by comparing measured high-skilled and total employment-permit counts.</w:t>
      </w:r>
    </w:p>
    <w:p w14:paraId="36BC0C9D" w14:textId="77777777" w:rsidR="00C70AE2" w:rsidRDefault="00A36F18" w:rsidP="0069536D">
      <w:pPr>
        <w:pStyle w:val="BodyText"/>
        <w:jc w:val="both"/>
      </w:pPr>
      <w:r>
        <w:t>Column (1) of Table 8 is positive and significant at the one-percent level: one additional Restrict unit is associated with an exact estimated increase of about 4.66 percent in HSNumber. Column (2) is negative but imprecise; its exact point estimate is about -2.52 percent. Because separation pruning gives the two columns different effective samples, their coefficients are not subtracted as a formal decomposition. Read separately, they indicate a higher measured high-skilled count without a statistically detectable change in the total employment-permit count. This is consistent with the positive HSRate result, but it still does not identify the causal count response to a particular reform or the unobserved lower-skilled count directly.</w:t>
      </w:r>
    </w:p>
    <w:p w14:paraId="673CBE98" w14:textId="77777777" w:rsidR="008F026E" w:rsidRDefault="008F026E">
      <w:pPr>
        <w:pStyle w:val="BodyText"/>
        <w:jc w:val="both"/>
      </w:pPr>
      <w:r>
        <w:t>The positive HSNumber estimate in Table 8 should not be interpreted as evidence that general restrictions attract additional skilled migrants. HSNumber counts first permits recorded under the administrative highly-skilled-worker and researcher categories rather than entrants' underlying skills. One possible explanation is that, when the general work-permit channel tightens, some recruitment shifts toward dedicated high-skilled permit categories, which would raise the measured HSNumber without any increase in total skilled arrivals. Because the data do not follow individuals across routes, this possibility cannot be tested directly. Table 9 examines whether the positive HSNumber association is concentrated in one recorded permit category or appears across several categories. It re-estimates Equation (4) four times, changing the dependent variable in turn to highly skilled worker permits, researcher permits, EU Blue Card permits, and the residual employment-permit count (EMP − HSNumber), while retaining the policy regressor, controls, and fixed-effects structure. These are four separate PPML regressions, not four coefficients from one model.</w:t>
      </w:r>
    </w:p>
    <w:p w14:paraId="2068CC13" w14:textId="77777777" w:rsidR="008F026E" w:rsidRDefault="008F026E">
      <w:pPr>
        <w:keepNext/>
        <w:jc w:val="center"/>
        <w:rPr>
          <w:b/>
          <w:bCs/>
          <w:i/>
          <w:iCs/>
        </w:rPr>
      </w:pPr>
      <w:r>
        <w:rPr>
          <w:b/>
          <w:bCs/>
          <w:i/>
          <w:iCs/>
        </w:rPr>
        <w:t>Table 9. Four independently estimated bilateral PPML regressions, one for each permit-count dependent variable.</w:t>
      </w:r>
    </w:p>
    <w:tbl>
      <w:tblPr>
        <w:tblW w:w="9423" w:type="dxa"/>
        <w:jc w:val="center"/>
        <w:tblLayout w:type="fixed"/>
        <w:tblLook w:val="04A0" w:firstRow="1" w:lastRow="0" w:firstColumn="1" w:lastColumn="0" w:noHBand="0" w:noVBand="1"/>
      </w:tblPr>
      <w:tblGrid>
        <w:gridCol w:w="3500"/>
        <w:gridCol w:w="1500"/>
        <w:gridCol w:w="1150"/>
        <w:gridCol w:w="900"/>
        <w:gridCol w:w="1000"/>
        <w:gridCol w:w="1373"/>
      </w:tblGrid>
      <w:tr w:rsidR="007A581E" w14:paraId="1B740A05" w14:textId="77777777">
        <w:trPr>
          <w:cantSplit/>
          <w:tblHeader/>
          <w:jc w:val="center"/>
        </w:trPr>
        <w:tc>
          <w:tcPr>
            <w:tcW w:w="3500" w:type="dxa"/>
            <w:tcBorders>
              <w:top w:val="single" w:sz="10" w:space="0" w:color="000000"/>
              <w:left w:val="nil"/>
              <w:bottom w:val="single" w:sz="8" w:space="0" w:color="000000"/>
              <w:right w:val="nil"/>
            </w:tcBorders>
            <w:shd w:val="clear" w:color="auto" w:fill="EDEDED"/>
            <w:vAlign w:val="center"/>
          </w:tcPr>
          <w:p w14:paraId="6F69BC3B" w14:textId="77777777" w:rsidR="008F026E" w:rsidRDefault="008F026E">
            <w:pPr>
              <w:spacing w:after="0" w:line="240" w:lineRule="auto"/>
            </w:pPr>
            <w:r>
              <w:rPr>
                <w:rFonts w:ascii="Times New Roman" w:eastAsia="Times New Roman" w:hAnsi="Times New Roman"/>
                <w:b/>
                <w:sz w:val="21"/>
                <w:szCs w:val="20"/>
              </w:rPr>
              <w:t>Dependent variable (each row is a separate regression)</w:t>
            </w:r>
          </w:p>
        </w:tc>
        <w:tc>
          <w:tcPr>
            <w:tcW w:w="1500" w:type="dxa"/>
            <w:tcBorders>
              <w:top w:val="single" w:sz="10" w:space="0" w:color="000000"/>
              <w:left w:val="nil"/>
              <w:bottom w:val="single" w:sz="8" w:space="0" w:color="000000"/>
              <w:right w:val="nil"/>
            </w:tcBorders>
            <w:shd w:val="clear" w:color="auto" w:fill="EDEDED"/>
            <w:vAlign w:val="center"/>
          </w:tcPr>
          <w:p w14:paraId="466720A4" w14:textId="77777777" w:rsidR="007A581E" w:rsidRDefault="00640B9D">
            <w:pPr>
              <w:spacing w:after="0" w:line="240" w:lineRule="auto"/>
              <w:jc w:val="center"/>
            </w:pPr>
            <w:r>
              <w:rPr>
                <w:rFonts w:ascii="Times New Roman" w:eastAsia="Times New Roman" w:hAnsi="Times New Roman"/>
                <w:b/>
                <w:sz w:val="21"/>
                <w:szCs w:val="20"/>
              </w:rPr>
              <w:t>β</w:t>
            </w:r>
          </w:p>
        </w:tc>
        <w:tc>
          <w:tcPr>
            <w:tcW w:w="1150" w:type="dxa"/>
            <w:tcBorders>
              <w:top w:val="single" w:sz="10" w:space="0" w:color="000000"/>
              <w:left w:val="nil"/>
              <w:bottom w:val="single" w:sz="8" w:space="0" w:color="000000"/>
              <w:right w:val="nil"/>
            </w:tcBorders>
            <w:shd w:val="clear" w:color="auto" w:fill="EDEDED"/>
            <w:vAlign w:val="center"/>
          </w:tcPr>
          <w:p w14:paraId="7D5BFB22" w14:textId="77777777" w:rsidR="007A581E" w:rsidRDefault="00640B9D">
            <w:pPr>
              <w:spacing w:after="0" w:line="240" w:lineRule="auto"/>
              <w:jc w:val="center"/>
            </w:pPr>
            <w:r>
              <w:rPr>
                <w:rFonts w:ascii="Times New Roman" w:eastAsia="Times New Roman" w:hAnsi="Times New Roman"/>
                <w:b/>
                <w:sz w:val="21"/>
                <w:szCs w:val="20"/>
              </w:rPr>
              <w:t>SE</w:t>
            </w:r>
          </w:p>
        </w:tc>
        <w:tc>
          <w:tcPr>
            <w:tcW w:w="900" w:type="dxa"/>
            <w:tcBorders>
              <w:top w:val="single" w:sz="10" w:space="0" w:color="000000"/>
              <w:left w:val="nil"/>
              <w:bottom w:val="single" w:sz="8" w:space="0" w:color="000000"/>
              <w:right w:val="nil"/>
            </w:tcBorders>
            <w:shd w:val="clear" w:color="auto" w:fill="EDEDED"/>
            <w:vAlign w:val="center"/>
          </w:tcPr>
          <w:p w14:paraId="4CBE3319" w14:textId="77777777" w:rsidR="007A581E" w:rsidRDefault="00640B9D">
            <w:pPr>
              <w:spacing w:after="0" w:line="240" w:lineRule="auto"/>
              <w:jc w:val="center"/>
            </w:pPr>
            <w:r>
              <w:rPr>
                <w:rFonts w:ascii="Times New Roman" w:eastAsia="Times New Roman" w:hAnsi="Times New Roman"/>
                <w:b/>
                <w:sz w:val="21"/>
                <w:szCs w:val="20"/>
              </w:rPr>
              <w:t>p</w:t>
            </w:r>
          </w:p>
        </w:tc>
        <w:tc>
          <w:tcPr>
            <w:tcW w:w="1000" w:type="dxa"/>
            <w:tcBorders>
              <w:top w:val="single" w:sz="10" w:space="0" w:color="000000"/>
              <w:left w:val="nil"/>
              <w:bottom w:val="single" w:sz="8" w:space="0" w:color="000000"/>
              <w:right w:val="nil"/>
            </w:tcBorders>
            <w:shd w:val="clear" w:color="auto" w:fill="EDEDED"/>
            <w:vAlign w:val="center"/>
          </w:tcPr>
          <w:p w14:paraId="37BB2791" w14:textId="77777777" w:rsidR="007A581E" w:rsidRDefault="00640B9D">
            <w:pPr>
              <w:spacing w:after="0" w:line="240" w:lineRule="auto"/>
              <w:jc w:val="center"/>
            </w:pPr>
            <w:r>
              <w:rPr>
                <w:rFonts w:ascii="Times New Roman" w:eastAsia="Times New Roman" w:hAnsi="Times New Roman"/>
                <w:b/>
                <w:sz w:val="21"/>
                <w:szCs w:val="20"/>
              </w:rPr>
              <w:t>N</w:t>
            </w:r>
          </w:p>
        </w:tc>
        <w:tc>
          <w:tcPr>
            <w:tcW w:w="1373" w:type="dxa"/>
            <w:tcBorders>
              <w:top w:val="single" w:sz="10" w:space="0" w:color="000000"/>
              <w:left w:val="nil"/>
              <w:bottom w:val="single" w:sz="8" w:space="0" w:color="000000"/>
              <w:right w:val="nil"/>
            </w:tcBorders>
            <w:shd w:val="clear" w:color="auto" w:fill="EDEDED"/>
            <w:vAlign w:val="center"/>
          </w:tcPr>
          <w:p w14:paraId="21E9A538" w14:textId="77777777" w:rsidR="007A581E" w:rsidRDefault="00640B9D">
            <w:pPr>
              <w:spacing w:after="0" w:line="240" w:lineRule="auto"/>
              <w:jc w:val="center"/>
            </w:pPr>
            <w:r>
              <w:rPr>
                <w:rFonts w:ascii="Times New Roman" w:eastAsia="Times New Roman" w:hAnsi="Times New Roman"/>
                <w:b/>
                <w:sz w:val="21"/>
                <w:szCs w:val="20"/>
              </w:rPr>
              <w:t>G</w:t>
            </w:r>
          </w:p>
        </w:tc>
      </w:tr>
      <w:tr w:rsidR="007A581E" w14:paraId="25288367" w14:textId="77777777">
        <w:trPr>
          <w:cantSplit/>
          <w:jc w:val="center"/>
        </w:trPr>
        <w:tc>
          <w:tcPr>
            <w:tcW w:w="3500" w:type="dxa"/>
            <w:tcBorders>
              <w:top w:val="nil"/>
              <w:left w:val="nil"/>
              <w:bottom w:val="nil"/>
              <w:right w:val="nil"/>
            </w:tcBorders>
            <w:vAlign w:val="center"/>
          </w:tcPr>
          <w:p w14:paraId="4DB12FE4" w14:textId="77777777" w:rsidR="007A581E" w:rsidRDefault="00640B9D">
            <w:pPr>
              <w:spacing w:after="0" w:line="240" w:lineRule="auto"/>
            </w:pPr>
            <w:r>
              <w:rPr>
                <w:rFonts w:ascii="Times New Roman" w:eastAsia="Times New Roman" w:hAnsi="Times New Roman"/>
                <w:sz w:val="21"/>
                <w:szCs w:val="20"/>
              </w:rPr>
              <w:t>Highly skilled worker permits</w:t>
            </w:r>
          </w:p>
        </w:tc>
        <w:tc>
          <w:tcPr>
            <w:tcW w:w="1500" w:type="dxa"/>
            <w:tcBorders>
              <w:top w:val="nil"/>
              <w:left w:val="nil"/>
              <w:bottom w:val="nil"/>
              <w:right w:val="nil"/>
            </w:tcBorders>
            <w:vAlign w:val="center"/>
          </w:tcPr>
          <w:p w14:paraId="21872202" w14:textId="77777777" w:rsidR="007A581E" w:rsidRDefault="00640B9D">
            <w:pPr>
              <w:spacing w:after="0" w:line="240" w:lineRule="auto"/>
              <w:jc w:val="center"/>
            </w:pPr>
            <w:r>
              <w:rPr>
                <w:rFonts w:ascii="Times New Roman" w:eastAsia="Times New Roman" w:hAnsi="Times New Roman"/>
                <w:sz w:val="21"/>
                <w:szCs w:val="20"/>
              </w:rPr>
              <w:t>0.064455***</w:t>
            </w:r>
          </w:p>
        </w:tc>
        <w:tc>
          <w:tcPr>
            <w:tcW w:w="1150" w:type="dxa"/>
            <w:tcBorders>
              <w:top w:val="nil"/>
              <w:left w:val="nil"/>
              <w:bottom w:val="nil"/>
              <w:right w:val="nil"/>
            </w:tcBorders>
            <w:vAlign w:val="center"/>
          </w:tcPr>
          <w:p w14:paraId="58307AF2" w14:textId="77777777" w:rsidR="007A581E" w:rsidRDefault="00640B9D">
            <w:pPr>
              <w:spacing w:after="0" w:line="240" w:lineRule="auto"/>
              <w:jc w:val="center"/>
            </w:pPr>
            <w:r>
              <w:rPr>
                <w:rFonts w:ascii="Times New Roman" w:eastAsia="Times New Roman" w:hAnsi="Times New Roman"/>
                <w:sz w:val="21"/>
                <w:szCs w:val="20"/>
              </w:rPr>
              <w:t>(0.018836)</w:t>
            </w:r>
          </w:p>
        </w:tc>
        <w:tc>
          <w:tcPr>
            <w:tcW w:w="900" w:type="dxa"/>
            <w:tcBorders>
              <w:top w:val="nil"/>
              <w:left w:val="nil"/>
              <w:bottom w:val="nil"/>
              <w:right w:val="nil"/>
            </w:tcBorders>
            <w:vAlign w:val="center"/>
          </w:tcPr>
          <w:p w14:paraId="56E9760C" w14:textId="77777777" w:rsidR="007A581E" w:rsidRDefault="00640B9D">
            <w:pPr>
              <w:spacing w:after="0" w:line="240" w:lineRule="auto"/>
              <w:jc w:val="center"/>
            </w:pPr>
            <w:r>
              <w:rPr>
                <w:rFonts w:ascii="Times New Roman" w:eastAsia="Times New Roman" w:hAnsi="Times New Roman"/>
                <w:sz w:val="21"/>
                <w:szCs w:val="20"/>
              </w:rPr>
              <w:t>0.003</w:t>
            </w:r>
          </w:p>
        </w:tc>
        <w:tc>
          <w:tcPr>
            <w:tcW w:w="1000" w:type="dxa"/>
            <w:tcBorders>
              <w:top w:val="nil"/>
              <w:left w:val="nil"/>
              <w:bottom w:val="nil"/>
              <w:right w:val="nil"/>
            </w:tcBorders>
            <w:vAlign w:val="center"/>
          </w:tcPr>
          <w:p w14:paraId="556285EC" w14:textId="77777777" w:rsidR="007A581E" w:rsidRDefault="00640B9D">
            <w:pPr>
              <w:spacing w:after="0" w:line="240" w:lineRule="auto"/>
              <w:jc w:val="center"/>
            </w:pPr>
            <w:r>
              <w:rPr>
                <w:rFonts w:ascii="Times New Roman" w:eastAsia="Times New Roman" w:hAnsi="Times New Roman"/>
                <w:sz w:val="21"/>
                <w:szCs w:val="20"/>
              </w:rPr>
              <w:t>4,579</w:t>
            </w:r>
          </w:p>
        </w:tc>
        <w:tc>
          <w:tcPr>
            <w:tcW w:w="1373" w:type="dxa"/>
            <w:tcBorders>
              <w:top w:val="nil"/>
              <w:left w:val="nil"/>
              <w:bottom w:val="nil"/>
              <w:right w:val="nil"/>
            </w:tcBorders>
            <w:vAlign w:val="center"/>
          </w:tcPr>
          <w:p w14:paraId="3FB8873A" w14:textId="77777777" w:rsidR="007A581E" w:rsidRDefault="00640B9D">
            <w:pPr>
              <w:spacing w:after="0" w:line="240" w:lineRule="auto"/>
              <w:jc w:val="center"/>
            </w:pPr>
            <w:r>
              <w:rPr>
                <w:rFonts w:ascii="Times New Roman" w:eastAsia="Times New Roman" w:hAnsi="Times New Roman"/>
                <w:sz w:val="21"/>
                <w:szCs w:val="20"/>
              </w:rPr>
              <w:t>21</w:t>
            </w:r>
          </w:p>
        </w:tc>
      </w:tr>
      <w:tr w:rsidR="007A581E" w14:paraId="4933D8B7" w14:textId="77777777">
        <w:trPr>
          <w:cantSplit/>
          <w:jc w:val="center"/>
        </w:trPr>
        <w:tc>
          <w:tcPr>
            <w:tcW w:w="3500" w:type="dxa"/>
            <w:tcBorders>
              <w:top w:val="nil"/>
              <w:left w:val="nil"/>
              <w:bottom w:val="nil"/>
              <w:right w:val="nil"/>
            </w:tcBorders>
            <w:vAlign w:val="center"/>
          </w:tcPr>
          <w:p w14:paraId="1E45DD43" w14:textId="77777777" w:rsidR="007A581E" w:rsidRDefault="00640B9D">
            <w:pPr>
              <w:spacing w:after="0" w:line="240" w:lineRule="auto"/>
            </w:pPr>
            <w:r>
              <w:rPr>
                <w:rFonts w:ascii="Times New Roman" w:eastAsia="Times New Roman" w:hAnsi="Times New Roman"/>
                <w:sz w:val="21"/>
                <w:szCs w:val="20"/>
              </w:rPr>
              <w:t>Researcher permits</w:t>
            </w:r>
          </w:p>
        </w:tc>
        <w:tc>
          <w:tcPr>
            <w:tcW w:w="1500" w:type="dxa"/>
            <w:tcBorders>
              <w:top w:val="nil"/>
              <w:left w:val="nil"/>
              <w:bottom w:val="nil"/>
              <w:right w:val="nil"/>
            </w:tcBorders>
            <w:vAlign w:val="center"/>
          </w:tcPr>
          <w:p w14:paraId="79461AD1" w14:textId="77777777" w:rsidR="007A581E" w:rsidRDefault="00640B9D">
            <w:pPr>
              <w:spacing w:after="0" w:line="240" w:lineRule="auto"/>
              <w:jc w:val="center"/>
            </w:pPr>
            <w:r>
              <w:rPr>
                <w:rFonts w:ascii="Times New Roman" w:eastAsia="Times New Roman" w:hAnsi="Times New Roman"/>
                <w:sz w:val="21"/>
                <w:szCs w:val="20"/>
              </w:rPr>
              <w:t>-0.001194</w:t>
            </w:r>
          </w:p>
        </w:tc>
        <w:tc>
          <w:tcPr>
            <w:tcW w:w="1150" w:type="dxa"/>
            <w:tcBorders>
              <w:top w:val="nil"/>
              <w:left w:val="nil"/>
              <w:bottom w:val="nil"/>
              <w:right w:val="nil"/>
            </w:tcBorders>
            <w:vAlign w:val="center"/>
          </w:tcPr>
          <w:p w14:paraId="117FCF12" w14:textId="77777777" w:rsidR="007A581E" w:rsidRDefault="00640B9D">
            <w:pPr>
              <w:spacing w:after="0" w:line="240" w:lineRule="auto"/>
              <w:jc w:val="center"/>
            </w:pPr>
            <w:r>
              <w:rPr>
                <w:rFonts w:ascii="Times New Roman" w:eastAsia="Times New Roman" w:hAnsi="Times New Roman"/>
                <w:sz w:val="21"/>
                <w:szCs w:val="20"/>
              </w:rPr>
              <w:t>(0.020105)</w:t>
            </w:r>
          </w:p>
        </w:tc>
        <w:tc>
          <w:tcPr>
            <w:tcW w:w="900" w:type="dxa"/>
            <w:tcBorders>
              <w:top w:val="nil"/>
              <w:left w:val="nil"/>
              <w:bottom w:val="nil"/>
              <w:right w:val="nil"/>
            </w:tcBorders>
            <w:vAlign w:val="center"/>
          </w:tcPr>
          <w:p w14:paraId="6F37A4DA" w14:textId="77777777" w:rsidR="007A581E" w:rsidRDefault="00640B9D">
            <w:pPr>
              <w:spacing w:after="0" w:line="240" w:lineRule="auto"/>
              <w:jc w:val="center"/>
            </w:pPr>
            <w:r>
              <w:rPr>
                <w:rFonts w:ascii="Times New Roman" w:eastAsia="Times New Roman" w:hAnsi="Times New Roman"/>
                <w:sz w:val="21"/>
                <w:szCs w:val="20"/>
              </w:rPr>
              <w:t>0.953</w:t>
            </w:r>
          </w:p>
        </w:tc>
        <w:tc>
          <w:tcPr>
            <w:tcW w:w="1000" w:type="dxa"/>
            <w:tcBorders>
              <w:top w:val="nil"/>
              <w:left w:val="nil"/>
              <w:bottom w:val="nil"/>
              <w:right w:val="nil"/>
            </w:tcBorders>
            <w:vAlign w:val="center"/>
          </w:tcPr>
          <w:p w14:paraId="44BC2BB1" w14:textId="77777777" w:rsidR="007A581E" w:rsidRDefault="00640B9D">
            <w:pPr>
              <w:spacing w:after="0" w:line="240" w:lineRule="auto"/>
              <w:jc w:val="center"/>
            </w:pPr>
            <w:r>
              <w:rPr>
                <w:rFonts w:ascii="Times New Roman" w:eastAsia="Times New Roman" w:hAnsi="Times New Roman"/>
                <w:sz w:val="21"/>
                <w:szCs w:val="20"/>
              </w:rPr>
              <w:t>4,786</w:t>
            </w:r>
          </w:p>
        </w:tc>
        <w:tc>
          <w:tcPr>
            <w:tcW w:w="1373" w:type="dxa"/>
            <w:tcBorders>
              <w:top w:val="nil"/>
              <w:left w:val="nil"/>
              <w:bottom w:val="nil"/>
              <w:right w:val="nil"/>
            </w:tcBorders>
            <w:vAlign w:val="center"/>
          </w:tcPr>
          <w:p w14:paraId="01E4FFBE" w14:textId="77777777" w:rsidR="007A581E" w:rsidRDefault="00640B9D">
            <w:pPr>
              <w:spacing w:after="0" w:line="240" w:lineRule="auto"/>
              <w:jc w:val="center"/>
            </w:pPr>
            <w:r>
              <w:rPr>
                <w:rFonts w:ascii="Times New Roman" w:eastAsia="Times New Roman" w:hAnsi="Times New Roman"/>
                <w:sz w:val="21"/>
                <w:szCs w:val="20"/>
              </w:rPr>
              <w:t>25</w:t>
            </w:r>
          </w:p>
        </w:tc>
      </w:tr>
      <w:tr w:rsidR="007A581E" w14:paraId="7B6304CC" w14:textId="77777777">
        <w:trPr>
          <w:cantSplit/>
          <w:jc w:val="center"/>
        </w:trPr>
        <w:tc>
          <w:tcPr>
            <w:tcW w:w="3500" w:type="dxa"/>
            <w:tcBorders>
              <w:top w:val="nil"/>
              <w:left w:val="nil"/>
              <w:bottom w:val="nil"/>
              <w:right w:val="nil"/>
            </w:tcBorders>
            <w:vAlign w:val="center"/>
          </w:tcPr>
          <w:p w14:paraId="650DC344" w14:textId="77777777" w:rsidR="007A581E" w:rsidRDefault="00640B9D">
            <w:pPr>
              <w:spacing w:after="0" w:line="240" w:lineRule="auto"/>
            </w:pPr>
            <w:r>
              <w:rPr>
                <w:rFonts w:ascii="Times New Roman" w:eastAsia="Times New Roman" w:hAnsi="Times New Roman"/>
                <w:sz w:val="21"/>
                <w:szCs w:val="20"/>
              </w:rPr>
              <w:t>EU Blue Card permits</w:t>
            </w:r>
          </w:p>
        </w:tc>
        <w:tc>
          <w:tcPr>
            <w:tcW w:w="1500" w:type="dxa"/>
            <w:tcBorders>
              <w:top w:val="nil"/>
              <w:left w:val="nil"/>
              <w:bottom w:val="nil"/>
              <w:right w:val="nil"/>
            </w:tcBorders>
            <w:vAlign w:val="center"/>
          </w:tcPr>
          <w:p w14:paraId="5C08EFED" w14:textId="77777777" w:rsidR="007A581E" w:rsidRDefault="00640B9D">
            <w:pPr>
              <w:spacing w:after="0" w:line="240" w:lineRule="auto"/>
              <w:jc w:val="center"/>
            </w:pPr>
            <w:r>
              <w:rPr>
                <w:rFonts w:ascii="Times New Roman" w:eastAsia="Times New Roman" w:hAnsi="Times New Roman"/>
                <w:sz w:val="21"/>
                <w:szCs w:val="20"/>
              </w:rPr>
              <w:t>-0.057399</w:t>
            </w:r>
          </w:p>
        </w:tc>
        <w:tc>
          <w:tcPr>
            <w:tcW w:w="1150" w:type="dxa"/>
            <w:tcBorders>
              <w:top w:val="nil"/>
              <w:left w:val="nil"/>
              <w:bottom w:val="nil"/>
              <w:right w:val="nil"/>
            </w:tcBorders>
            <w:vAlign w:val="center"/>
          </w:tcPr>
          <w:p w14:paraId="5DE94A56" w14:textId="77777777" w:rsidR="007A581E" w:rsidRDefault="00640B9D">
            <w:pPr>
              <w:spacing w:after="0" w:line="240" w:lineRule="auto"/>
              <w:jc w:val="center"/>
            </w:pPr>
            <w:r>
              <w:rPr>
                <w:rFonts w:ascii="Times New Roman" w:eastAsia="Times New Roman" w:hAnsi="Times New Roman"/>
                <w:sz w:val="21"/>
                <w:szCs w:val="20"/>
              </w:rPr>
              <w:t>(0.046704)</w:t>
            </w:r>
          </w:p>
        </w:tc>
        <w:tc>
          <w:tcPr>
            <w:tcW w:w="900" w:type="dxa"/>
            <w:tcBorders>
              <w:top w:val="nil"/>
              <w:left w:val="nil"/>
              <w:bottom w:val="nil"/>
              <w:right w:val="nil"/>
            </w:tcBorders>
            <w:vAlign w:val="center"/>
          </w:tcPr>
          <w:p w14:paraId="59D5AD04" w14:textId="77777777" w:rsidR="007A581E" w:rsidRDefault="00640B9D">
            <w:pPr>
              <w:spacing w:after="0" w:line="240" w:lineRule="auto"/>
              <w:jc w:val="center"/>
            </w:pPr>
            <w:r>
              <w:rPr>
                <w:rFonts w:ascii="Times New Roman" w:eastAsia="Times New Roman" w:hAnsi="Times New Roman"/>
                <w:sz w:val="21"/>
                <w:szCs w:val="20"/>
              </w:rPr>
              <w:t>0.232</w:t>
            </w:r>
          </w:p>
        </w:tc>
        <w:tc>
          <w:tcPr>
            <w:tcW w:w="1000" w:type="dxa"/>
            <w:tcBorders>
              <w:top w:val="nil"/>
              <w:left w:val="nil"/>
              <w:bottom w:val="nil"/>
              <w:right w:val="nil"/>
            </w:tcBorders>
            <w:vAlign w:val="center"/>
          </w:tcPr>
          <w:p w14:paraId="755B623E" w14:textId="77777777" w:rsidR="007A581E" w:rsidRDefault="00640B9D">
            <w:pPr>
              <w:spacing w:after="0" w:line="240" w:lineRule="auto"/>
              <w:jc w:val="center"/>
            </w:pPr>
            <w:r>
              <w:rPr>
                <w:rFonts w:ascii="Times New Roman" w:eastAsia="Times New Roman" w:hAnsi="Times New Roman"/>
                <w:sz w:val="21"/>
                <w:szCs w:val="20"/>
              </w:rPr>
              <w:t>3,624</w:t>
            </w:r>
          </w:p>
        </w:tc>
        <w:tc>
          <w:tcPr>
            <w:tcW w:w="1373" w:type="dxa"/>
            <w:tcBorders>
              <w:top w:val="nil"/>
              <w:left w:val="nil"/>
              <w:bottom w:val="nil"/>
              <w:right w:val="nil"/>
            </w:tcBorders>
            <w:vAlign w:val="center"/>
          </w:tcPr>
          <w:p w14:paraId="4DD4E506" w14:textId="77777777" w:rsidR="007A581E" w:rsidRDefault="00640B9D">
            <w:pPr>
              <w:spacing w:after="0" w:line="240" w:lineRule="auto"/>
              <w:jc w:val="center"/>
            </w:pPr>
            <w:r>
              <w:rPr>
                <w:rFonts w:ascii="Times New Roman" w:eastAsia="Times New Roman" w:hAnsi="Times New Roman"/>
                <w:sz w:val="21"/>
                <w:szCs w:val="20"/>
              </w:rPr>
              <w:t>23</w:t>
            </w:r>
          </w:p>
        </w:tc>
      </w:tr>
      <w:tr w:rsidR="007A581E" w14:paraId="3918D184" w14:textId="77777777">
        <w:trPr>
          <w:cantSplit/>
          <w:jc w:val="center"/>
        </w:trPr>
        <w:tc>
          <w:tcPr>
            <w:tcW w:w="3500" w:type="dxa"/>
            <w:tcBorders>
              <w:top w:val="nil"/>
              <w:left w:val="nil"/>
              <w:bottom w:val="single" w:sz="8" w:space="0" w:color="000000"/>
              <w:right w:val="nil"/>
            </w:tcBorders>
            <w:vAlign w:val="center"/>
          </w:tcPr>
          <w:p w14:paraId="20BBFC59" w14:textId="77777777" w:rsidR="007A581E" w:rsidRDefault="00640B9D">
            <w:pPr>
              <w:spacing w:after="0" w:line="240" w:lineRule="auto"/>
            </w:pPr>
            <w:r>
              <w:rPr>
                <w:rFonts w:ascii="Times New Roman" w:eastAsia="Times New Roman" w:hAnsi="Times New Roman"/>
                <w:sz w:val="21"/>
                <w:szCs w:val="20"/>
              </w:rPr>
              <w:t>Residual employment permits (EMP − HSNumber)</w:t>
            </w:r>
          </w:p>
        </w:tc>
        <w:tc>
          <w:tcPr>
            <w:tcW w:w="1500" w:type="dxa"/>
            <w:tcBorders>
              <w:top w:val="nil"/>
              <w:left w:val="nil"/>
              <w:bottom w:val="single" w:sz="8" w:space="0" w:color="000000"/>
              <w:right w:val="nil"/>
            </w:tcBorders>
            <w:vAlign w:val="center"/>
          </w:tcPr>
          <w:p w14:paraId="66CCADEF" w14:textId="77777777" w:rsidR="007A581E" w:rsidRDefault="00640B9D">
            <w:pPr>
              <w:spacing w:after="0" w:line="240" w:lineRule="auto"/>
              <w:jc w:val="center"/>
            </w:pPr>
            <w:r>
              <w:rPr>
                <w:rFonts w:ascii="Times New Roman" w:eastAsia="Times New Roman" w:hAnsi="Times New Roman"/>
                <w:sz w:val="21"/>
                <w:szCs w:val="20"/>
              </w:rPr>
              <w:t>-0.029493</w:t>
            </w:r>
          </w:p>
        </w:tc>
        <w:tc>
          <w:tcPr>
            <w:tcW w:w="1150" w:type="dxa"/>
            <w:tcBorders>
              <w:top w:val="nil"/>
              <w:left w:val="nil"/>
              <w:bottom w:val="single" w:sz="8" w:space="0" w:color="000000"/>
              <w:right w:val="nil"/>
            </w:tcBorders>
            <w:vAlign w:val="center"/>
          </w:tcPr>
          <w:p w14:paraId="55398E3A" w14:textId="77777777" w:rsidR="007A581E" w:rsidRDefault="00640B9D">
            <w:pPr>
              <w:spacing w:after="0" w:line="240" w:lineRule="auto"/>
              <w:jc w:val="center"/>
            </w:pPr>
            <w:r>
              <w:rPr>
                <w:rFonts w:ascii="Times New Roman" w:eastAsia="Times New Roman" w:hAnsi="Times New Roman"/>
                <w:sz w:val="21"/>
                <w:szCs w:val="20"/>
              </w:rPr>
              <w:t>(0.018175)</w:t>
            </w:r>
          </w:p>
        </w:tc>
        <w:tc>
          <w:tcPr>
            <w:tcW w:w="900" w:type="dxa"/>
            <w:tcBorders>
              <w:top w:val="nil"/>
              <w:left w:val="nil"/>
              <w:bottom w:val="single" w:sz="8" w:space="0" w:color="000000"/>
              <w:right w:val="nil"/>
            </w:tcBorders>
            <w:vAlign w:val="center"/>
          </w:tcPr>
          <w:p w14:paraId="1C123032" w14:textId="77777777" w:rsidR="007A581E" w:rsidRDefault="00640B9D">
            <w:pPr>
              <w:spacing w:after="0" w:line="240" w:lineRule="auto"/>
              <w:jc w:val="center"/>
            </w:pPr>
            <w:r>
              <w:rPr>
                <w:rFonts w:ascii="Times New Roman" w:eastAsia="Times New Roman" w:hAnsi="Times New Roman"/>
                <w:sz w:val="21"/>
                <w:szCs w:val="20"/>
              </w:rPr>
              <w:t>0.115</w:t>
            </w:r>
          </w:p>
        </w:tc>
        <w:tc>
          <w:tcPr>
            <w:tcW w:w="1000" w:type="dxa"/>
            <w:tcBorders>
              <w:top w:val="nil"/>
              <w:left w:val="nil"/>
              <w:bottom w:val="single" w:sz="8" w:space="0" w:color="000000"/>
              <w:right w:val="nil"/>
            </w:tcBorders>
            <w:vAlign w:val="center"/>
          </w:tcPr>
          <w:p w14:paraId="00CFC1F0" w14:textId="77777777" w:rsidR="007A581E" w:rsidRDefault="00640B9D">
            <w:pPr>
              <w:spacing w:after="0" w:line="240" w:lineRule="auto"/>
              <w:jc w:val="center"/>
            </w:pPr>
            <w:r>
              <w:rPr>
                <w:rFonts w:ascii="Times New Roman" w:eastAsia="Times New Roman" w:hAnsi="Times New Roman"/>
                <w:sz w:val="21"/>
                <w:szCs w:val="20"/>
              </w:rPr>
              <w:t>5,607</w:t>
            </w:r>
          </w:p>
        </w:tc>
        <w:tc>
          <w:tcPr>
            <w:tcW w:w="1373" w:type="dxa"/>
            <w:tcBorders>
              <w:top w:val="nil"/>
              <w:left w:val="nil"/>
              <w:bottom w:val="single" w:sz="8" w:space="0" w:color="000000"/>
              <w:right w:val="nil"/>
            </w:tcBorders>
            <w:vAlign w:val="center"/>
          </w:tcPr>
          <w:p w14:paraId="3D4FCA83" w14:textId="77777777" w:rsidR="007A581E" w:rsidRDefault="00640B9D">
            <w:pPr>
              <w:spacing w:after="0" w:line="240" w:lineRule="auto"/>
              <w:jc w:val="center"/>
            </w:pPr>
            <w:r>
              <w:rPr>
                <w:rFonts w:ascii="Times New Roman" w:eastAsia="Times New Roman" w:hAnsi="Times New Roman"/>
                <w:sz w:val="21"/>
                <w:szCs w:val="20"/>
              </w:rPr>
              <w:t>30</w:t>
            </w:r>
          </w:p>
        </w:tc>
      </w:tr>
    </w:tbl>
    <w:p w14:paraId="082A96AA" w14:textId="77777777" w:rsidR="008F026E" w:rsidRDefault="008F026E">
      <w:pPr>
        <w:jc w:val="center"/>
      </w:pPr>
      <w:r>
        <w:rPr>
          <w:rFonts w:eastAsia="Times New Roman"/>
          <w:sz w:val="18"/>
          <w:szCs w:val="18"/>
        </w:rPr>
        <w:t xml:space="preserve">Table 9 note. *** p &lt; 0.01, ** p &lt; 0.05, * p &lt; 0.10. Equation (4) is estimated independently four times. Each row reports one complete PPML regression using the listed permit count as its dependent variable. Across the four regressions, the policy regressor, fixed effects, controls, and destination-clustered standard-error method are held constant. The regressions determine whether the positive HSNumber association is concentrated in one administrative permit route. PPML drops fixed-effect groups whose selected outcome is always zero, so N and G differ. The outcomes are not a mutually exclusive partition: HSNumber excludes Blue Cards, so Blue Cards remain in residual EMP − </w:t>
      </w:r>
      <w:r>
        <w:rPr>
          <w:rFonts w:eastAsia="Times New Roman"/>
          <w:sz w:val="18"/>
          <w:szCs w:val="18"/>
        </w:rPr>
        <w:lastRenderedPageBreak/>
        <w:t>HSNumber while also being tested separately. The coefficients therefore cannot be combined as a formal decomposition.</w:t>
      </w:r>
    </w:p>
    <w:p w14:paraId="64E2A5D6" w14:textId="77777777" w:rsidR="00846083" w:rsidRPr="00FF0547" w:rsidRDefault="00A36F18" w:rsidP="00FF0547">
      <w:pPr>
        <w:pStyle w:val="BodyText"/>
        <w:jc w:val="both"/>
      </w:pPr>
      <w:r>
        <w:t xml:space="preserve">Although EU Blue Card permits are excluded from the main </w:t>
      </w:r>
      <w:proofErr w:type="spellStart"/>
      <w:r>
        <w:t>HSNumber</w:t>
      </w:r>
      <w:proofErr w:type="spellEnd"/>
      <w:r>
        <w:t xml:space="preserve"> and </w:t>
      </w:r>
      <w:proofErr w:type="spellStart"/>
      <w:r>
        <w:t>HSRate</w:t>
      </w:r>
      <w:proofErr w:type="spellEnd"/>
      <w:r>
        <w:t xml:space="preserve"> measures, Eurostat reports them separately as EMP_BLUE in the same migration dataset. Table 9 therefore re-estimates the PPML model using the Blue Card count as an alternative dependent variable; this is a separate diagnostic and does not change the main outcome definition.</w:t>
      </w:r>
    </w:p>
    <w:p w14:paraId="6600F7C7" w14:textId="77777777" w:rsidR="00846083" w:rsidRPr="00FF0547" w:rsidRDefault="00A36F18" w:rsidP="00FF0547">
      <w:pPr>
        <w:pStyle w:val="BodyText"/>
        <w:jc w:val="both"/>
      </w:pPr>
      <w:r>
        <w:t>Table 9 shows that the positive HSNumber association is concentrated in national highly-skilled-worker permits (β = 0.0645, p = 0.003). The researcher, EU Blue Card, and residual employment-permit coefficients are not statistically significant.</w:t>
      </w:r>
    </w:p>
    <w:p w14:paraId="4E2E82DB" w14:textId="77777777" w:rsidR="00FB5D7A" w:rsidRDefault="00FB5D7A">
      <w:pPr>
        <w:spacing w:after="0" w:line="240" w:lineRule="auto"/>
        <w:rPr>
          <w:rFonts w:ascii="Cambria" w:eastAsia="Cambria" w:hAnsi="Cambria" w:cs="Cambria"/>
          <w:b/>
          <w:bCs/>
          <w:color w:val="000000"/>
          <w:sz w:val="34"/>
          <w:szCs w:val="28"/>
        </w:rPr>
      </w:pPr>
      <w:r>
        <w:br w:type="page"/>
      </w:r>
    </w:p>
    <w:p w14:paraId="695EE52C" w14:textId="77777777" w:rsidR="008F026E" w:rsidRDefault="008F026E">
      <w:pPr>
        <w:pStyle w:val="Heading1"/>
      </w:pPr>
      <w:r>
        <w:lastRenderedPageBreak/>
        <w:t>8. Robustness and Diagnostic Evidence</w:t>
      </w:r>
    </w:p>
    <w:p w14:paraId="788AAC1D" w14:textId="77777777" w:rsidR="00B76B02" w:rsidRDefault="00640B9D">
      <w:pPr>
        <w:pStyle w:val="Heading2"/>
      </w:pPr>
      <w:r>
        <w:t>8.1 Robustness and Sensitivity Checks</w:t>
      </w:r>
    </w:p>
    <w:p w14:paraId="7AF9BA49" w14:textId="77777777" w:rsidR="00961C7F" w:rsidRDefault="008A042F">
      <w:pPr>
        <w:keepNext/>
        <w:jc w:val="center"/>
        <w:rPr>
          <w:b/>
          <w:bCs/>
          <w:i/>
          <w:iCs/>
        </w:rPr>
      </w:pPr>
      <w:r>
        <w:rPr>
          <w:b/>
          <w:bCs/>
          <w:i/>
          <w:iCs/>
        </w:rPr>
        <w:t>Table 10. Robustness and sensitivity checks for the preferred bilateral model.</w:t>
      </w:r>
    </w:p>
    <w:p w14:paraId="596C75FC" w14:textId="77777777" w:rsidR="008F4D9C" w:rsidRPr="0038122C" w:rsidRDefault="008F4D9C" w:rsidP="008F4D9C">
      <w:pPr>
        <w:keepNext/>
        <w:jc w:val="both"/>
        <w:rPr>
          <w:b/>
          <w:bCs/>
          <w:i/>
          <w:iCs/>
        </w:rPr>
      </w:pPr>
      <w:r>
        <w:t>Table 10 summarizes the robustness and sensitivity checks applied to the preferred bilateral model; the discussion following the table explains what each check changes and how it affects the interpretation.</w:t>
      </w:r>
    </w:p>
    <w:tbl>
      <w:tblPr>
        <w:tblW w:w="9423" w:type="dxa"/>
        <w:jc w:val="center"/>
        <w:tblLayout w:type="fixed"/>
        <w:tblLook w:val="04A0" w:firstRow="1" w:lastRow="0" w:firstColumn="1" w:lastColumn="0" w:noHBand="0" w:noVBand="1"/>
      </w:tblPr>
      <w:tblGrid>
        <w:gridCol w:w="1812"/>
        <w:gridCol w:w="3312"/>
        <w:gridCol w:w="1284"/>
        <w:gridCol w:w="695"/>
        <w:gridCol w:w="2320"/>
      </w:tblGrid>
      <w:tr w:rsidR="00C70AE2" w14:paraId="745DC508" w14:textId="77777777" w:rsidTr="00610185">
        <w:trPr>
          <w:cantSplit/>
          <w:trHeight w:val="165"/>
          <w:tblHeader/>
          <w:jc w:val="center"/>
        </w:trPr>
        <w:tc>
          <w:tcPr>
            <w:tcW w:w="1812" w:type="dxa"/>
            <w:tcBorders>
              <w:top w:val="single" w:sz="12" w:space="0" w:color="000000"/>
              <w:left w:val="nil"/>
              <w:bottom w:val="single" w:sz="8" w:space="0" w:color="000000"/>
              <w:right w:val="nil"/>
            </w:tcBorders>
            <w:shd w:val="clear" w:color="auto" w:fill="EDEDED"/>
            <w:vAlign w:val="center"/>
          </w:tcPr>
          <w:p w14:paraId="30F71AF1" w14:textId="77777777" w:rsidR="00C70AE2" w:rsidRDefault="00A36F18">
            <w:pPr>
              <w:spacing w:after="0" w:line="240" w:lineRule="auto"/>
            </w:pPr>
            <w:r>
              <w:rPr>
                <w:rFonts w:ascii="Times New Roman" w:hAnsi="Times New Roman"/>
                <w:b/>
                <w:sz w:val="16"/>
                <w:szCs w:val="16"/>
              </w:rPr>
              <w:t>Design / check</w:t>
            </w:r>
          </w:p>
        </w:tc>
        <w:tc>
          <w:tcPr>
            <w:tcW w:w="3312" w:type="dxa"/>
            <w:tcBorders>
              <w:top w:val="single" w:sz="12" w:space="0" w:color="000000"/>
              <w:left w:val="nil"/>
              <w:bottom w:val="single" w:sz="8" w:space="0" w:color="000000"/>
              <w:right w:val="nil"/>
            </w:tcBorders>
            <w:shd w:val="clear" w:color="auto" w:fill="EDEDED"/>
            <w:vAlign w:val="center"/>
          </w:tcPr>
          <w:p w14:paraId="12D15397" w14:textId="77777777" w:rsidR="00C70AE2" w:rsidRDefault="00A36F18">
            <w:pPr>
              <w:spacing w:after="0" w:line="240" w:lineRule="auto"/>
              <w:jc w:val="center"/>
            </w:pPr>
            <w:r>
              <w:rPr>
                <w:rFonts w:ascii="Times New Roman" w:hAnsi="Times New Roman"/>
                <w:b/>
                <w:sz w:val="16"/>
                <w:szCs w:val="16"/>
              </w:rPr>
              <w:t>Change relative to the reference model</w:t>
            </w:r>
          </w:p>
        </w:tc>
        <w:tc>
          <w:tcPr>
            <w:tcW w:w="1284" w:type="dxa"/>
            <w:tcBorders>
              <w:top w:val="single" w:sz="12" w:space="0" w:color="000000"/>
              <w:left w:val="nil"/>
              <w:bottom w:val="single" w:sz="8" w:space="0" w:color="000000"/>
              <w:right w:val="nil"/>
            </w:tcBorders>
            <w:shd w:val="clear" w:color="auto" w:fill="EDEDED"/>
            <w:vAlign w:val="center"/>
          </w:tcPr>
          <w:p w14:paraId="038078A3" w14:textId="77777777" w:rsidR="00C70AE2" w:rsidRDefault="00A36F18">
            <w:pPr>
              <w:spacing w:after="0" w:line="240" w:lineRule="auto"/>
              <w:jc w:val="center"/>
            </w:pPr>
            <w:r>
              <w:rPr>
                <w:rFonts w:ascii="Times New Roman" w:hAnsi="Times New Roman"/>
                <w:b/>
                <w:sz w:val="16"/>
                <w:szCs w:val="16"/>
              </w:rPr>
              <w:t>β</w:t>
            </w:r>
          </w:p>
        </w:tc>
        <w:tc>
          <w:tcPr>
            <w:tcW w:w="695" w:type="dxa"/>
            <w:tcBorders>
              <w:top w:val="single" w:sz="12" w:space="0" w:color="000000"/>
              <w:left w:val="nil"/>
              <w:bottom w:val="single" w:sz="8" w:space="0" w:color="000000"/>
              <w:right w:val="nil"/>
            </w:tcBorders>
            <w:shd w:val="clear" w:color="auto" w:fill="EDEDED"/>
            <w:vAlign w:val="center"/>
          </w:tcPr>
          <w:p w14:paraId="72A0C234" w14:textId="77777777" w:rsidR="00C70AE2" w:rsidRDefault="00A36F18">
            <w:pPr>
              <w:spacing w:after="0" w:line="240" w:lineRule="auto"/>
              <w:jc w:val="center"/>
            </w:pPr>
            <w:r>
              <w:rPr>
                <w:rFonts w:ascii="Times New Roman" w:hAnsi="Times New Roman"/>
                <w:b/>
                <w:sz w:val="16"/>
                <w:szCs w:val="16"/>
              </w:rPr>
              <w:t>p</w:t>
            </w:r>
          </w:p>
        </w:tc>
        <w:tc>
          <w:tcPr>
            <w:tcW w:w="2320" w:type="dxa"/>
            <w:tcBorders>
              <w:top w:val="single" w:sz="12" w:space="0" w:color="000000"/>
              <w:left w:val="nil"/>
              <w:bottom w:val="single" w:sz="8" w:space="0" w:color="000000"/>
              <w:right w:val="nil"/>
            </w:tcBorders>
            <w:shd w:val="clear" w:color="auto" w:fill="EDEDED"/>
            <w:vAlign w:val="center"/>
          </w:tcPr>
          <w:p w14:paraId="1C473F8D" w14:textId="77777777" w:rsidR="00C70AE2" w:rsidRDefault="00A36F18">
            <w:pPr>
              <w:spacing w:after="0" w:line="240" w:lineRule="auto"/>
              <w:jc w:val="center"/>
            </w:pPr>
            <w:r>
              <w:rPr>
                <w:rFonts w:ascii="Times New Roman" w:hAnsi="Times New Roman"/>
                <w:b/>
                <w:sz w:val="16"/>
                <w:szCs w:val="16"/>
              </w:rPr>
              <w:t>Inference</w:t>
            </w:r>
          </w:p>
        </w:tc>
      </w:tr>
      <w:tr w:rsidR="00C70AE2" w14:paraId="56AAE417" w14:textId="77777777" w:rsidTr="00CD1970">
        <w:trPr>
          <w:cantSplit/>
          <w:trHeight w:val="329"/>
          <w:jc w:val="center"/>
        </w:trPr>
        <w:tc>
          <w:tcPr>
            <w:tcW w:w="1812" w:type="dxa"/>
            <w:tcBorders>
              <w:top w:val="nil"/>
              <w:left w:val="nil"/>
              <w:bottom w:val="nil"/>
              <w:right w:val="nil"/>
            </w:tcBorders>
            <w:vAlign w:val="center"/>
          </w:tcPr>
          <w:p w14:paraId="4C5CC8AE" w14:textId="77777777" w:rsidR="00C70AE2" w:rsidRDefault="00A36F18">
            <w:pPr>
              <w:spacing w:after="0" w:line="240" w:lineRule="auto"/>
            </w:pPr>
            <w:r>
              <w:rPr>
                <w:rFonts w:ascii="Times New Roman" w:hAnsi="Times New Roman"/>
                <w:sz w:val="16"/>
                <w:szCs w:val="16"/>
              </w:rPr>
              <w:t>R1. Bilateral: include 2020 pandemic year</w:t>
            </w:r>
          </w:p>
        </w:tc>
        <w:tc>
          <w:tcPr>
            <w:tcW w:w="3312" w:type="dxa"/>
            <w:tcBorders>
              <w:top w:val="nil"/>
              <w:left w:val="nil"/>
              <w:bottom w:val="nil"/>
              <w:right w:val="nil"/>
            </w:tcBorders>
            <w:vAlign w:val="center"/>
          </w:tcPr>
          <w:p w14:paraId="1E8B8FF5" w14:textId="77777777" w:rsidR="00C70AE2" w:rsidRDefault="00A36F18">
            <w:pPr>
              <w:spacing w:after="0" w:line="240" w:lineRule="auto"/>
              <w:jc w:val="center"/>
            </w:pPr>
            <w:r>
              <w:rPr>
                <w:rFonts w:ascii="Times New Roman" w:hAnsi="Times New Roman"/>
                <w:sz w:val="16"/>
                <w:szCs w:val="16"/>
              </w:rPr>
              <w:t>Extends the baseline outcome window from 2008-2019 to 2008-2020</w:t>
            </w:r>
          </w:p>
        </w:tc>
        <w:tc>
          <w:tcPr>
            <w:tcW w:w="1284" w:type="dxa"/>
            <w:tcBorders>
              <w:top w:val="nil"/>
              <w:left w:val="nil"/>
              <w:bottom w:val="nil"/>
              <w:right w:val="nil"/>
            </w:tcBorders>
            <w:vAlign w:val="center"/>
          </w:tcPr>
          <w:p w14:paraId="6B1E6E30" w14:textId="77777777" w:rsidR="00C70AE2" w:rsidRDefault="00A36F18">
            <w:pPr>
              <w:spacing w:after="0" w:line="240" w:lineRule="auto"/>
              <w:jc w:val="center"/>
            </w:pPr>
            <w:r>
              <w:rPr>
                <w:rFonts w:ascii="Times New Roman" w:hAnsi="Times New Roman"/>
                <w:sz w:val="16"/>
                <w:szCs w:val="16"/>
              </w:rPr>
              <w:t>0.005446***</w:t>
            </w:r>
          </w:p>
        </w:tc>
        <w:tc>
          <w:tcPr>
            <w:tcW w:w="695" w:type="dxa"/>
            <w:tcBorders>
              <w:top w:val="nil"/>
              <w:left w:val="nil"/>
              <w:bottom w:val="nil"/>
              <w:right w:val="nil"/>
            </w:tcBorders>
            <w:vAlign w:val="center"/>
          </w:tcPr>
          <w:p w14:paraId="09760C85" w14:textId="77777777" w:rsidR="00C70AE2" w:rsidRDefault="00A36F18">
            <w:pPr>
              <w:spacing w:after="0" w:line="240" w:lineRule="auto"/>
              <w:jc w:val="center"/>
            </w:pPr>
            <w:r>
              <w:rPr>
                <w:rFonts w:ascii="Times New Roman" w:hAnsi="Times New Roman"/>
                <w:sz w:val="16"/>
                <w:szCs w:val="16"/>
              </w:rPr>
              <w:t>0.004</w:t>
            </w:r>
          </w:p>
        </w:tc>
        <w:tc>
          <w:tcPr>
            <w:tcW w:w="2320" w:type="dxa"/>
            <w:tcBorders>
              <w:top w:val="nil"/>
              <w:left w:val="nil"/>
              <w:bottom w:val="nil"/>
              <w:right w:val="nil"/>
            </w:tcBorders>
            <w:vAlign w:val="center"/>
          </w:tcPr>
          <w:p w14:paraId="10CAFF25" w14:textId="77777777" w:rsidR="00C70AE2" w:rsidRDefault="00A36F18">
            <w:pPr>
              <w:spacing w:after="0" w:line="240" w:lineRule="auto"/>
              <w:jc w:val="center"/>
            </w:pPr>
            <w:r>
              <w:rPr>
                <w:rFonts w:ascii="Times New Roman" w:hAnsi="Times New Roman"/>
                <w:sz w:val="16"/>
                <w:szCs w:val="16"/>
              </w:rPr>
              <w:t>Significant; bootstrap p = 0.024</w:t>
            </w:r>
          </w:p>
        </w:tc>
      </w:tr>
      <w:tr w:rsidR="00C70AE2" w14:paraId="0E82CCAD" w14:textId="77777777" w:rsidTr="00CD1970">
        <w:trPr>
          <w:cantSplit/>
          <w:trHeight w:val="329"/>
          <w:jc w:val="center"/>
        </w:trPr>
        <w:tc>
          <w:tcPr>
            <w:tcW w:w="1812" w:type="dxa"/>
            <w:tcBorders>
              <w:top w:val="nil"/>
              <w:left w:val="nil"/>
              <w:bottom w:val="nil"/>
              <w:right w:val="nil"/>
            </w:tcBorders>
            <w:vAlign w:val="center"/>
          </w:tcPr>
          <w:p w14:paraId="74FD224A" w14:textId="77777777" w:rsidR="008F026E" w:rsidRDefault="008F026E">
            <w:pPr>
              <w:spacing w:after="0" w:line="240" w:lineRule="auto"/>
            </w:pPr>
            <w:r>
              <w:rPr>
                <w:rFonts w:ascii="Times New Roman" w:hAnsi="Times New Roman"/>
                <w:sz w:val="16"/>
                <w:szCs w:val="16"/>
              </w:rPr>
              <w:t>R2. Bilateral: removes 30-permit-per-cell minimum</w:t>
            </w:r>
          </w:p>
        </w:tc>
        <w:tc>
          <w:tcPr>
            <w:tcW w:w="3312" w:type="dxa"/>
            <w:tcBorders>
              <w:top w:val="nil"/>
              <w:left w:val="nil"/>
              <w:bottom w:val="nil"/>
              <w:right w:val="nil"/>
            </w:tcBorders>
            <w:vAlign w:val="center"/>
          </w:tcPr>
          <w:p w14:paraId="2E196C37" w14:textId="77777777" w:rsidR="008F026E" w:rsidRDefault="008F026E">
            <w:pPr>
              <w:spacing w:after="0" w:line="240" w:lineRule="auto"/>
              <w:jc w:val="center"/>
            </w:pPr>
            <w:r>
              <w:rPr>
                <w:rFonts w:ascii="Times New Roman" w:hAnsi="Times New Roman"/>
                <w:sz w:val="16"/>
                <w:szCs w:val="16"/>
              </w:rPr>
              <w:t>Retains every positive-denominator cell, including cells with 1-29 current employment permits</w:t>
            </w:r>
          </w:p>
        </w:tc>
        <w:tc>
          <w:tcPr>
            <w:tcW w:w="1284" w:type="dxa"/>
            <w:tcBorders>
              <w:top w:val="nil"/>
              <w:left w:val="nil"/>
              <w:bottom w:val="nil"/>
              <w:right w:val="nil"/>
            </w:tcBorders>
            <w:vAlign w:val="center"/>
          </w:tcPr>
          <w:p w14:paraId="20595313" w14:textId="77777777" w:rsidR="00C70AE2" w:rsidRDefault="00A36F18">
            <w:pPr>
              <w:spacing w:after="0" w:line="240" w:lineRule="auto"/>
              <w:jc w:val="center"/>
            </w:pPr>
            <w:r>
              <w:rPr>
                <w:rFonts w:ascii="Times New Roman" w:hAnsi="Times New Roman"/>
                <w:sz w:val="16"/>
                <w:szCs w:val="16"/>
              </w:rPr>
              <w:t>0.005978***</w:t>
            </w:r>
          </w:p>
        </w:tc>
        <w:tc>
          <w:tcPr>
            <w:tcW w:w="695" w:type="dxa"/>
            <w:tcBorders>
              <w:top w:val="nil"/>
              <w:left w:val="nil"/>
              <w:bottom w:val="nil"/>
              <w:right w:val="nil"/>
            </w:tcBorders>
            <w:vAlign w:val="center"/>
          </w:tcPr>
          <w:p w14:paraId="1DD4B242" w14:textId="77777777" w:rsidR="00C70AE2" w:rsidRDefault="00A36F18">
            <w:pPr>
              <w:spacing w:after="0" w:line="240" w:lineRule="auto"/>
              <w:jc w:val="center"/>
            </w:pPr>
            <w:r>
              <w:rPr>
                <w:rFonts w:ascii="Times New Roman" w:hAnsi="Times New Roman"/>
                <w:sz w:val="16"/>
                <w:szCs w:val="16"/>
              </w:rPr>
              <w:t>&lt;0.001</w:t>
            </w:r>
          </w:p>
        </w:tc>
        <w:tc>
          <w:tcPr>
            <w:tcW w:w="2320" w:type="dxa"/>
            <w:tcBorders>
              <w:top w:val="nil"/>
              <w:left w:val="nil"/>
              <w:bottom w:val="nil"/>
              <w:right w:val="nil"/>
            </w:tcBorders>
            <w:vAlign w:val="center"/>
          </w:tcPr>
          <w:p w14:paraId="03C743DB" w14:textId="77777777" w:rsidR="008F026E" w:rsidRDefault="008F026E">
            <w:pPr>
              <w:spacing w:after="0" w:line="240" w:lineRule="auto"/>
              <w:jc w:val="center"/>
            </w:pPr>
            <w:r>
              <w:rPr>
                <w:rFonts w:ascii="Times New Roman" w:hAnsi="Times New Roman"/>
                <w:sz w:val="16"/>
                <w:szCs w:val="16"/>
              </w:rPr>
              <w:t>Significant; not driven by the 30-permit cutoff</w:t>
            </w:r>
          </w:p>
        </w:tc>
      </w:tr>
      <w:tr w:rsidR="00C70AE2" w14:paraId="5670F576" w14:textId="77777777" w:rsidTr="00CD1970">
        <w:trPr>
          <w:cantSplit/>
          <w:trHeight w:val="343"/>
          <w:jc w:val="center"/>
        </w:trPr>
        <w:tc>
          <w:tcPr>
            <w:tcW w:w="1812" w:type="dxa"/>
            <w:tcBorders>
              <w:top w:val="nil"/>
              <w:left w:val="nil"/>
              <w:bottom w:val="nil"/>
              <w:right w:val="nil"/>
            </w:tcBorders>
            <w:vAlign w:val="center"/>
          </w:tcPr>
          <w:p w14:paraId="4AF2D174" w14:textId="77777777" w:rsidR="00C70AE2" w:rsidRDefault="00A36F18">
            <w:pPr>
              <w:spacing w:after="0" w:line="240" w:lineRule="auto"/>
            </w:pPr>
            <w:r>
              <w:rPr>
                <w:rFonts w:ascii="Times New Roman" w:hAnsi="Times New Roman"/>
                <w:sz w:val="16"/>
                <w:szCs w:val="16"/>
              </w:rPr>
              <w:t>R3. Bilateral: all-first-permits denominator</w:t>
            </w:r>
          </w:p>
        </w:tc>
        <w:tc>
          <w:tcPr>
            <w:tcW w:w="3312" w:type="dxa"/>
            <w:tcBorders>
              <w:top w:val="nil"/>
              <w:left w:val="nil"/>
              <w:bottom w:val="nil"/>
              <w:right w:val="nil"/>
            </w:tcBorders>
            <w:vAlign w:val="center"/>
          </w:tcPr>
          <w:p w14:paraId="605A295A" w14:textId="77777777" w:rsidR="00C70AE2" w:rsidRDefault="00A36F18">
            <w:pPr>
              <w:spacing w:after="0" w:line="240" w:lineRule="auto"/>
              <w:jc w:val="center"/>
            </w:pPr>
            <w:r>
              <w:rPr>
                <w:rFonts w:ascii="Times New Roman" w:hAnsi="Times New Roman"/>
                <w:sz w:val="16"/>
                <w:szCs w:val="16"/>
              </w:rPr>
              <w:t>Replaces the employment-permit denominator with all first residence permits</w:t>
            </w:r>
          </w:p>
        </w:tc>
        <w:tc>
          <w:tcPr>
            <w:tcW w:w="1284" w:type="dxa"/>
            <w:tcBorders>
              <w:top w:val="nil"/>
              <w:left w:val="nil"/>
              <w:bottom w:val="nil"/>
              <w:right w:val="nil"/>
            </w:tcBorders>
            <w:vAlign w:val="center"/>
          </w:tcPr>
          <w:p w14:paraId="7DF15635" w14:textId="77777777" w:rsidR="00C70AE2" w:rsidRDefault="00A36F18">
            <w:pPr>
              <w:spacing w:after="0" w:line="240" w:lineRule="auto"/>
              <w:jc w:val="center"/>
            </w:pPr>
            <w:r>
              <w:rPr>
                <w:rFonts w:ascii="Times New Roman" w:hAnsi="Times New Roman"/>
                <w:sz w:val="16"/>
                <w:szCs w:val="16"/>
              </w:rPr>
              <w:t>0.000958***</w:t>
            </w:r>
          </w:p>
        </w:tc>
        <w:tc>
          <w:tcPr>
            <w:tcW w:w="695" w:type="dxa"/>
            <w:tcBorders>
              <w:top w:val="nil"/>
              <w:left w:val="nil"/>
              <w:bottom w:val="nil"/>
              <w:right w:val="nil"/>
            </w:tcBorders>
            <w:vAlign w:val="center"/>
          </w:tcPr>
          <w:p w14:paraId="2E851A67" w14:textId="77777777" w:rsidR="00C70AE2" w:rsidRDefault="00A36F18">
            <w:pPr>
              <w:spacing w:after="0" w:line="240" w:lineRule="auto"/>
              <w:jc w:val="center"/>
            </w:pPr>
            <w:r>
              <w:rPr>
                <w:rFonts w:ascii="Times New Roman" w:hAnsi="Times New Roman"/>
                <w:sz w:val="16"/>
                <w:szCs w:val="16"/>
              </w:rPr>
              <w:t>0.004</w:t>
            </w:r>
          </w:p>
        </w:tc>
        <w:tc>
          <w:tcPr>
            <w:tcW w:w="2320" w:type="dxa"/>
            <w:tcBorders>
              <w:top w:val="nil"/>
              <w:left w:val="nil"/>
              <w:bottom w:val="nil"/>
              <w:right w:val="nil"/>
            </w:tcBorders>
            <w:vAlign w:val="center"/>
          </w:tcPr>
          <w:p w14:paraId="4352B184" w14:textId="77777777" w:rsidR="00C70AE2" w:rsidRDefault="00A36F18">
            <w:pPr>
              <w:spacing w:after="0" w:line="240" w:lineRule="auto"/>
              <w:jc w:val="center"/>
            </w:pPr>
            <w:r>
              <w:rPr>
                <w:rFonts w:ascii="Times New Roman" w:hAnsi="Times New Roman"/>
                <w:sz w:val="16"/>
                <w:szCs w:val="16"/>
              </w:rPr>
              <w:t>Significant; survives broader denominator</w:t>
            </w:r>
          </w:p>
        </w:tc>
      </w:tr>
      <w:tr w:rsidR="00C70AE2" w14:paraId="7C8D17D0" w14:textId="77777777" w:rsidTr="00CD1970">
        <w:trPr>
          <w:cantSplit/>
          <w:trHeight w:val="329"/>
          <w:jc w:val="center"/>
        </w:trPr>
        <w:tc>
          <w:tcPr>
            <w:tcW w:w="1812" w:type="dxa"/>
            <w:tcBorders>
              <w:top w:val="nil"/>
              <w:left w:val="nil"/>
              <w:bottom w:val="nil"/>
              <w:right w:val="nil"/>
            </w:tcBorders>
            <w:vAlign w:val="center"/>
          </w:tcPr>
          <w:p w14:paraId="468587E8" w14:textId="77777777" w:rsidR="00C70AE2" w:rsidRDefault="00A36F18">
            <w:pPr>
              <w:spacing w:after="0" w:line="240" w:lineRule="auto"/>
            </w:pPr>
            <w:r>
              <w:rPr>
                <w:rFonts w:ascii="Times New Roman" w:hAnsi="Times New Roman"/>
                <w:sz w:val="16"/>
                <w:szCs w:val="16"/>
              </w:rPr>
              <w:t>R4. Bilateral: ILOSTAT, no UK</w:t>
            </w:r>
          </w:p>
        </w:tc>
        <w:tc>
          <w:tcPr>
            <w:tcW w:w="3312" w:type="dxa"/>
            <w:tcBorders>
              <w:top w:val="nil"/>
              <w:left w:val="nil"/>
              <w:bottom w:val="nil"/>
              <w:right w:val="nil"/>
            </w:tcBorders>
            <w:vAlign w:val="center"/>
          </w:tcPr>
          <w:p w14:paraId="0BBBB988" w14:textId="77777777" w:rsidR="00C70AE2" w:rsidRDefault="00A36F18">
            <w:pPr>
              <w:spacing w:after="0" w:line="240" w:lineRule="auto"/>
              <w:jc w:val="center"/>
            </w:pPr>
            <w:r>
              <w:rPr>
                <w:rFonts w:ascii="Times New Roman" w:hAnsi="Times New Roman"/>
                <w:sz w:val="16"/>
                <w:szCs w:val="16"/>
              </w:rPr>
              <w:t>Replaces Eurostat unemployment with ILOSTAT</w:t>
            </w:r>
          </w:p>
        </w:tc>
        <w:tc>
          <w:tcPr>
            <w:tcW w:w="1284" w:type="dxa"/>
            <w:tcBorders>
              <w:top w:val="nil"/>
              <w:left w:val="nil"/>
              <w:bottom w:val="nil"/>
              <w:right w:val="nil"/>
            </w:tcBorders>
            <w:vAlign w:val="center"/>
          </w:tcPr>
          <w:p w14:paraId="3BC95F9D" w14:textId="77777777" w:rsidR="00C70AE2" w:rsidRDefault="00A36F18">
            <w:pPr>
              <w:spacing w:after="0" w:line="240" w:lineRule="auto"/>
              <w:jc w:val="center"/>
            </w:pPr>
            <w:r>
              <w:rPr>
                <w:rFonts w:ascii="Times New Roman" w:hAnsi="Times New Roman"/>
                <w:sz w:val="16"/>
                <w:szCs w:val="16"/>
              </w:rPr>
              <w:t>0.005547***</w:t>
            </w:r>
          </w:p>
        </w:tc>
        <w:tc>
          <w:tcPr>
            <w:tcW w:w="695" w:type="dxa"/>
            <w:tcBorders>
              <w:top w:val="nil"/>
              <w:left w:val="nil"/>
              <w:bottom w:val="nil"/>
              <w:right w:val="nil"/>
            </w:tcBorders>
            <w:vAlign w:val="center"/>
          </w:tcPr>
          <w:p w14:paraId="3765CF45" w14:textId="77777777" w:rsidR="00C70AE2" w:rsidRDefault="00A36F18">
            <w:pPr>
              <w:spacing w:after="0" w:line="240" w:lineRule="auto"/>
              <w:jc w:val="center"/>
            </w:pPr>
            <w:r>
              <w:rPr>
                <w:rFonts w:ascii="Times New Roman" w:hAnsi="Times New Roman"/>
                <w:sz w:val="16"/>
                <w:szCs w:val="16"/>
              </w:rPr>
              <w:t>&lt;0.001</w:t>
            </w:r>
          </w:p>
        </w:tc>
        <w:tc>
          <w:tcPr>
            <w:tcW w:w="2320" w:type="dxa"/>
            <w:tcBorders>
              <w:top w:val="nil"/>
              <w:left w:val="nil"/>
              <w:bottom w:val="nil"/>
              <w:right w:val="nil"/>
            </w:tcBorders>
            <w:vAlign w:val="center"/>
          </w:tcPr>
          <w:p w14:paraId="57CD5D9C" w14:textId="77777777" w:rsidR="00C70AE2" w:rsidRDefault="00A36F18">
            <w:pPr>
              <w:spacing w:after="0" w:line="240" w:lineRule="auto"/>
              <w:jc w:val="center"/>
            </w:pPr>
            <w:r>
              <w:rPr>
                <w:rFonts w:ascii="Times New Roman" w:hAnsi="Times New Roman"/>
                <w:sz w:val="16"/>
                <w:szCs w:val="16"/>
              </w:rPr>
              <w:t>Significant; survives source change</w:t>
            </w:r>
          </w:p>
        </w:tc>
      </w:tr>
      <w:tr w:rsidR="00C70AE2" w14:paraId="711CF135" w14:textId="77777777" w:rsidTr="00CD1970">
        <w:trPr>
          <w:cantSplit/>
          <w:trHeight w:val="329"/>
          <w:jc w:val="center"/>
        </w:trPr>
        <w:tc>
          <w:tcPr>
            <w:tcW w:w="1812" w:type="dxa"/>
            <w:tcBorders>
              <w:top w:val="nil"/>
              <w:left w:val="nil"/>
              <w:bottom w:val="nil"/>
              <w:right w:val="nil"/>
            </w:tcBorders>
            <w:vAlign w:val="center"/>
          </w:tcPr>
          <w:p w14:paraId="4BD78737" w14:textId="77777777" w:rsidR="00C70AE2" w:rsidRDefault="00A36F18">
            <w:pPr>
              <w:spacing w:after="0" w:line="240" w:lineRule="auto"/>
            </w:pPr>
            <w:r>
              <w:rPr>
                <w:rFonts w:ascii="Times New Roman" w:hAnsi="Times New Roman"/>
                <w:sz w:val="16"/>
                <w:szCs w:val="16"/>
              </w:rPr>
              <w:t>R5. Bilateral: ILOSTAT, with UK</w:t>
            </w:r>
          </w:p>
        </w:tc>
        <w:tc>
          <w:tcPr>
            <w:tcW w:w="3312" w:type="dxa"/>
            <w:tcBorders>
              <w:top w:val="nil"/>
              <w:left w:val="nil"/>
              <w:bottom w:val="nil"/>
              <w:right w:val="nil"/>
            </w:tcBorders>
            <w:vAlign w:val="center"/>
          </w:tcPr>
          <w:p w14:paraId="266B1E2D" w14:textId="77777777" w:rsidR="00C70AE2" w:rsidRDefault="00A36F18">
            <w:pPr>
              <w:spacing w:after="0" w:line="240" w:lineRule="auto"/>
              <w:jc w:val="center"/>
            </w:pPr>
            <w:r>
              <w:rPr>
                <w:rFonts w:ascii="Times New Roman" w:hAnsi="Times New Roman"/>
                <w:sz w:val="16"/>
                <w:szCs w:val="16"/>
              </w:rPr>
              <w:t>Adds the United Kingdom using ILOSTAT unemployment</w:t>
            </w:r>
          </w:p>
        </w:tc>
        <w:tc>
          <w:tcPr>
            <w:tcW w:w="1284" w:type="dxa"/>
            <w:tcBorders>
              <w:top w:val="nil"/>
              <w:left w:val="nil"/>
              <w:bottom w:val="nil"/>
              <w:right w:val="nil"/>
            </w:tcBorders>
            <w:vAlign w:val="center"/>
          </w:tcPr>
          <w:p w14:paraId="76716BFA" w14:textId="77777777" w:rsidR="00C70AE2" w:rsidRDefault="00A36F18">
            <w:pPr>
              <w:spacing w:after="0" w:line="240" w:lineRule="auto"/>
              <w:jc w:val="center"/>
            </w:pPr>
            <w:r>
              <w:rPr>
                <w:rFonts w:ascii="Times New Roman" w:hAnsi="Times New Roman"/>
                <w:sz w:val="16"/>
                <w:szCs w:val="16"/>
              </w:rPr>
              <w:t>0.000883</w:t>
            </w:r>
          </w:p>
        </w:tc>
        <w:tc>
          <w:tcPr>
            <w:tcW w:w="695" w:type="dxa"/>
            <w:tcBorders>
              <w:top w:val="nil"/>
              <w:left w:val="nil"/>
              <w:bottom w:val="nil"/>
              <w:right w:val="nil"/>
            </w:tcBorders>
            <w:vAlign w:val="center"/>
          </w:tcPr>
          <w:p w14:paraId="78484888" w14:textId="77777777" w:rsidR="00C70AE2" w:rsidRDefault="00A36F18">
            <w:pPr>
              <w:spacing w:after="0" w:line="240" w:lineRule="auto"/>
              <w:jc w:val="center"/>
            </w:pPr>
            <w:r>
              <w:rPr>
                <w:rFonts w:ascii="Times New Roman" w:hAnsi="Times New Roman"/>
                <w:sz w:val="16"/>
                <w:szCs w:val="16"/>
              </w:rPr>
              <w:t>0.774</w:t>
            </w:r>
          </w:p>
        </w:tc>
        <w:tc>
          <w:tcPr>
            <w:tcW w:w="2320" w:type="dxa"/>
            <w:tcBorders>
              <w:top w:val="nil"/>
              <w:left w:val="nil"/>
              <w:bottom w:val="nil"/>
              <w:right w:val="nil"/>
            </w:tcBorders>
            <w:vAlign w:val="center"/>
          </w:tcPr>
          <w:p w14:paraId="08138D35" w14:textId="77777777" w:rsidR="00C70AE2" w:rsidRDefault="00A36F18">
            <w:pPr>
              <w:spacing w:after="0" w:line="240" w:lineRule="auto"/>
              <w:jc w:val="center"/>
            </w:pPr>
            <w:r>
              <w:rPr>
                <w:rFonts w:ascii="Times New Roman" w:hAnsi="Times New Roman"/>
                <w:sz w:val="16"/>
                <w:szCs w:val="16"/>
              </w:rPr>
              <w:t>Not significant</w:t>
            </w:r>
          </w:p>
        </w:tc>
      </w:tr>
      <w:tr w:rsidR="00C70AE2" w14:paraId="665317F1" w14:textId="77777777" w:rsidTr="00CD1970">
        <w:trPr>
          <w:cantSplit/>
          <w:trHeight w:val="343"/>
          <w:jc w:val="center"/>
        </w:trPr>
        <w:tc>
          <w:tcPr>
            <w:tcW w:w="1812" w:type="dxa"/>
            <w:tcBorders>
              <w:top w:val="nil"/>
              <w:left w:val="nil"/>
              <w:bottom w:val="nil"/>
              <w:right w:val="nil"/>
            </w:tcBorders>
            <w:vAlign w:val="center"/>
          </w:tcPr>
          <w:p w14:paraId="7E5E7EFA" w14:textId="77777777" w:rsidR="00C70AE2" w:rsidRDefault="00A36F18">
            <w:pPr>
              <w:spacing w:after="0" w:line="240" w:lineRule="auto"/>
            </w:pPr>
            <w:r>
              <w:rPr>
                <w:rFonts w:ascii="Times New Roman" w:hAnsi="Times New Roman"/>
                <w:sz w:val="16"/>
                <w:szCs w:val="16"/>
              </w:rPr>
              <w:t>R6. Bilateral: core labor-entry measure</w:t>
            </w:r>
          </w:p>
        </w:tc>
        <w:tc>
          <w:tcPr>
            <w:tcW w:w="3312" w:type="dxa"/>
            <w:tcBorders>
              <w:top w:val="nil"/>
              <w:left w:val="nil"/>
              <w:bottom w:val="nil"/>
              <w:right w:val="nil"/>
            </w:tcBorders>
            <w:vAlign w:val="center"/>
          </w:tcPr>
          <w:p w14:paraId="0A3A3F46" w14:textId="77777777" w:rsidR="00C70AE2" w:rsidRDefault="00A36F18">
            <w:pPr>
              <w:spacing w:after="0" w:line="240" w:lineRule="auto"/>
              <w:jc w:val="center"/>
            </w:pPr>
            <w:r>
              <w:rPr>
                <w:rFonts w:ascii="Times New Roman" w:hAnsi="Times New Roman"/>
                <w:sz w:val="16"/>
                <w:szCs w:val="16"/>
              </w:rPr>
              <w:t>Restricts the policy index to core labor-entry and administrative tools</w:t>
            </w:r>
          </w:p>
        </w:tc>
        <w:tc>
          <w:tcPr>
            <w:tcW w:w="1284" w:type="dxa"/>
            <w:tcBorders>
              <w:top w:val="nil"/>
              <w:left w:val="nil"/>
              <w:bottom w:val="nil"/>
              <w:right w:val="nil"/>
            </w:tcBorders>
            <w:vAlign w:val="center"/>
          </w:tcPr>
          <w:p w14:paraId="779A1D0B" w14:textId="77777777" w:rsidR="00C70AE2" w:rsidRDefault="00A36F18">
            <w:pPr>
              <w:spacing w:after="0" w:line="240" w:lineRule="auto"/>
              <w:jc w:val="center"/>
            </w:pPr>
            <w:r>
              <w:rPr>
                <w:rFonts w:ascii="Times New Roman" w:hAnsi="Times New Roman"/>
                <w:sz w:val="16"/>
                <w:szCs w:val="16"/>
              </w:rPr>
              <w:t>0.004389**</w:t>
            </w:r>
          </w:p>
        </w:tc>
        <w:tc>
          <w:tcPr>
            <w:tcW w:w="695" w:type="dxa"/>
            <w:tcBorders>
              <w:top w:val="nil"/>
              <w:left w:val="nil"/>
              <w:bottom w:val="nil"/>
              <w:right w:val="nil"/>
            </w:tcBorders>
            <w:vAlign w:val="center"/>
          </w:tcPr>
          <w:p w14:paraId="6E592D2C" w14:textId="77777777" w:rsidR="00C70AE2" w:rsidRDefault="00A36F18">
            <w:pPr>
              <w:spacing w:after="0" w:line="240" w:lineRule="auto"/>
              <w:jc w:val="center"/>
            </w:pPr>
            <w:r>
              <w:rPr>
                <w:rFonts w:ascii="Times New Roman" w:hAnsi="Times New Roman"/>
                <w:sz w:val="16"/>
                <w:szCs w:val="16"/>
              </w:rPr>
              <w:t>0.015</w:t>
            </w:r>
          </w:p>
        </w:tc>
        <w:tc>
          <w:tcPr>
            <w:tcW w:w="2320" w:type="dxa"/>
            <w:tcBorders>
              <w:top w:val="nil"/>
              <w:left w:val="nil"/>
              <w:bottom w:val="nil"/>
              <w:right w:val="nil"/>
            </w:tcBorders>
            <w:vAlign w:val="center"/>
          </w:tcPr>
          <w:p w14:paraId="6E26ECB0" w14:textId="77777777" w:rsidR="00C70AE2" w:rsidRDefault="00A36F18">
            <w:pPr>
              <w:spacing w:after="0" w:line="240" w:lineRule="auto"/>
              <w:jc w:val="center"/>
            </w:pPr>
            <w:r>
              <w:rPr>
                <w:rFonts w:ascii="Times New Roman" w:hAnsi="Times New Roman"/>
                <w:sz w:val="16"/>
                <w:szCs w:val="16"/>
              </w:rPr>
              <w:t>Positive and significant</w:t>
            </w:r>
          </w:p>
        </w:tc>
      </w:tr>
      <w:tr w:rsidR="00C70AE2" w14:paraId="5B5E4204" w14:textId="77777777" w:rsidTr="00CD1970">
        <w:trPr>
          <w:cantSplit/>
          <w:trHeight w:val="329"/>
          <w:jc w:val="center"/>
        </w:trPr>
        <w:tc>
          <w:tcPr>
            <w:tcW w:w="1812" w:type="dxa"/>
            <w:tcBorders>
              <w:top w:val="nil"/>
              <w:left w:val="nil"/>
              <w:bottom w:val="nil"/>
              <w:right w:val="nil"/>
            </w:tcBorders>
            <w:vAlign w:val="center"/>
          </w:tcPr>
          <w:p w14:paraId="1CCA6A12" w14:textId="77777777" w:rsidR="00C70AE2" w:rsidRDefault="00A36F18">
            <w:pPr>
              <w:spacing w:after="0" w:line="240" w:lineRule="auto"/>
            </w:pPr>
            <w:r>
              <w:rPr>
                <w:rFonts w:ascii="Times New Roman" w:hAnsi="Times New Roman"/>
                <w:sz w:val="16"/>
                <w:szCs w:val="16"/>
              </w:rPr>
              <w:t>R7. Bilateral: work-visa tool only</w:t>
            </w:r>
          </w:p>
        </w:tc>
        <w:tc>
          <w:tcPr>
            <w:tcW w:w="3312" w:type="dxa"/>
            <w:tcBorders>
              <w:top w:val="nil"/>
              <w:left w:val="nil"/>
              <w:bottom w:val="nil"/>
              <w:right w:val="nil"/>
            </w:tcBorders>
            <w:vAlign w:val="center"/>
          </w:tcPr>
          <w:p w14:paraId="1C53EF23" w14:textId="77777777" w:rsidR="00C70AE2" w:rsidRDefault="00A36F18">
            <w:pPr>
              <w:spacing w:after="0" w:line="240" w:lineRule="auto"/>
              <w:jc w:val="center"/>
            </w:pPr>
            <w:r>
              <w:rPr>
                <w:rFonts w:ascii="Times New Roman" w:hAnsi="Times New Roman"/>
                <w:sz w:val="16"/>
                <w:szCs w:val="16"/>
              </w:rPr>
              <w:t>Restricts the policy index to work-visa and work-permit events</w:t>
            </w:r>
          </w:p>
        </w:tc>
        <w:tc>
          <w:tcPr>
            <w:tcW w:w="1284" w:type="dxa"/>
            <w:tcBorders>
              <w:top w:val="nil"/>
              <w:left w:val="nil"/>
              <w:bottom w:val="nil"/>
              <w:right w:val="nil"/>
            </w:tcBorders>
            <w:vAlign w:val="center"/>
          </w:tcPr>
          <w:p w14:paraId="5B09C6D6" w14:textId="77777777" w:rsidR="00C70AE2" w:rsidRDefault="00A36F18">
            <w:pPr>
              <w:spacing w:after="0" w:line="240" w:lineRule="auto"/>
              <w:jc w:val="center"/>
            </w:pPr>
            <w:r>
              <w:rPr>
                <w:rFonts w:ascii="Times New Roman" w:hAnsi="Times New Roman"/>
                <w:sz w:val="16"/>
                <w:szCs w:val="16"/>
              </w:rPr>
              <w:t>0.008190***</w:t>
            </w:r>
          </w:p>
        </w:tc>
        <w:tc>
          <w:tcPr>
            <w:tcW w:w="695" w:type="dxa"/>
            <w:tcBorders>
              <w:top w:val="nil"/>
              <w:left w:val="nil"/>
              <w:bottom w:val="nil"/>
              <w:right w:val="nil"/>
            </w:tcBorders>
            <w:vAlign w:val="center"/>
          </w:tcPr>
          <w:p w14:paraId="211DF7A1" w14:textId="77777777" w:rsidR="00C70AE2" w:rsidRDefault="00A36F18">
            <w:pPr>
              <w:spacing w:after="0" w:line="240" w:lineRule="auto"/>
              <w:jc w:val="center"/>
            </w:pPr>
            <w:r>
              <w:rPr>
                <w:rFonts w:ascii="Times New Roman" w:hAnsi="Times New Roman"/>
                <w:sz w:val="16"/>
                <w:szCs w:val="16"/>
              </w:rPr>
              <w:t>&lt;0.001</w:t>
            </w:r>
          </w:p>
        </w:tc>
        <w:tc>
          <w:tcPr>
            <w:tcW w:w="2320" w:type="dxa"/>
            <w:tcBorders>
              <w:top w:val="nil"/>
              <w:left w:val="nil"/>
              <w:bottom w:val="nil"/>
              <w:right w:val="nil"/>
            </w:tcBorders>
            <w:vAlign w:val="center"/>
          </w:tcPr>
          <w:p w14:paraId="15B1A6F2" w14:textId="77777777" w:rsidR="00C70AE2" w:rsidRDefault="00A36F18">
            <w:pPr>
              <w:spacing w:after="0" w:line="240" w:lineRule="auto"/>
              <w:jc w:val="center"/>
            </w:pPr>
            <w:r>
              <w:rPr>
                <w:rFonts w:ascii="Times New Roman" w:hAnsi="Times New Roman"/>
                <w:sz w:val="16"/>
                <w:szCs w:val="16"/>
              </w:rPr>
              <w:t>Significant; larger estimate</w:t>
            </w:r>
          </w:p>
        </w:tc>
      </w:tr>
      <w:tr w:rsidR="00C70AE2" w14:paraId="4E29C05B" w14:textId="77777777" w:rsidTr="00CD1970">
        <w:trPr>
          <w:cantSplit/>
          <w:trHeight w:val="508"/>
          <w:jc w:val="center"/>
        </w:trPr>
        <w:tc>
          <w:tcPr>
            <w:tcW w:w="1812" w:type="dxa"/>
            <w:tcBorders>
              <w:top w:val="nil"/>
              <w:left w:val="nil"/>
              <w:bottom w:val="nil"/>
              <w:right w:val="nil"/>
            </w:tcBorders>
            <w:vAlign w:val="center"/>
          </w:tcPr>
          <w:p w14:paraId="4A1784D2" w14:textId="77777777" w:rsidR="00C70AE2" w:rsidRDefault="00A36F18">
            <w:pPr>
              <w:spacing w:after="0" w:line="240" w:lineRule="auto"/>
            </w:pPr>
            <w:r>
              <w:rPr>
                <w:rFonts w:ascii="Times New Roman" w:hAnsi="Times New Roman"/>
                <w:sz w:val="16"/>
                <w:szCs w:val="16"/>
              </w:rPr>
              <w:t>R8. Bilateral: origin-income strata</w:t>
            </w:r>
          </w:p>
        </w:tc>
        <w:tc>
          <w:tcPr>
            <w:tcW w:w="3312" w:type="dxa"/>
            <w:tcBorders>
              <w:top w:val="nil"/>
              <w:left w:val="nil"/>
              <w:bottom w:val="nil"/>
              <w:right w:val="nil"/>
            </w:tcBorders>
            <w:vAlign w:val="center"/>
          </w:tcPr>
          <w:p w14:paraId="034F3F50" w14:textId="77777777" w:rsidR="00C70AE2" w:rsidRDefault="00A36F18">
            <w:pPr>
              <w:spacing w:after="0" w:line="240" w:lineRule="auto"/>
              <w:jc w:val="center"/>
            </w:pPr>
            <w:r>
              <w:rPr>
                <w:rFonts w:ascii="Times New Roman" w:hAnsi="Times New Roman"/>
                <w:sz w:val="16"/>
                <w:szCs w:val="16"/>
              </w:rPr>
              <w:t>Re-estimates the preferred model by World Bank FY2020 origin-income group</w:t>
            </w:r>
          </w:p>
        </w:tc>
        <w:tc>
          <w:tcPr>
            <w:tcW w:w="1284" w:type="dxa"/>
            <w:tcBorders>
              <w:top w:val="nil"/>
              <w:left w:val="nil"/>
              <w:bottom w:val="nil"/>
              <w:right w:val="nil"/>
            </w:tcBorders>
            <w:vAlign w:val="center"/>
          </w:tcPr>
          <w:p w14:paraId="123C9D6F" w14:textId="77777777" w:rsidR="00C70AE2" w:rsidRDefault="00A36F18">
            <w:pPr>
              <w:spacing w:after="0" w:line="240" w:lineRule="auto"/>
              <w:jc w:val="center"/>
            </w:pPr>
            <w:r>
              <w:rPr>
                <w:rFonts w:ascii="Times New Roman" w:hAnsi="Times New Roman"/>
                <w:sz w:val="16"/>
                <w:szCs w:val="16"/>
              </w:rPr>
              <w:t>See text</w:t>
            </w:r>
          </w:p>
        </w:tc>
        <w:tc>
          <w:tcPr>
            <w:tcW w:w="695" w:type="dxa"/>
            <w:tcBorders>
              <w:top w:val="nil"/>
              <w:left w:val="nil"/>
              <w:bottom w:val="nil"/>
              <w:right w:val="nil"/>
            </w:tcBorders>
            <w:vAlign w:val="center"/>
          </w:tcPr>
          <w:p w14:paraId="3A7055BD" w14:textId="77777777" w:rsidR="00C70AE2" w:rsidRDefault="00A36F18">
            <w:pPr>
              <w:spacing w:after="0" w:line="240" w:lineRule="auto"/>
              <w:jc w:val="center"/>
            </w:pPr>
            <w:r>
              <w:rPr>
                <w:rFonts w:ascii="Times New Roman" w:hAnsi="Times New Roman"/>
                <w:sz w:val="16"/>
                <w:szCs w:val="16"/>
              </w:rPr>
              <w:t>See text</w:t>
            </w:r>
          </w:p>
        </w:tc>
        <w:tc>
          <w:tcPr>
            <w:tcW w:w="2320" w:type="dxa"/>
            <w:tcBorders>
              <w:top w:val="nil"/>
              <w:left w:val="nil"/>
              <w:bottom w:val="nil"/>
              <w:right w:val="nil"/>
            </w:tcBorders>
            <w:vAlign w:val="center"/>
          </w:tcPr>
          <w:p w14:paraId="0295F6CD" w14:textId="77777777" w:rsidR="00C70AE2" w:rsidRDefault="00A36F18">
            <w:pPr>
              <w:spacing w:after="0" w:line="240" w:lineRule="auto"/>
              <w:jc w:val="center"/>
            </w:pPr>
            <w:r>
              <w:rPr>
                <w:rFonts w:ascii="Times New Roman" w:hAnsi="Times New Roman"/>
                <w:sz w:val="16"/>
                <w:szCs w:val="16"/>
              </w:rPr>
              <w:t>Positive and significant for H/UM/LM; low-income estimate is negative and marginal</w:t>
            </w:r>
          </w:p>
        </w:tc>
      </w:tr>
      <w:tr w:rsidR="00C70AE2" w14:paraId="39BE637D" w14:textId="77777777" w:rsidTr="00CD1970">
        <w:trPr>
          <w:cantSplit/>
          <w:trHeight w:val="329"/>
          <w:jc w:val="center"/>
        </w:trPr>
        <w:tc>
          <w:tcPr>
            <w:tcW w:w="1812" w:type="dxa"/>
            <w:tcBorders>
              <w:top w:val="nil"/>
              <w:left w:val="nil"/>
              <w:bottom w:val="nil"/>
              <w:right w:val="nil"/>
            </w:tcBorders>
            <w:vAlign w:val="center"/>
          </w:tcPr>
          <w:p w14:paraId="32C55182" w14:textId="77777777" w:rsidR="00C70AE2" w:rsidRDefault="00A36F18">
            <w:pPr>
              <w:spacing w:after="0" w:line="240" w:lineRule="auto"/>
            </w:pPr>
            <w:r>
              <w:rPr>
                <w:rFonts w:ascii="Times New Roman" w:hAnsi="Times New Roman"/>
                <w:sz w:val="16"/>
                <w:szCs w:val="16"/>
              </w:rPr>
              <w:t>R9. Bilateral: EU directive windows</w:t>
            </w:r>
          </w:p>
        </w:tc>
        <w:tc>
          <w:tcPr>
            <w:tcW w:w="3312" w:type="dxa"/>
            <w:tcBorders>
              <w:top w:val="nil"/>
              <w:left w:val="nil"/>
              <w:bottom w:val="nil"/>
              <w:right w:val="nil"/>
            </w:tcBorders>
            <w:vAlign w:val="center"/>
          </w:tcPr>
          <w:p w14:paraId="56D4A8AA" w14:textId="77777777" w:rsidR="00C70AE2" w:rsidRDefault="00A36F18">
            <w:pPr>
              <w:spacing w:after="0" w:line="240" w:lineRule="auto"/>
              <w:jc w:val="center"/>
            </w:pPr>
            <w:r>
              <w:rPr>
                <w:rFonts w:ascii="Times New Roman" w:hAnsi="Times New Roman"/>
                <w:sz w:val="16"/>
                <w:szCs w:val="16"/>
              </w:rPr>
              <w:t>Adds four destination-year directive-window controls where legally applicable</w:t>
            </w:r>
          </w:p>
        </w:tc>
        <w:tc>
          <w:tcPr>
            <w:tcW w:w="1284" w:type="dxa"/>
            <w:tcBorders>
              <w:top w:val="nil"/>
              <w:left w:val="nil"/>
              <w:bottom w:val="nil"/>
              <w:right w:val="nil"/>
            </w:tcBorders>
            <w:vAlign w:val="center"/>
          </w:tcPr>
          <w:p w14:paraId="375763B1" w14:textId="77777777" w:rsidR="00C70AE2" w:rsidRDefault="00A36F18">
            <w:pPr>
              <w:spacing w:after="0" w:line="240" w:lineRule="auto"/>
              <w:jc w:val="center"/>
            </w:pPr>
            <w:r>
              <w:rPr>
                <w:rFonts w:ascii="Times New Roman" w:hAnsi="Times New Roman"/>
                <w:sz w:val="16"/>
                <w:szCs w:val="16"/>
              </w:rPr>
              <w:t>0.006587***</w:t>
            </w:r>
          </w:p>
        </w:tc>
        <w:tc>
          <w:tcPr>
            <w:tcW w:w="695" w:type="dxa"/>
            <w:tcBorders>
              <w:top w:val="nil"/>
              <w:left w:val="nil"/>
              <w:bottom w:val="nil"/>
              <w:right w:val="nil"/>
            </w:tcBorders>
            <w:vAlign w:val="center"/>
          </w:tcPr>
          <w:p w14:paraId="2E98404A" w14:textId="77777777" w:rsidR="00C70AE2" w:rsidRDefault="00A36F18">
            <w:pPr>
              <w:spacing w:after="0" w:line="240" w:lineRule="auto"/>
              <w:jc w:val="center"/>
            </w:pPr>
            <w:r>
              <w:rPr>
                <w:rFonts w:ascii="Times New Roman" w:hAnsi="Times New Roman"/>
                <w:sz w:val="16"/>
                <w:szCs w:val="16"/>
              </w:rPr>
              <w:t>&lt;0.001</w:t>
            </w:r>
          </w:p>
        </w:tc>
        <w:tc>
          <w:tcPr>
            <w:tcW w:w="2320" w:type="dxa"/>
            <w:tcBorders>
              <w:top w:val="nil"/>
              <w:left w:val="nil"/>
              <w:bottom w:val="nil"/>
              <w:right w:val="nil"/>
            </w:tcBorders>
            <w:vAlign w:val="center"/>
          </w:tcPr>
          <w:p w14:paraId="21E71932" w14:textId="77777777" w:rsidR="00C70AE2" w:rsidRDefault="00A36F18">
            <w:pPr>
              <w:spacing w:after="0" w:line="240" w:lineRule="auto"/>
              <w:jc w:val="center"/>
            </w:pPr>
            <w:r>
              <w:rPr>
                <w:rFonts w:ascii="Times New Roman" w:hAnsi="Times New Roman"/>
                <w:sz w:val="16"/>
                <w:szCs w:val="16"/>
              </w:rPr>
              <w:t>Preferred coefficient remains stable</w:t>
            </w:r>
          </w:p>
        </w:tc>
      </w:tr>
      <w:tr w:rsidR="00C70AE2" w14:paraId="663629BA" w14:textId="77777777" w:rsidTr="00CD1970">
        <w:trPr>
          <w:cantSplit/>
          <w:trHeight w:val="329"/>
          <w:jc w:val="center"/>
        </w:trPr>
        <w:tc>
          <w:tcPr>
            <w:tcW w:w="1812" w:type="dxa"/>
            <w:tcBorders>
              <w:top w:val="nil"/>
              <w:left w:val="nil"/>
              <w:bottom w:val="nil"/>
              <w:right w:val="nil"/>
            </w:tcBorders>
            <w:vAlign w:val="center"/>
          </w:tcPr>
          <w:p w14:paraId="57FB8175" w14:textId="77777777" w:rsidR="00C70AE2" w:rsidRDefault="00A36F18">
            <w:pPr>
              <w:spacing w:after="0" w:line="240" w:lineRule="auto"/>
            </w:pPr>
            <w:r>
              <w:rPr>
                <w:rFonts w:ascii="Times New Roman" w:hAnsi="Times New Roman"/>
                <w:sz w:val="16"/>
                <w:szCs w:val="16"/>
              </w:rPr>
              <w:t>R10. Bilateral: prior-year denominator weights</w:t>
            </w:r>
          </w:p>
        </w:tc>
        <w:tc>
          <w:tcPr>
            <w:tcW w:w="3312" w:type="dxa"/>
            <w:tcBorders>
              <w:top w:val="nil"/>
              <w:left w:val="nil"/>
              <w:bottom w:val="nil"/>
              <w:right w:val="nil"/>
            </w:tcBorders>
            <w:vAlign w:val="center"/>
          </w:tcPr>
          <w:p w14:paraId="66A2578B" w14:textId="77777777" w:rsidR="00C70AE2" w:rsidRDefault="00A36F18">
            <w:pPr>
              <w:spacing w:after="0" w:line="240" w:lineRule="auto"/>
              <w:jc w:val="center"/>
            </w:pPr>
            <w:r>
              <w:rPr>
                <w:rFonts w:ascii="Times New Roman" w:hAnsi="Times New Roman"/>
                <w:sz w:val="16"/>
                <w:szCs w:val="16"/>
              </w:rPr>
              <w:t>Replaces the current-year precision weight with the previous year's employment-permit denominator</w:t>
            </w:r>
          </w:p>
        </w:tc>
        <w:tc>
          <w:tcPr>
            <w:tcW w:w="1284" w:type="dxa"/>
            <w:tcBorders>
              <w:top w:val="nil"/>
              <w:left w:val="nil"/>
              <w:bottom w:val="nil"/>
              <w:right w:val="nil"/>
            </w:tcBorders>
            <w:vAlign w:val="center"/>
          </w:tcPr>
          <w:p w14:paraId="7D055ADD" w14:textId="77777777" w:rsidR="00C70AE2" w:rsidRDefault="00A36F18">
            <w:pPr>
              <w:spacing w:after="0" w:line="240" w:lineRule="auto"/>
              <w:jc w:val="center"/>
            </w:pPr>
            <w:r>
              <w:rPr>
                <w:rFonts w:ascii="Times New Roman" w:hAnsi="Times New Roman"/>
                <w:sz w:val="16"/>
                <w:szCs w:val="16"/>
              </w:rPr>
              <w:t>0.006858***</w:t>
            </w:r>
          </w:p>
        </w:tc>
        <w:tc>
          <w:tcPr>
            <w:tcW w:w="695" w:type="dxa"/>
            <w:tcBorders>
              <w:top w:val="nil"/>
              <w:left w:val="nil"/>
              <w:bottom w:val="nil"/>
              <w:right w:val="nil"/>
            </w:tcBorders>
            <w:vAlign w:val="center"/>
          </w:tcPr>
          <w:p w14:paraId="517BDBA7" w14:textId="77777777" w:rsidR="00C70AE2" w:rsidRDefault="00A36F18">
            <w:pPr>
              <w:spacing w:after="0" w:line="240" w:lineRule="auto"/>
              <w:jc w:val="center"/>
            </w:pPr>
            <w:r>
              <w:rPr>
                <w:rFonts w:ascii="Times New Roman" w:hAnsi="Times New Roman"/>
                <w:sz w:val="16"/>
                <w:szCs w:val="16"/>
              </w:rPr>
              <w:t>&lt;0.001</w:t>
            </w:r>
          </w:p>
        </w:tc>
        <w:tc>
          <w:tcPr>
            <w:tcW w:w="2320" w:type="dxa"/>
            <w:tcBorders>
              <w:top w:val="nil"/>
              <w:left w:val="nil"/>
              <w:bottom w:val="nil"/>
              <w:right w:val="nil"/>
            </w:tcBorders>
            <w:vAlign w:val="center"/>
          </w:tcPr>
          <w:p w14:paraId="17A669D1" w14:textId="77777777" w:rsidR="00C70AE2" w:rsidRDefault="00A36F18">
            <w:pPr>
              <w:spacing w:after="0" w:line="240" w:lineRule="auto"/>
              <w:jc w:val="center"/>
            </w:pPr>
            <w:r>
              <w:rPr>
                <w:rFonts w:ascii="Times New Roman" w:hAnsi="Times New Roman"/>
                <w:sz w:val="16"/>
                <w:szCs w:val="16"/>
              </w:rPr>
              <w:t>Significant; bootstrap p = 0.0025</w:t>
            </w:r>
          </w:p>
        </w:tc>
      </w:tr>
      <w:tr w:rsidR="00C70AE2" w14:paraId="71591AE9" w14:textId="77777777" w:rsidTr="00CD1970">
        <w:trPr>
          <w:cantSplit/>
          <w:trHeight w:val="343"/>
          <w:jc w:val="center"/>
        </w:trPr>
        <w:tc>
          <w:tcPr>
            <w:tcW w:w="1812" w:type="dxa"/>
            <w:tcBorders>
              <w:top w:val="nil"/>
              <w:left w:val="nil"/>
              <w:bottom w:val="nil"/>
              <w:right w:val="nil"/>
            </w:tcBorders>
            <w:vAlign w:val="center"/>
          </w:tcPr>
          <w:p w14:paraId="46EBA441" w14:textId="77777777" w:rsidR="00C70AE2" w:rsidRDefault="00A36F18">
            <w:pPr>
              <w:spacing w:after="0" w:line="240" w:lineRule="auto"/>
            </w:pPr>
            <w:r>
              <w:rPr>
                <w:rFonts w:ascii="Times New Roman" w:hAnsi="Times New Roman"/>
                <w:sz w:val="16"/>
                <w:szCs w:val="16"/>
              </w:rPr>
              <w:t>R11. Bilateral: leave-one-destination-out</w:t>
            </w:r>
          </w:p>
        </w:tc>
        <w:tc>
          <w:tcPr>
            <w:tcW w:w="3312" w:type="dxa"/>
            <w:tcBorders>
              <w:top w:val="nil"/>
              <w:left w:val="nil"/>
              <w:bottom w:val="nil"/>
              <w:right w:val="nil"/>
            </w:tcBorders>
            <w:vAlign w:val="center"/>
          </w:tcPr>
          <w:p w14:paraId="590929BA" w14:textId="77777777" w:rsidR="00C70AE2" w:rsidRDefault="00A36F18">
            <w:pPr>
              <w:spacing w:after="0" w:line="240" w:lineRule="auto"/>
              <w:jc w:val="center"/>
            </w:pPr>
            <w:r>
              <w:rPr>
                <w:rFonts w:ascii="Times New Roman" w:hAnsi="Times New Roman"/>
                <w:sz w:val="16"/>
                <w:szCs w:val="16"/>
              </w:rPr>
              <w:t>Re-estimates the preferred model omitting each of the 30 destinations in turn</w:t>
            </w:r>
          </w:p>
        </w:tc>
        <w:tc>
          <w:tcPr>
            <w:tcW w:w="1284" w:type="dxa"/>
            <w:tcBorders>
              <w:top w:val="nil"/>
              <w:left w:val="nil"/>
              <w:bottom w:val="nil"/>
              <w:right w:val="nil"/>
            </w:tcBorders>
            <w:vAlign w:val="center"/>
          </w:tcPr>
          <w:p w14:paraId="4F92B5C9" w14:textId="77777777" w:rsidR="00C70AE2" w:rsidRDefault="00A36F18">
            <w:pPr>
              <w:spacing w:after="0" w:line="240" w:lineRule="auto"/>
              <w:jc w:val="center"/>
            </w:pPr>
            <w:r>
              <w:rPr>
                <w:rFonts w:ascii="Times New Roman" w:hAnsi="Times New Roman"/>
                <w:sz w:val="16"/>
                <w:szCs w:val="16"/>
              </w:rPr>
              <w:t>0.0039 to 0.0073</w:t>
            </w:r>
          </w:p>
        </w:tc>
        <w:tc>
          <w:tcPr>
            <w:tcW w:w="695" w:type="dxa"/>
            <w:tcBorders>
              <w:top w:val="nil"/>
              <w:left w:val="nil"/>
              <w:bottom w:val="nil"/>
              <w:right w:val="nil"/>
            </w:tcBorders>
            <w:vAlign w:val="center"/>
          </w:tcPr>
          <w:p w14:paraId="4A54CB77" w14:textId="77777777" w:rsidR="00C70AE2" w:rsidRDefault="00A36F18">
            <w:pPr>
              <w:spacing w:after="0" w:line="240" w:lineRule="auto"/>
              <w:jc w:val="center"/>
            </w:pPr>
            <w:r>
              <w:rPr>
                <w:rFonts w:ascii="Times New Roman" w:hAnsi="Times New Roman"/>
                <w:sz w:val="16"/>
                <w:szCs w:val="16"/>
              </w:rPr>
              <w:t>See text</w:t>
            </w:r>
          </w:p>
        </w:tc>
        <w:tc>
          <w:tcPr>
            <w:tcW w:w="2320" w:type="dxa"/>
            <w:tcBorders>
              <w:top w:val="nil"/>
              <w:left w:val="nil"/>
              <w:bottom w:val="nil"/>
              <w:right w:val="nil"/>
            </w:tcBorders>
            <w:vAlign w:val="center"/>
          </w:tcPr>
          <w:p w14:paraId="320E8034" w14:textId="77777777" w:rsidR="00C70AE2" w:rsidRDefault="00A36F18">
            <w:pPr>
              <w:spacing w:after="0" w:line="240" w:lineRule="auto"/>
              <w:jc w:val="center"/>
            </w:pPr>
            <w:r>
              <w:rPr>
                <w:rFonts w:ascii="Times New Roman" w:hAnsi="Times New Roman"/>
                <w:sz w:val="16"/>
                <w:szCs w:val="16"/>
              </w:rPr>
              <w:t>Positive and significant in all 30 runs</w:t>
            </w:r>
          </w:p>
        </w:tc>
      </w:tr>
      <w:tr w:rsidR="00C70AE2" w14:paraId="0DFA0E14" w14:textId="77777777" w:rsidTr="00610185">
        <w:trPr>
          <w:cantSplit/>
          <w:trHeight w:val="343"/>
          <w:jc w:val="center"/>
        </w:trPr>
        <w:tc>
          <w:tcPr>
            <w:tcW w:w="1812" w:type="dxa"/>
            <w:tcBorders>
              <w:top w:val="nil"/>
              <w:left w:val="nil"/>
              <w:bottom w:val="single" w:sz="4" w:space="0" w:color="auto"/>
              <w:right w:val="nil"/>
            </w:tcBorders>
            <w:vAlign w:val="center"/>
          </w:tcPr>
          <w:p w14:paraId="026A5C8D" w14:textId="77777777" w:rsidR="00C70AE2" w:rsidRDefault="00A36F18">
            <w:pPr>
              <w:spacing w:after="0" w:line="240" w:lineRule="auto"/>
            </w:pPr>
            <w:r>
              <w:rPr>
                <w:rFonts w:ascii="Times New Roman" w:hAnsi="Times New Roman"/>
                <w:sz w:val="16"/>
                <w:szCs w:val="16"/>
              </w:rPr>
              <w:t>R12. Bilateral: destination-specific linear trends</w:t>
            </w:r>
          </w:p>
        </w:tc>
        <w:tc>
          <w:tcPr>
            <w:tcW w:w="3312" w:type="dxa"/>
            <w:tcBorders>
              <w:top w:val="nil"/>
              <w:left w:val="nil"/>
              <w:bottom w:val="single" w:sz="4" w:space="0" w:color="auto"/>
              <w:right w:val="nil"/>
            </w:tcBorders>
            <w:vAlign w:val="center"/>
          </w:tcPr>
          <w:p w14:paraId="456D4319" w14:textId="77777777" w:rsidR="00C70AE2" w:rsidRDefault="00A36F18">
            <w:pPr>
              <w:spacing w:after="0" w:line="240" w:lineRule="auto"/>
              <w:jc w:val="center"/>
            </w:pPr>
            <w:r>
              <w:rPr>
                <w:rFonts w:ascii="Times New Roman" w:hAnsi="Times New Roman"/>
                <w:sz w:val="16"/>
                <w:szCs w:val="16"/>
              </w:rPr>
              <w:t>Adds destination-specific linear time trends to the preferred bilateral model</w:t>
            </w:r>
          </w:p>
        </w:tc>
        <w:tc>
          <w:tcPr>
            <w:tcW w:w="1284" w:type="dxa"/>
            <w:tcBorders>
              <w:top w:val="nil"/>
              <w:left w:val="nil"/>
              <w:bottom w:val="single" w:sz="4" w:space="0" w:color="auto"/>
              <w:right w:val="nil"/>
            </w:tcBorders>
            <w:vAlign w:val="center"/>
          </w:tcPr>
          <w:p w14:paraId="0BB3E091" w14:textId="77777777" w:rsidR="00C70AE2" w:rsidRDefault="00A36F18">
            <w:pPr>
              <w:spacing w:after="0" w:line="240" w:lineRule="auto"/>
              <w:jc w:val="center"/>
            </w:pPr>
            <w:r>
              <w:rPr>
                <w:rFonts w:ascii="Times New Roman" w:hAnsi="Times New Roman"/>
                <w:sz w:val="16"/>
                <w:szCs w:val="16"/>
              </w:rPr>
              <w:t>0.002488</w:t>
            </w:r>
          </w:p>
        </w:tc>
        <w:tc>
          <w:tcPr>
            <w:tcW w:w="695" w:type="dxa"/>
            <w:tcBorders>
              <w:top w:val="nil"/>
              <w:left w:val="nil"/>
              <w:bottom w:val="single" w:sz="4" w:space="0" w:color="auto"/>
              <w:right w:val="nil"/>
            </w:tcBorders>
            <w:vAlign w:val="center"/>
          </w:tcPr>
          <w:p w14:paraId="0EBAD3ED" w14:textId="77777777" w:rsidR="00C70AE2" w:rsidRDefault="00A36F18">
            <w:pPr>
              <w:spacing w:after="0" w:line="240" w:lineRule="auto"/>
              <w:jc w:val="center"/>
            </w:pPr>
            <w:r>
              <w:rPr>
                <w:rFonts w:ascii="Times New Roman" w:hAnsi="Times New Roman"/>
                <w:sz w:val="16"/>
                <w:szCs w:val="16"/>
              </w:rPr>
              <w:t>0.198</w:t>
            </w:r>
          </w:p>
        </w:tc>
        <w:tc>
          <w:tcPr>
            <w:tcW w:w="2320" w:type="dxa"/>
            <w:tcBorders>
              <w:top w:val="nil"/>
              <w:left w:val="nil"/>
              <w:bottom w:val="single" w:sz="4" w:space="0" w:color="auto"/>
              <w:right w:val="nil"/>
            </w:tcBorders>
            <w:vAlign w:val="center"/>
          </w:tcPr>
          <w:p w14:paraId="3060D5E2" w14:textId="77777777" w:rsidR="00C70AE2" w:rsidRDefault="00A36F18">
            <w:pPr>
              <w:spacing w:after="0" w:line="240" w:lineRule="auto"/>
              <w:jc w:val="center"/>
            </w:pPr>
            <w:r>
              <w:rPr>
                <w:rFonts w:ascii="Times New Roman" w:hAnsi="Times New Roman"/>
                <w:sz w:val="16"/>
                <w:szCs w:val="16"/>
              </w:rPr>
              <w:t>Not significant; estimate attenuates and loses significance</w:t>
            </w:r>
          </w:p>
        </w:tc>
      </w:tr>
    </w:tbl>
    <w:p w14:paraId="4CFAD9F9" w14:textId="77777777" w:rsidR="008F026E" w:rsidRDefault="008F026E">
      <w:pPr>
        <w:jc w:val="center"/>
        <w:rPr>
          <w:sz w:val="18"/>
          <w:szCs w:val="18"/>
        </w:rPr>
      </w:pPr>
      <w:r>
        <w:rPr>
          <w:sz w:val="18"/>
          <w:szCs w:val="18"/>
        </w:rPr>
        <w:t>Table 10 note. *** p &lt; 0.01, ** p &lt; 0.05, * p &lt; 0.10. Rows modify the preferred bilateral HSRate framework by changing the sample, outcome denominator, control source, policy definition, weighting, or inference. Coefficients are not always directly comparable because some checks change samples, weights, or definitions. The preferred result remains the bilateral HSRate specification in Table 7, estimated with denominator weights.</w:t>
      </w:r>
    </w:p>
    <w:p w14:paraId="4E8914F3" w14:textId="77777777" w:rsidR="004818D5" w:rsidRDefault="00A36F18" w:rsidP="00A835A0">
      <w:pPr>
        <w:jc w:val="both"/>
      </w:pPr>
      <w:r>
        <w:t>R1 reintroduces the pandemic year: the coefficient falls from 0.006516 to 0.005446 but remains significant (SE = 0.001716, p = 0.004, N = 6,301; wild-cluster bootstrap p = 0.024). Excluding 2020 strengthens the baseline but does not create it.</w:t>
      </w:r>
    </w:p>
    <w:p w14:paraId="7BF592E7" w14:textId="77777777" w:rsidR="008F026E" w:rsidRDefault="008F026E">
      <w:pPr>
        <w:jc w:val="both"/>
      </w:pPr>
      <w:r>
        <w:t xml:space="preserve">R2 removes the baseline rule that each origin-destination-year cell must contain at least 30 employment-related permits in the current outcome year. The difference is the inclusion of cells with 1-29 current permits; cells with a zero denominator still cannot enter because HSRate is undefined. R2 keeps the same current-denominator weights. The coefficient remains significant (β = 0.005978, p &lt; 0.001, N = 21,187). The unweighted no-cutoff comparison is imprecise (β = </w:t>
      </w:r>
      <w:r>
        <w:lastRenderedPageBreak/>
        <w:t>0.002565, p = 0.283), so the weighted result is not driven by the 30-permit cutoff, although precision weighting still matters.</w:t>
      </w:r>
    </w:p>
    <w:p w14:paraId="1711A5F3" w14:textId="77777777" w:rsidR="008F026E" w:rsidRDefault="00A36F18" w:rsidP="005941BA">
      <w:pPr>
        <w:pStyle w:val="BodyText"/>
        <w:jc w:val="both"/>
      </w:pPr>
      <w:r>
        <w:t>R3 changes the denominator using Eurostat's all-first-permits dataset (migr_resfirst; Eurostat 2026a).</w:t>
      </w:r>
      <w:r w:rsidR="00DE5B64">
        <w:t xml:space="preserve"> </w:t>
      </w:r>
      <w:r>
        <w:t xml:space="preserve">The numerator keeps highly skilled </w:t>
      </w:r>
      <w:proofErr w:type="gramStart"/>
      <w:r>
        <w:t>worker</w:t>
      </w:r>
      <w:proofErr w:type="gramEnd"/>
      <w:r>
        <w:t xml:space="preserve"> and researcher permits but is divided by all first residence permits in the cell, including family, education, and other reasons. The weighted coefficient remains significant (β = 0.000958, p = 0.004, N = 4,735), as do the corridor-fixed-effects variant (β = 0.000975, p = 0.031) and the version retaining the original permit-scale control (β = 0.001015, p = 0.001, N = 5,608).</w:t>
      </w:r>
    </w:p>
    <w:p w14:paraId="1B1822B0" w14:textId="77777777" w:rsidR="008F026E" w:rsidRDefault="00A36F18" w:rsidP="005941BA">
      <w:pPr>
        <w:pStyle w:val="BodyText"/>
        <w:jc w:val="both"/>
      </w:pPr>
      <w:r>
        <w:t>The result is therefore not only a mechanical feature of the employment-permit denominator. However, this remains a secondary check because the broader denominator includes family, education, and other permit channels that labor-migration policy does not directly target.</w:t>
      </w:r>
    </w:p>
    <w:p w14:paraId="07F77163" w14:textId="77777777" w:rsidR="008F026E" w:rsidRDefault="008F026E">
      <w:pPr>
        <w:pStyle w:val="BodyText"/>
        <w:jc w:val="both"/>
      </w:pPr>
      <w:r>
        <w:t>R4 and R5 are paired checks designed to separate two possible sources of sensitivity: the unemployment dataset and the inclusion of the United Kingdom. The preferred model uses Eurostat's harmonized unemployment series, which has no UK observations over the estimation window; the United Kingdom is therefore absent from the baseline sample. The World Bank's modeled ILO unemployment series (World Bank 2026) covers both the baseline destinations and the United Kingdom, allowing the two issues to be examined in sequence.</w:t>
      </w:r>
    </w:p>
    <w:p w14:paraId="3AC5A653" w14:textId="77777777" w:rsidR="008F026E" w:rsidRDefault="008F026E">
      <w:pPr>
        <w:pStyle w:val="BodyText"/>
        <w:jc w:val="both"/>
      </w:pPr>
      <w:r>
        <w:t>R4 changes the unemployment source while holding the destination sample fixed. It keeps the same no-UK sample as the preferred model and replaces only Eurostat unemployment with the modeled ILO series (ILOSTAT). The estimate remains close to the preferred result (β = 0.005547, SE = 0.001258, p &lt; 0.001, N = 5,962). R4 therefore shows that the finding is not driven by using Eurostat rather than ILO-based unemployment data.</w:t>
      </w:r>
    </w:p>
    <w:p w14:paraId="4B8AA34E" w14:textId="77777777" w:rsidR="008F026E" w:rsidRDefault="008F026E">
      <w:pPr>
        <w:pStyle w:val="BodyText"/>
        <w:jc w:val="both"/>
      </w:pPr>
      <w:r>
        <w:t>R5 then holds the ILO unemployment source fixed and adds the United Kingdom to the sample. The coefficient falls to β = 0.000883 (SE = 0.003041, p = 0.774, N = 6,638). The difference between R4 and R5 therefore reflects UK inclusion rather than another change of unemployment provider. This comparison does not establish that the United Kingdom causally changes the coefficient, but it shows that the preferred association does not survive the UK-inclusive sample. One plausible reason is that Brexit represents a broader regime change in UK labor-migration policy that is not well represented as an ordinary event in the cumulative score.</w:t>
      </w:r>
    </w:p>
    <w:p w14:paraId="5FE6DECB" w14:textId="77777777" w:rsidR="00C70AE2" w:rsidRDefault="00A36F18" w:rsidP="0045164A">
      <w:pPr>
        <w:pStyle w:val="BodyText"/>
        <w:jc w:val="both"/>
      </w:pPr>
      <w:r>
        <w:t xml:space="preserve">R6 asks whether the result depends on the exact tool set behind Restrict. The core labor-entry subset keeps only the tools that directly affect the employer-permit entry decision - work visa/permit rules, quota/target, entry visa/stay permit, employer liabilities, related sanctions, and points-based systems - and drops action plans, integration programs, and general access-to-rights categories, which belong to the Legal entry and stay area but do not govern admission </w:t>
      </w:r>
      <w:r>
        <w:lastRenderedPageBreak/>
        <w:t>under the general channel. With the skill-target controls, the re-estimated coefficient is β = 0.004389 (p = 0.015): positive and significant, so the direction of the preferred result survives narrowing to the core admission tools, though the estimate is smaller than the all-tools baseline.</w:t>
      </w:r>
    </w:p>
    <w:p w14:paraId="36FDF22E" w14:textId="77777777" w:rsidR="008F026E" w:rsidRDefault="00A36F18" w:rsidP="0045164A">
      <w:pPr>
        <w:pStyle w:val="BodyText"/>
        <w:jc w:val="both"/>
      </w:pPr>
      <w:r>
        <w:t>R7 narrows Restrict to the Work visa/permit tool, the instrument most directly tied to the general employment-permit channel and re-estimates the full preferred specification on the same sample. The work-visa-only coefficient is β = 0.008190 (SE = 0.001620, t = 5.05, p &lt; 0.001; wild-cluster bootstrap p = 0.0048), moderately larger than the all-tools 0.006516. This is consistent with the proposed mechanism, since the measure now targets the tool governing the general work-permit track.</w:t>
      </w:r>
    </w:p>
    <w:p w14:paraId="47409FC9" w14:textId="77777777" w:rsidR="008F026E" w:rsidRDefault="00A36F18" w:rsidP="00442D74">
      <w:pPr>
        <w:pStyle w:val="BodyText"/>
        <w:jc w:val="both"/>
      </w:pPr>
      <w:r>
        <w:t>The check does not isolate the mechanism cleanly: Work visa/permit is also common among skilled/high-skilled-targeted reforms, so its changes may correlate with policies that directly affect high-skilled entry, and the skill-target controls reduce but cannot eliminate that overlap. It is verifying evidence; the all-tools measure remains preferred because it matches the Section 6.2 policy-area definition.</w:t>
      </w:r>
    </w:p>
    <w:p w14:paraId="153EAA07" w14:textId="77777777" w:rsidR="00C70AE2" w:rsidRDefault="00442D74" w:rsidP="00442D74">
      <w:pPr>
        <w:pStyle w:val="BodyText"/>
        <w:jc w:val="both"/>
      </w:pPr>
      <w:r>
        <w:t>R8 divides migrant-origin countries into income groups using the World Bank’s FY2020 country income classification (World Bank Data Team 2019), such as high-income, upper-middle-income, lower-middle-income, and low-income origins. It then re-runs the preferred model separately for each group to see whether the relationship between policy restrictiveness and the high-skilled share is stronger, weaker, or absent for migrants from different income levels. The association remains significant for high-income (β = 0.016784, p = 0.003), upper-middle-income (β = 0.004139, p = 0.014), and lower-middle-income origins (β = 0.006739, p = 0.001). The low-income estimate is negative but marginal (β = -0.002422, p = 0.083, N = 347, G = 19) and is not treated as an established reversal.</w:t>
      </w:r>
    </w:p>
    <w:p w14:paraId="200D9760" w14:textId="77777777" w:rsidR="00FF6912" w:rsidRDefault="00846083" w:rsidP="00846083">
      <w:pPr>
        <w:pStyle w:val="BodyText"/>
        <w:jc w:val="both"/>
      </w:pPr>
      <w:r>
        <w:t>R9 checks whether the preferred result is driven by common EU directive periods. It adds timing indicators for the Blue Card, Single Permit, Intra-Corporate Transferee, and Students and Researchers directives. Indicators are activated only for participating destinations in the relevant years: Croatia enters from 2013, while Denmark and Ireland are excluded where they do not participate.</w:t>
      </w:r>
    </w:p>
    <w:p w14:paraId="447506A1" w14:textId="77777777" w:rsidR="008F026E" w:rsidRDefault="00A36F18" w:rsidP="00CF07BA">
      <w:pPr>
        <w:pStyle w:val="BodyText"/>
        <w:jc w:val="both"/>
      </w:pPr>
      <w:r>
        <w:t xml:space="preserve">A single combined applicable-window indicator gives β = 0.006518 (SE = 0.001619, p &lt; 0.001); adding the four directive indicators separately gives β = 0.006587 (SE = 0.001581, p &lt; 0.001). Both are close to the preferred 0.006516, and no directive indicator is individually significant at five percent. The main result remains after controlling for broad EU directive periods, so it does not appear to be driven by those directive windows. However, these controls are only rough </w:t>
      </w:r>
      <w:r>
        <w:lastRenderedPageBreak/>
        <w:t>timing indicators and should not be interpreted as causal estimates of the effects of specific reforms. Graph 2 reports the four directive-dummy coefficients.</w:t>
      </w:r>
    </w:p>
    <w:p w14:paraId="588C36A3" w14:textId="77777777" w:rsidR="007830C2" w:rsidRDefault="008A042F">
      <w:pPr>
        <w:jc w:val="center"/>
      </w:pPr>
      <w:r>
        <w:rPr>
          <w:noProof/>
        </w:rPr>
        <w:drawing>
          <wp:inline distT="0" distB="0" distL="0" distR="0" wp14:anchorId="47844AFD" wp14:editId="7ED3C115">
            <wp:extent cx="6161239" cy="3061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_eu_directives.png"/>
                    <pic:cNvPicPr/>
                  </pic:nvPicPr>
                  <pic:blipFill>
                    <a:blip r:embed="rId10"/>
                    <a:stretch>
                      <a:fillRect/>
                    </a:stretch>
                  </pic:blipFill>
                  <pic:spPr>
                    <a:xfrm>
                      <a:off x="0" y="0"/>
                      <a:ext cx="6282000" cy="3121997"/>
                    </a:xfrm>
                    <a:prstGeom prst="rect">
                      <a:avLst/>
                    </a:prstGeom>
                  </pic:spPr>
                </pic:pic>
              </a:graphicData>
            </a:graphic>
          </wp:inline>
        </w:drawing>
      </w:r>
    </w:p>
    <w:p w14:paraId="1618F77D" w14:textId="77777777" w:rsidR="00FC7713" w:rsidRDefault="008A042F" w:rsidP="002B1731">
      <w:pPr>
        <w:jc w:val="both"/>
      </w:pPr>
      <w:r>
        <w:t>Graph 2 confirms that all four directive-dummy confidence intervals cross zero. The purpose of R9 is not to estimate causal directive effects, but to verify that the preferred all-migrant-worker coefficient remains stable after broad EU directive periods are controlled for.</w:t>
      </w:r>
    </w:p>
    <w:p w14:paraId="56DB3BF1" w14:textId="77777777" w:rsidR="00F84AC3" w:rsidRDefault="0038122C" w:rsidP="003A7F85">
      <w:pPr>
        <w:keepNext/>
        <w:jc w:val="both"/>
      </w:pPr>
      <w:r>
        <w:t>R10 checks whether the preferred result depends on using the current year’s permit denominator as the regression weight. In the preferred model, cells with larger current employment-permit denominators receive more weight because their high-skilled shares are measured more precisely. However, the current denominator could itself be affected by the same policy environment being studied. R10 therefore replaces the current-year weight with the previous year’s employment-permit denominator. Weighting by the previous year's denominator leaves the estimate essentially unchanged and slightly more precise (β = 0.006858, SE = 0.001502, p &lt; 0.001; wild-cluster bootstrap p = 0.0025, N = 5,540). Same-period weighting therefore does not create the result, although the lagged denominator can still reflect earlier policy history.</w:t>
      </w:r>
    </w:p>
    <w:p w14:paraId="33977BF8" w14:textId="77777777" w:rsidR="003A7C7E" w:rsidRDefault="0038122C" w:rsidP="003A7F85">
      <w:pPr>
        <w:keepNext/>
        <w:jc w:val="both"/>
      </w:pPr>
      <w:r>
        <w:t>R11 tests whether the preferred result is driven by any single destination country. The preferred bilateral model is re-estimated 30 times, each time omitting one destination. The coefficient stays positive and significant at five percent in all 30 runs, ranging from 0.0039 to 0.0073; the most influential omission, France, gives β = 0.003884 (p = 0.029). No single destination drives the sign or significance of the baseline result.</w:t>
      </w:r>
    </w:p>
    <w:p w14:paraId="557BB6C1" w14:textId="77777777" w:rsidR="00301CA5" w:rsidRDefault="00301CA5" w:rsidP="003A7F85">
      <w:pPr>
        <w:keepNext/>
        <w:jc w:val="both"/>
      </w:pPr>
      <w:r>
        <w:t xml:space="preserve">R12 adds destination-specific linear time trends to the preferred bilateral model, allowing each destination to follow its own smooth trajectory over 2008-2019. The coefficient stays positive but </w:t>
      </w:r>
      <w:r>
        <w:lastRenderedPageBreak/>
        <w:t>becomes small and insignificant (β = 0.002488, p = 0.198). Because the cumulative policy score changes slowly by construction, these trends absorb much of its within-destination variation, and the preferred association cannot be cleanly separated from smooth destination-level trajectories.</w:t>
      </w:r>
    </w:p>
    <w:p w14:paraId="061EE5E8" w14:textId="77777777" w:rsidR="008F026E" w:rsidRDefault="008F026E">
      <w:pPr>
        <w:pStyle w:val="BodyText"/>
        <w:jc w:val="both"/>
      </w:pPr>
      <w:r>
        <w:t>Overall, the preferred coefficient remains positive and significant in most checks, including the 2020, no-cutoff, alternative-denominator, no-UK ILOSTAT, narrower-policy, prior-weight, EU-directive, and leave-one-out specifications. Results are weaker for some origin-income groups, UK inclusion, and destination-specific trends.</w:t>
      </w:r>
    </w:p>
    <w:p w14:paraId="6A6695F3" w14:textId="77777777" w:rsidR="008F026E" w:rsidRDefault="008F026E">
      <w:pPr>
        <w:pStyle w:val="Heading2"/>
      </w:pPr>
      <w:r>
        <w:t>8.2 EU-Citizen Placebo Diagnostic</w:t>
      </w:r>
    </w:p>
    <w:p w14:paraId="7C936C9B" w14:textId="77777777" w:rsidR="008F026E" w:rsidRDefault="008F026E">
      <w:pPr>
        <w:jc w:val="both"/>
      </w:pPr>
      <w:r>
        <w:t>EU citizens are conceptually useful as a placebo population because national labor-migration rules for third-country workers should not directly govern movement under EU free-movement law. The main Eurostat residence-permit source</w:t>
      </w:r>
      <w:r w:rsidR="00981EE0">
        <w:t xml:space="preserve"> </w:t>
      </w:r>
      <w:r>
        <w:t xml:space="preserve">cannot implement that comparison credibly. It records first residence permits issued for remunerated activities, whereas EU citizens generally may live and work in another Member State without obtaining those permits. Its EU-citizen rows therefore capture sparse, country-specific administrative exceptions rather than a representative sample of EU-to-EU movers. A preliminary permit-based construction retained only 38 destination-year observations across 13 </w:t>
      </w:r>
      <w:proofErr w:type="gramStart"/>
      <w:r>
        <w:t>destinations</w:t>
      </w:r>
      <w:proofErr w:type="gramEnd"/>
      <w:r w:rsidR="00981EE0">
        <w:t xml:space="preserve"> and these observations are likely administrative exceptions because EU citizens do not normally need residence permits. Therefore, p</w:t>
      </w:r>
      <w:r>
        <w:t xml:space="preserve">ermit-based EU27 regressions </w:t>
      </w:r>
      <w:r w:rsidR="00981EE0">
        <w:t xml:space="preserve">are </w:t>
      </w:r>
      <w:r>
        <w:t>not treated as placebo evidence.</w:t>
      </w:r>
    </w:p>
    <w:p w14:paraId="3EBA74A3" w14:textId="77777777" w:rsidR="008F026E" w:rsidRDefault="008F026E">
      <w:pPr>
        <w:jc w:val="both"/>
      </w:pPr>
      <w:r>
        <w:t>The placebo diagnostic instead uses Eurostat's education-by-citizenship stock dataset (Eurostat 2026d). It reports the percentage of EU27 citizens aged 18-64 who live outside their country of citizenship and have tertiary education</w:t>
      </w:r>
      <w:r w:rsidR="00981EE0">
        <w:t xml:space="preserve">. </w:t>
      </w:r>
      <w:r>
        <w:t>Because observation does not depend on obtaining a residence permit, this source covers the population relevant to intra-EU free movement and is better aligned with the conceptual placebo. The destination-year regression includes destination and year fixed effects, the lagged all-migrant-worker cumulative score, high- and low-skilled policy controls, lagged unemployment and GDP growth, and destination-clustered standard errors. The association is close to zero and not statistically significant (β = 0.015 percentage points, SE = 0.182, p = 0.934, N = 236, G = 27), so the preferred positive association is not reproduced in this less directly exposed population.</w:t>
      </w:r>
    </w:p>
    <w:p w14:paraId="1219747F" w14:textId="77777777" w:rsidR="008F026E" w:rsidRDefault="008F026E">
      <w:pPr>
        <w:jc w:val="both"/>
      </w:pPr>
      <w:r>
        <w:t xml:space="preserve">This is still a limited placebo diagnostic, not a robustness check or a clean untreated control. The source measures the education composition of the resident stock rather than annual inflows, so many observed residents may have arrived before the policy year. Its tertiary-education measure also differs from the permit-route definition of HSRate, and the available percentages do not provide destination-year population counts for denominator weighting. The aggregate </w:t>
      </w:r>
      <w:r>
        <w:lastRenderedPageBreak/>
        <w:t>destination-year design cannot reproduce the bilateral origin-year fixed effects of the preferred model.</w:t>
      </w:r>
    </w:p>
    <w:p w14:paraId="7596F976" w14:textId="77777777" w:rsidR="008F026E" w:rsidRDefault="008F026E">
      <w:pPr>
        <w:pStyle w:val="Heading2"/>
      </w:pPr>
      <w:r>
        <w:t>8.3 Additional Model Diagnostics</w:t>
      </w:r>
    </w:p>
    <w:p w14:paraId="3BED0F17" w14:textId="77777777" w:rsidR="008F026E" w:rsidRDefault="008F026E">
      <w:pPr>
        <w:jc w:val="both"/>
      </w:pPr>
      <w:r>
        <w:t>Section 8.3 reports policy-direction, policy-lead, and multicollinearity diagnostics.</w:t>
      </w:r>
    </w:p>
    <w:p w14:paraId="1068BC80" w14:textId="77777777" w:rsidR="00366A86" w:rsidRDefault="00640B9D" w:rsidP="00434413">
      <w:pPr>
        <w:jc w:val="both"/>
      </w:pPr>
      <w:r>
        <w:rPr>
          <w:b/>
        </w:rPr>
        <w:t>Policy-direction diagnostic. This exploratory check replaces the net cumulative Restrict score with separate cumulative totals for restrictive and liberalizing events, both of which enter the regression simultaneously. It uses the same bilateral sample, controls, and fixed effects as Equation (3), but does not apply denominator weights. Each retained corridor-year therefore receives equal weight, so large permit corridors do not automatically receive greater influence solely because of their permit volume. The liberalizing total has a negative and statistically significant coefficient (β = −0.006893, p = 0.005), while the restrictive total is imprecisely estimated (β = −0.002237, p = 0.551). The significant negative liberalizing coefficient therefore shows that the clearer association in this specification appears on the easing side. Conditional on the same controls and fixed effects, greater cumulative liberalization is associated with a lower high-skilled share, which is consistent with the main positive Restrict coefficient when read from the easing side. Liberalizing events account for about 62 percent of retained policy events. This imbalance may contribute to the greater precision of the liberalizing estimate. The diagnostic identifies the side of the net score carrying the clearer association; it does not establish a causal mechanism.</w:t>
      </w:r>
    </w:p>
    <w:p w14:paraId="1D14377E" w14:textId="77777777" w:rsidR="008F026E" w:rsidRDefault="008F026E">
      <w:pPr>
        <w:jc w:val="both"/>
      </w:pPr>
      <w:r>
        <w:rPr>
          <w:b/>
        </w:rPr>
        <w:t>Policy-lead timing diagnostic.</w:t>
      </w:r>
      <w:r>
        <w:t xml:space="preserve"> Unlike the preceding EU-citizen placebo, this test keeps the preferred Non-EU bilateral sample, outcome, denominator weights, controls, and fixed effects unchanged. For each outcome year t, the model adds the all-migrant-worker annual policy-flow score from t+1 while retaining the lagged cumulative policy score from t-1. Using the future annual flow isolates reforms adopted after the observed outcome without altering the accumulated policy history represented by the main regressor. The future policy-flow coefficient is not significant (β = -0.000881, p = 0.385, N = 5,608, G = 30), while the lagged cumulative coefficient remains positive and significant in the same regression (β = 0.006318, p &lt; 0.001). This provides no evidence that changes in permit composition systematically precede reforms, although a null policy lead cannot eliminate every form of policy endogeneity.</w:t>
      </w:r>
    </w:p>
    <w:p w14:paraId="2BA1B112" w14:textId="77777777" w:rsidR="008F026E" w:rsidRDefault="008F026E">
      <w:pPr>
        <w:jc w:val="both"/>
      </w:pPr>
      <w:r>
        <w:rPr>
          <w:b/>
        </w:rPr>
        <w:t>Multicollinearity diagnostic construction.</w:t>
      </w:r>
      <w:r>
        <w:t xml:space="preserve"> The preferred model contains six substantive regressors: the cumulative all-migrant-worker, high-skilled, and low-skilled policy scores, lagged bilateral permit scale, lagged destination unemployment, and lagged destination GDP growth. A conventional variance inflation factor (VIF) that includes hundreds of fixed-effect indicators </w:t>
      </w:r>
      <w:r>
        <w:lastRenderedPageBreak/>
        <w:t>would mix intended fixed-effect absorption with collinearity among these regressors. The diagnostic therefore uses the exact preferred sample (N = 5,608) and the same current employment-permit-denominator weights. Each regressor is first residualized on destination and origin-year fixed effects. Each weighted, residualized regressor is then regressed on the other five, and its VIF is calculated as one divided by one minus the auxiliary R-squared. The normalized weighted residualized design is also used to calculate pairwise correlations and the condition index.</w:t>
      </w:r>
    </w:p>
    <w:p w14:paraId="7512C046" w14:textId="77777777" w:rsidR="008F026E" w:rsidRDefault="008F026E">
      <w:pPr>
        <w:jc w:val="both"/>
      </w:pPr>
      <w:r>
        <w:rPr>
          <w:b/>
        </w:rPr>
        <w:t>Diagnostic results.</w:t>
      </w:r>
      <w:r>
        <w:t xml:space="preserve"> The fixed-effect-adjusted weighted VIFs range from 1.049 to 1.182; the VIFs for the focal all-migrant-worker score and the high- and low-skilled policy controls are 1.109, 1.140, and 1.182, respectively. The maximum absolute within-fixed-effect weighted correlation is 0.238, and the condition index is 1.581. These values provide no indication of problematic linear redundancy among the substantive regressors. Substantively, the all-migrant-worker score is therefore not a near-linear duplicate of the high- and low-skilled policy controls after the fixed effects are removed. This diagnostic concerns coefficient precision and numerical redundancy; it does not resolve policy endogeneity or establish causality.</w:t>
      </w:r>
    </w:p>
    <w:p w14:paraId="6B673B3B" w14:textId="77777777" w:rsidR="00EC50BB" w:rsidRDefault="00EC50BB">
      <w:pPr>
        <w:spacing w:after="0" w:line="240" w:lineRule="auto"/>
        <w:rPr>
          <w:rFonts w:ascii="Cambria" w:hAnsi="Cambria"/>
          <w:b/>
          <w:bCs/>
          <w:sz w:val="26"/>
          <w:szCs w:val="26"/>
        </w:rPr>
      </w:pPr>
      <w:r>
        <w:rPr>
          <w:rFonts w:ascii="Cambria" w:hAnsi="Cambria"/>
          <w:b/>
          <w:bCs/>
          <w:sz w:val="26"/>
          <w:szCs w:val="26"/>
        </w:rPr>
        <w:br w:type="page"/>
      </w:r>
    </w:p>
    <w:p w14:paraId="725845BC" w14:textId="77777777" w:rsidR="008F026E" w:rsidRPr="00FB5D7A" w:rsidRDefault="008F026E" w:rsidP="00FB5D7A">
      <w:pPr>
        <w:spacing w:after="0" w:line="240" w:lineRule="auto"/>
        <w:rPr>
          <w:rFonts w:ascii="Cambria" w:hAnsi="Cambria"/>
          <w:b/>
          <w:bCs/>
          <w:sz w:val="26"/>
          <w:szCs w:val="26"/>
        </w:rPr>
      </w:pPr>
      <w:r w:rsidRPr="00FB5D7A">
        <w:rPr>
          <w:rFonts w:ascii="Cambria" w:hAnsi="Cambria"/>
          <w:b/>
          <w:bCs/>
          <w:sz w:val="26"/>
          <w:szCs w:val="26"/>
        </w:rPr>
        <w:lastRenderedPageBreak/>
        <w:t>8.4 Graphical Summary and Tool-Specific Diagnostics</w:t>
      </w:r>
    </w:p>
    <w:p w14:paraId="3F782E84" w14:textId="77777777" w:rsidR="00961C7F" w:rsidRDefault="008A042F">
      <w:pPr>
        <w:jc w:val="center"/>
      </w:pPr>
      <w:r>
        <w:rPr>
          <w:noProof/>
        </w:rPr>
        <w:drawing>
          <wp:inline distT="0" distB="0" distL="0" distR="0" wp14:anchorId="7080212A" wp14:editId="751E4D46">
            <wp:extent cx="5658808" cy="4509247"/>
            <wp:effectExtent l="0" t="0" r="5715" b="0"/>
            <wp:docPr id="3" name="Graph 3 coefficient plot" descr="Coefficient estimates with 95 percent confidence intervals across aggregate, preferred, and robustness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1"/>
                    <a:srcRect l="18200"/>
                    <a:stretch>
                      <a:fillRect/>
                    </a:stretch>
                  </pic:blipFill>
                  <pic:spPr bwMode="auto">
                    <a:xfrm>
                      <a:off x="0" y="0"/>
                      <a:ext cx="5939976" cy="4733297"/>
                    </a:xfrm>
                    <a:prstGeom prst="rect">
                      <a:avLst/>
                    </a:prstGeom>
                    <a:noFill/>
                    <a:ln>
                      <a:noFill/>
                    </a:ln>
                    <a:extLst>
                      <a:ext uri="{53640926-AAD7-44D8-BBD7-CCE9431645EC}">
                        <a14:shadowObscured xmlns:a14="http://schemas.microsoft.com/office/drawing/2010/main"/>
                      </a:ext>
                    </a:extLst>
                  </pic:spPr>
                </pic:pic>
              </a:graphicData>
            </a:graphic>
          </wp:inline>
        </w:drawing>
      </w:r>
    </w:p>
    <w:p w14:paraId="009D431E" w14:textId="77777777" w:rsidR="008F026E" w:rsidRDefault="008F026E">
      <w:pPr>
        <w:jc w:val="center"/>
        <w:rPr>
          <w:sz w:val="18"/>
          <w:szCs w:val="18"/>
        </w:rPr>
      </w:pPr>
      <w:r>
        <w:rPr>
          <w:sz w:val="18"/>
          <w:szCs w:val="18"/>
        </w:rPr>
        <w:t>Graph 3. Coefficient estimates across aggregate, preferred, and robustness specifications. Coefficients are in percentage-point units; bars show 95-percent confidence intervals and the dashed line marks zero. Preferred bilateral and robustness rows report the all-migrant-worker coefficient with skill-targeted policy controls where applicable. Aggregate and bilateral models differ in fixed effects, weighting, and samples. R11 is omitted because the leave-one-destination-out exercise produces 30 coefficients, reported as a range in Table 10, rather than one estimate suitable for this coefficient plot.</w:t>
      </w:r>
    </w:p>
    <w:p w14:paraId="2C247C1D" w14:textId="77777777" w:rsidR="00FB5D7A" w:rsidRDefault="008F026E">
      <w:pPr>
        <w:pStyle w:val="BodyText"/>
        <w:jc w:val="both"/>
      </w:pPr>
      <w:r>
        <w:t>Graph 3 reinforces the tables: evidence is strongest in the controlled bilateral specifications. The aggregate estimates and the UK-inclusive ILOSTAT check are not significant. R1, R2, R3, R4, R6, R7, the high-income-origin point from R8, R9, and R10 remain statistically significant; R5 and the destination-specific-trend check in R12 are not significant</w:t>
      </w:r>
    </w:p>
    <w:p w14:paraId="0EBA3071" w14:textId="77777777" w:rsidR="008F026E" w:rsidRDefault="00FB5D7A">
      <w:pPr>
        <w:pStyle w:val="BodyText"/>
        <w:jc w:val="both"/>
      </w:pPr>
      <w:r>
        <w:rPr>
          <w:noProof/>
        </w:rPr>
        <w:lastRenderedPageBreak/>
        <w:drawing>
          <wp:inline distT="0" distB="0" distL="0" distR="0" wp14:anchorId="2CB8FCF9" wp14:editId="344FB204">
            <wp:extent cx="5731510" cy="32679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4_per_tool.png"/>
                    <pic:cNvPicPr/>
                  </pic:nvPicPr>
                  <pic:blipFill rotWithShape="1">
                    <a:blip r:embed="rId12"/>
                    <a:srcRect l="3656"/>
                    <a:stretch>
                      <a:fillRect/>
                    </a:stretch>
                  </pic:blipFill>
                  <pic:spPr bwMode="auto">
                    <a:xfrm>
                      <a:off x="0" y="0"/>
                      <a:ext cx="5731510" cy="3267961"/>
                    </a:xfrm>
                    <a:prstGeom prst="rect">
                      <a:avLst/>
                    </a:prstGeom>
                    <a:ln>
                      <a:noFill/>
                    </a:ln>
                    <a:extLst>
                      <a:ext uri="{53640926-AAD7-44D8-BBD7-CCE9431645EC}">
                        <a14:shadowObscured xmlns:a14="http://schemas.microsoft.com/office/drawing/2010/main"/>
                      </a:ext>
                    </a:extLst>
                  </pic:spPr>
                </pic:pic>
              </a:graphicData>
            </a:graphic>
          </wp:inline>
        </w:drawing>
      </w:r>
    </w:p>
    <w:p w14:paraId="17E11E1B" w14:textId="77777777" w:rsidR="008F026E" w:rsidRDefault="008F026E" w:rsidP="00FB5D7A">
      <w:pPr>
        <w:jc w:val="center"/>
        <w:rPr>
          <w:sz w:val="18"/>
          <w:szCs w:val="18"/>
        </w:rPr>
      </w:pPr>
      <w:r>
        <w:rPr>
          <w:sz w:val="18"/>
          <w:szCs w:val="18"/>
        </w:rPr>
        <w:t>Graph 4. Tool-specific estimates for DEMIG-QuantMig policy tools with at least three retained events: each row reports the tool's separate association with HSRate and HSNumber. Dark blue denotes tools supported by at least 10 retained policy events; light blue denotes tools supported by 3-9 events and should be interpreted as indicative only. Exact tool-level event counts are reported in Table 3. The regression samples contain N = 5,608 observations in Panel A and N = 5,219 in Panel B.</w:t>
      </w:r>
    </w:p>
    <w:p w14:paraId="324CB2BC" w14:textId="77777777" w:rsidR="007830C2" w:rsidRDefault="008A042F" w:rsidP="002B1731">
      <w:pPr>
        <w:jc w:val="both"/>
      </w:pPr>
      <w:r>
        <w:t>Graph 4 is a tool-specific diagnostic. Each row re-estimates the preferred specification using one policy tool. The PPML count estimates use a smaller sample because fixed-effect groups with only zero high-skilled permit counts are automatically dropped; these groups provide no variation for estimating count changes.</w:t>
      </w:r>
    </w:p>
    <w:p w14:paraId="4371ABFA" w14:textId="77777777" w:rsidR="007830C2" w:rsidRDefault="008A042F" w:rsidP="006A0F4A">
      <w:pPr>
        <w:jc w:val="both"/>
      </w:pPr>
      <w:r>
        <w:t>Work visa/permit, the largest tool category, is share-positive (0.82 percentage points; p &lt; 0.001) and broadly consistent with the work-visa-only check. Other tools differ: employer liabilities are share-negative, access-to-rights reforms are share-positive, and quotas mainly reduce the high-skilled count. Sparse-tool estimates remain indicative only.</w:t>
      </w:r>
    </w:p>
    <w:p w14:paraId="7ADF7790" w14:textId="77777777" w:rsidR="007830C2" w:rsidRDefault="008A042F" w:rsidP="006A0F4A">
      <w:pPr>
        <w:jc w:val="both"/>
      </w:pPr>
      <w:r>
        <w:t>The lighter-blue tools (Other sanctions, Access to justice and political rights, and Institutional capacities) have only three or four retained events, so their estimates are reported for completeness and read as indicative only. Overall, Graph 4 shows that the preferred pattern is not a single-instrument story: work-permit and rights-side tools are most consistent with a higher HSRate, employer-liability tightening pulls the other way, and quota tightening mainly reduces the absolute high-skilled count without changing the share.</w:t>
      </w:r>
    </w:p>
    <w:p w14:paraId="69FABA75" w14:textId="77777777" w:rsidR="00961C7F" w:rsidRDefault="008A042F">
      <w:pPr>
        <w:pStyle w:val="Heading1"/>
        <w:pageBreakBefore/>
      </w:pPr>
      <w:r>
        <w:lastRenderedPageBreak/>
        <w:t>9. Discussion and Limitations</w:t>
      </w:r>
    </w:p>
    <w:p w14:paraId="52D010F7" w14:textId="77777777" w:rsidR="002931AB" w:rsidRDefault="00640B9D">
      <w:pPr>
        <w:pStyle w:val="NormalWeb"/>
        <w:suppressAutoHyphens/>
        <w:spacing w:line="360" w:lineRule="auto"/>
        <w:ind w:firstLine="720"/>
        <w:jc w:val="both"/>
        <w:rPr>
          <w:rFonts w:asciiTheme="minorHAnsi" w:hAnsiTheme="minorHAnsi"/>
          <w:sz w:val="22"/>
          <w:szCs w:val="22"/>
        </w:rPr>
      </w:pPr>
      <w:r>
        <w:t>The preferred bilateral model finds a positive association between cumulative net restrictive change for all-migrant-worker reforms and HSRate after accounting for skill-targeted policy paths and fixed effects. This is consistent with the Section 3 compositional prediction, but it does not identify the behavioral mechanism or establish that restrictions attract migrants with higher underlying skills.</w:t>
      </w:r>
    </w:p>
    <w:p w14:paraId="1327B43E" w14:textId="77777777" w:rsidR="002931AB" w:rsidRDefault="00640B9D">
      <w:pPr>
        <w:pStyle w:val="NormalWeb"/>
        <w:suppressAutoHyphens/>
        <w:spacing w:line="360" w:lineRule="auto"/>
        <w:ind w:firstLine="720"/>
        <w:jc w:val="both"/>
        <w:rPr>
          <w:rFonts w:asciiTheme="minorHAnsi" w:hAnsiTheme="minorHAnsi"/>
          <w:sz w:val="22"/>
          <w:szCs w:val="22"/>
        </w:rPr>
      </w:pPr>
      <w:r>
        <w:t>Results vary across empirical designs. The coefficient remains positive in the unweighted and corridor-fixed-effects comparisons and in several Section 8 checks. However, the aggregate cumulative and annual-flow models, the UK-inclusive model, and the destination-trend model are not significant, while the unweighted bilateral result weakens under wild-cluster bootstrap inference. The finding is therefore conditional on the preferred bilateral, denominator-weighted design. Because the models differ in estimand and sometimes sample, their contrast cannot be attributed solely to origin-year fixed effects or weighting. The slowly changing cumulative score is also difficult to separate from smooth destination trajectories once linear trends are included.</w:t>
      </w:r>
    </w:p>
    <w:p w14:paraId="753A6033" w14:textId="77777777" w:rsidR="002931AB" w:rsidRDefault="00640B9D">
      <w:pPr>
        <w:pStyle w:val="NormalWeb"/>
        <w:suppressAutoHyphens/>
        <w:spacing w:line="360" w:lineRule="auto"/>
        <w:ind w:firstLine="720"/>
        <w:jc w:val="both"/>
        <w:rPr>
          <w:rFonts w:asciiTheme="minorHAnsi" w:hAnsiTheme="minorHAnsi"/>
          <w:sz w:val="22"/>
          <w:szCs w:val="22"/>
        </w:rPr>
      </w:pPr>
      <w:r>
        <w:t>PPML finds a positive association with measured HSNumber but no statistically detectable association with the total employment-permit count. Outcome-specific removal of all-zero fixed-effect groups leaves different effective samples, so the count coefficients complement rather than decompose HSRate. HSNumber records the highly-skilled-worker and researcher permit categories, not entrants' underlying skills. The results therefore do not establish that low-skilled permits fell, that workers changed permit routes, or that tighter policy increased the total supply of skilled labor. The design also does not estimate welfare effects, government decision processes, or individual-level responses.</w:t>
      </w:r>
    </w:p>
    <w:p w14:paraId="5B896EC6" w14:textId="77777777" w:rsidR="002931AB" w:rsidRDefault="00640B9D">
      <w:pPr>
        <w:pStyle w:val="NormalWeb"/>
        <w:suppressAutoHyphens/>
        <w:spacing w:line="360" w:lineRule="auto"/>
        <w:ind w:firstLine="720"/>
        <w:jc w:val="both"/>
        <w:rPr>
          <w:rFonts w:asciiTheme="minorHAnsi" w:hAnsiTheme="minorHAnsi"/>
          <w:sz w:val="22"/>
          <w:szCs w:val="22"/>
        </w:rPr>
      </w:pPr>
      <w:r>
        <w:t>Weighting and sample selection define the estimand. Denominator weighting gives larger corridors more influence and estimates composition across the permits issued rather than an equal-corridor association. The stable prior-year-weight estimate reduces concern about using a potentially policy-responsive current denominator but does not make the weight exogenous. The significant weighted no-cutoff result indicates that the 30-permit minimum does not create the finding; the weaker unweighted no-cutoff result confirms that weighting still matters.</w:t>
      </w:r>
    </w:p>
    <w:p w14:paraId="426B9180" w14:textId="77777777" w:rsidR="002931AB" w:rsidRDefault="00640B9D">
      <w:pPr>
        <w:pStyle w:val="NormalWeb"/>
        <w:suppressAutoHyphens/>
        <w:spacing w:line="360" w:lineRule="auto"/>
        <w:ind w:firstLine="720"/>
        <w:jc w:val="both"/>
        <w:rPr>
          <w:rFonts w:asciiTheme="minorHAnsi" w:hAnsiTheme="minorHAnsi"/>
          <w:sz w:val="22"/>
          <w:szCs w:val="22"/>
        </w:rPr>
      </w:pPr>
      <w:r>
        <w:lastRenderedPageBreak/>
        <w:t>Data construction also limits measured legal exposure. The fixed EU27-2020 list keeps Non-EU membership consistent but assigns UK and Croatian citizens statuses that did not hold in every sample year. The all-nationalities policy filter prevents targeted reforms from being assigned to unaffected migrants but omits nationality-specific reforms. The EU-citizen placebo uses education-by-citizenship stocks rather than annual arrivals and cannot reproduce the main model's timing and weights, so it is a supportive diagnostic rather than a direct replication.</w:t>
      </w:r>
    </w:p>
    <w:p w14:paraId="33B9A0BC" w14:textId="77777777" w:rsidR="002931AB" w:rsidRDefault="00640B9D">
      <w:pPr>
        <w:pStyle w:val="NormalWeb"/>
        <w:suppressAutoHyphens/>
        <w:spacing w:line="360" w:lineRule="auto"/>
        <w:ind w:firstLine="720"/>
        <w:jc w:val="both"/>
        <w:rPr>
          <w:rFonts w:asciiTheme="minorHAnsi" w:hAnsiTheme="minorHAnsi"/>
          <w:sz w:val="22"/>
          <w:szCs w:val="22"/>
        </w:rPr>
      </w:pPr>
      <w:r>
        <w:t>The UK check reveals a related mismatch: DEMIG-QuantMig records individual events, whereas Brexit was a regime-level break that an event-based cumulative score may not fully capture.</w:t>
      </w:r>
    </w:p>
    <w:p w14:paraId="73581FD7" w14:textId="77777777" w:rsidR="002931AB" w:rsidRDefault="00640B9D">
      <w:pPr>
        <w:pStyle w:val="NormalWeb"/>
        <w:suppressAutoHyphens/>
        <w:spacing w:line="360" w:lineRule="auto"/>
        <w:ind w:firstLine="720"/>
        <w:jc w:val="both"/>
        <w:rPr>
          <w:rFonts w:asciiTheme="minorHAnsi" w:hAnsiTheme="minorHAnsi"/>
          <w:sz w:val="22"/>
          <w:szCs w:val="22"/>
        </w:rPr>
      </w:pPr>
      <w:r>
        <w:t>Endogeneity remains central. Shortages or downturns can affect both policy and permit composition; for example, a downturn could raise HSRate if non-high-skilled categories contract more sharply. Public opinion, electoral competition, lobbying, and administrative capacity can also affect reform timing. Lagged macroeconomic controls, fixed effects, and the null policy-lead diagnostic reduce simple reverse-timing concerns but cannot remove all anticipatory or politically driven changes (Facchini and Mayda 2009). The estimate is therefore not causal.</w:t>
      </w:r>
    </w:p>
    <w:p w14:paraId="16CA6941" w14:textId="77777777" w:rsidR="002931AB" w:rsidRDefault="00640B9D">
      <w:pPr>
        <w:pStyle w:val="NormalWeb"/>
        <w:suppressAutoHyphens/>
        <w:spacing w:line="360" w:lineRule="auto"/>
        <w:ind w:firstLine="720"/>
        <w:jc w:val="both"/>
        <w:rPr>
          <w:rFonts w:asciiTheme="minorHAnsi" w:hAnsiTheme="minorHAnsi"/>
          <w:sz w:val="22"/>
          <w:szCs w:val="22"/>
        </w:rPr>
      </w:pPr>
      <w:r>
        <w:t>Because the sensitivity specifications reuse the same panel, some coefficients could appear significant by chance. Selecting the preferred model before examining the results limits specification searching. Separately, the wild-cluster bootstrap addresses inference with 30 destination clusters. Neither step adjusts all robustness results for multiple testing or makes the estimate causal.</w:t>
      </w:r>
    </w:p>
    <w:p w14:paraId="6E349689" w14:textId="77777777" w:rsidR="007830C2" w:rsidRDefault="008A042F">
      <w:pPr>
        <w:pStyle w:val="Heading1"/>
      </w:pPr>
      <w:r>
        <w:t>10. Policy Implications</w:t>
      </w:r>
    </w:p>
    <w:p w14:paraId="72800140" w14:textId="77777777" w:rsidR="00877AB5" w:rsidRPr="00877AB5" w:rsidRDefault="00877AB5" w:rsidP="00877AB5">
      <w:pPr>
        <w:pStyle w:val="NormalWeb"/>
        <w:suppressAutoHyphens/>
        <w:spacing w:line="360" w:lineRule="auto"/>
        <w:jc w:val="both"/>
      </w:pPr>
      <w:r w:rsidRPr="00877AB5">
        <w:t>First, the preferred estimate suggests that cumulative net restrictive change in general labor-migration policy is associated with the composition of permits issued in the following year. General all-migrant-worker reforms are associated with a higher high-skilled permit share. Supporting count models show a positive association with the measured high-skilled permit count but no statistically detectable association with the total employment-permit count. Because these models have different effective samples, they should not be interpreted as a formal decomposition of the share result.</w:t>
      </w:r>
    </w:p>
    <w:p w14:paraId="33BCDB47" w14:textId="77777777" w:rsidR="00877AB5" w:rsidRPr="00877AB5" w:rsidRDefault="00877AB5" w:rsidP="00877AB5">
      <w:pPr>
        <w:pStyle w:val="NormalWeb"/>
        <w:suppressAutoHyphens/>
        <w:spacing w:line="360" w:lineRule="auto"/>
        <w:jc w:val="both"/>
      </w:pPr>
      <w:r w:rsidRPr="00877AB5">
        <w:lastRenderedPageBreak/>
        <w:t xml:space="preserve">Because larger permit corridors receive greater weight, the estimate is most informative about composition across the permits </w:t>
      </w:r>
      <w:proofErr w:type="gramStart"/>
      <w:r w:rsidRPr="00877AB5">
        <w:t>actually issued</w:t>
      </w:r>
      <w:proofErr w:type="gramEnd"/>
      <w:r w:rsidRPr="00877AB5">
        <w:t xml:space="preserve"> rather than about the average migration corridor. Policymakers should not interpret the positive share estimate as evidence that tighter general rules automatically attract skilled migrants or reduce low-skilled immigration. </w:t>
      </w:r>
      <w:proofErr w:type="spellStart"/>
      <w:r w:rsidRPr="00877AB5">
        <w:t>HSRate</w:t>
      </w:r>
      <w:proofErr w:type="spellEnd"/>
      <w:r w:rsidRPr="00877AB5">
        <w:t xml:space="preserve"> measures administrative first-permit categories, and the residual category includes all employment permits outside the main high-skilled categories, not only low-skilled permits. Nor does a higher share establish an economic benefit, because the thesis does not estimate effects on vacancies, productivity, labor shortages, fiscal outcomes, integration, or migrant welfare. Since the estimates are associational, model-dependent, and based on a cumulative measure combining heterogeneous reforms, they should not be used to predict the effect of a particular policy tool without separate evaluation.</w:t>
      </w:r>
    </w:p>
    <w:p w14:paraId="6F350357" w14:textId="77777777" w:rsidR="00877AB5" w:rsidRPr="00877AB5" w:rsidRDefault="00877AB5" w:rsidP="00877AB5">
      <w:pPr>
        <w:pStyle w:val="NormalWeb"/>
        <w:suppressAutoHyphens/>
        <w:spacing w:line="360" w:lineRule="auto"/>
        <w:jc w:val="both"/>
      </w:pPr>
      <w:r w:rsidRPr="00877AB5">
        <w:t>Second, policymakers should assess general work-permit rules alongside dedicated high-skilled routes, including national schemes and the EU Blue Card. The positive association remains after accounting for reforms specifically targeting high- and low-skilled workers, suggesting that it is not explained solely by changes to dedicated high-skilled routes. However, the data cannot determine whether migrants shift between permit channels. Policy evaluations should therefore report high-skilled, residual, and total permit counts alongside permit shares and relevant labor-market outcomes.</w:t>
      </w:r>
    </w:p>
    <w:p w14:paraId="5FCE048F" w14:textId="77777777" w:rsidR="004206BE" w:rsidRDefault="004206BE">
      <w:pPr>
        <w:spacing w:after="0" w:line="240" w:lineRule="auto"/>
        <w:rPr>
          <w:rFonts w:ascii="Cambria" w:eastAsia="Cambria" w:hAnsi="Cambria" w:cs="Cambria"/>
          <w:b/>
          <w:bCs/>
          <w:color w:val="000000"/>
          <w:sz w:val="34"/>
          <w:szCs w:val="28"/>
        </w:rPr>
      </w:pPr>
      <w:r>
        <w:br w:type="page"/>
      </w:r>
    </w:p>
    <w:p w14:paraId="7D91C7A0" w14:textId="77777777" w:rsidR="00961C7F" w:rsidRDefault="008A042F">
      <w:pPr>
        <w:pStyle w:val="Heading1"/>
      </w:pPr>
      <w:r>
        <w:lastRenderedPageBreak/>
        <w:t>11. Conclusion and Future Research</w:t>
      </w:r>
    </w:p>
    <w:p w14:paraId="5CA4319F" w14:textId="77777777" w:rsidR="00895870" w:rsidRDefault="00000000">
      <w:pPr>
        <w:pStyle w:val="Heading2"/>
      </w:pPr>
      <w:r>
        <w:t>11.1 Findings and Contributions</w:t>
      </w:r>
    </w:p>
    <w:p w14:paraId="22107B34" w14:textId="77777777" w:rsidR="00895870" w:rsidRDefault="0000000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This thesis examined whether changes in the restrictiveness of general labor-migration policy are associated with the skill composition of long-term employment-related immigration in European destinations between 2008 and 2019. The aggregate country-year models provide no statistically significant evidence of such an association. By contrast, the preferred denominator-weighted bilateral model, which accounts for destination fixed effects, origin-year pressures, and policies targeting high- and low-skilled workers separately, finds that one additional unit of cumulative net restrictive change is associated with approximately a 0.65-percentage-point increase in the high-skilled share of employment-related first permits. The result remains positive across several alternative specifications, although its sensitivity to destination-specific trends shows that it should be understood as a conditional association rather than a causal effect.</w:t>
      </w:r>
    </w:p>
    <w:p w14:paraId="6D533695" w14:textId="77777777" w:rsidR="00895870" w:rsidRDefault="0000000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The sign of the preferred estimate is consistent with the compositional prediction developed in Section 3. High-skilled candidates may retain access to dedicated routes, including national high-skilled schemes, researcher permits, and the EU Blue Card, whereas other candidates may depend more heavily on the general employment-permit channel. General restrictions may therefore change permit composition even without increasing the total number of high-skilled migrants. This interpretation is consistent with the positive association found for the measured high-skilled permit count and the absence of a statistically detectable association with the total employment-permit count. However, the count models use different effective samples and cannot establish that other permit categories declined. The findings therefore align with the entry-channel prediction, but they do not identify the behavioral mechanism or show that restrictive policies attract workers with higher underlying skills.</w:t>
      </w:r>
    </w:p>
    <w:p w14:paraId="2C61D0EA" w14:textId="77777777" w:rsidR="00895870" w:rsidRDefault="0000000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The thesis contributes to the migration-policy literature by shifting attention from the effect of policy on aggregate migration volumes to its association with the composition of legal employment-related entry. It provides post-2008 European evidence at the origin-destination-year level and documents that the association appears in the bilateral model but not in the aggregate destination-year benchmarks. It also separates reforms applying to all migrant workers from reforms directed specifically at high- or low-skilled workers. This distinction allows the association with general labor-migration policy to be evaluated without treating skill-targeted policy changes as part of the same exposure.</w:t>
      </w:r>
    </w:p>
    <w:p w14:paraId="3F98724E" w14:textId="77777777" w:rsidR="00895870" w:rsidRDefault="0000000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lastRenderedPageBreak/>
        <w:t>Methodologically, the thesis links Eurostat's annual first-permit statistics to dated DEMIG-QuantMig policy events and constructs a signed, magnitude-weighted measure that distinguishes tightening from liberalization. It combines bilateral origin-destination variation with origin-year fixed effects, uses permit-denominator weights to reduce the influence of volatile small cells, and applies wild-cluster bootstrap inference to address the limited number of destination clusters. At the same time, the analysis demonstrates an important measurement limitation: Eurostat permit categories describe legal routes rather than migrants' underlying education, occupation, or productivity. The results should consequently be interpreted as changes in the composition of recorded permit categories.</w:t>
      </w:r>
    </w:p>
    <w:p w14:paraId="5665F73F" w14:textId="77777777" w:rsidR="00895870" w:rsidRDefault="00000000">
      <w:pPr>
        <w:pStyle w:val="Heading2"/>
      </w:pPr>
      <w:r>
        <w:t>11.2 Future Research</w:t>
      </w:r>
    </w:p>
    <w:p w14:paraId="20CB0EB8" w14:textId="77777777" w:rsidR="00895870" w:rsidRDefault="0000000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Future research should link residence-permit routes to harmonized information on migrants' education and occupation and, where possible, follow individuals across permit categories. Such data would make it possible to distinguish changes in migrants' underlying skill composition from changes in the administrative routes through which they enter. Research using discrete reforms, institutional discontinuities, or linked administrative records could also provide stronger causal evidence and directly test whether general restrictions affect different skill groups unequally.</w:t>
      </w:r>
    </w:p>
    <w:p w14:paraId="290072BA" w14:textId="77777777" w:rsidR="00895870" w:rsidRDefault="0000000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Further work could model treaty-level breaks such as Brexit separately, incorporate time-varying bilateral factors such as migrant networks and migration costs, and examine whether the association differs across origins and particular policy tools. Estimating coefficients for origin-year conditions, including origin unemployment, would require a different identification structure because these variables are absorbed by the present origin-year fixed effects. Finally, future studies could connect permit composition to labor shortages, productivity, fiscal outcomes, integration, and migrant welfare. Together, these extensions would help determine whether the association documented here reflects migrant selection, administrative channel use, or broader labor-market adjustment.</w:t>
      </w:r>
    </w:p>
    <w:p w14:paraId="113E00CC" w14:textId="77777777" w:rsidR="00961C7F" w:rsidRDefault="007A1105" w:rsidP="007A1105">
      <w:pPr>
        <w:pStyle w:val="Heading1"/>
        <w:spacing w:after="0" w:line="240" w:lineRule="auto"/>
        <w:rPr>
          <w:rFonts w:cstheme="majorHAnsi"/>
          <w:szCs w:val="34"/>
        </w:rPr>
      </w:pPr>
      <w:r>
        <w:br w:type="page"/>
      </w:r>
      <w:r>
        <w:rPr>
          <w:rFonts w:cstheme="majorHAnsi"/>
          <w:szCs w:val="34"/>
        </w:rPr>
        <w:lastRenderedPageBreak/>
        <w:t>12. References</w:t>
      </w:r>
    </w:p>
    <w:p w14:paraId="12B14091" w14:textId="77777777" w:rsidR="00150861" w:rsidRPr="00150861" w:rsidRDefault="00150861" w:rsidP="007A1105">
      <w:pPr>
        <w:spacing w:after="0" w:line="240" w:lineRule="auto"/>
        <w:rPr>
          <w:rFonts w:ascii="Cambria" w:eastAsia="Cambria" w:hAnsi="Cambria" w:cstheme="majorHAnsi"/>
          <w:b/>
          <w:bCs/>
          <w:color w:val="000000"/>
          <w:sz w:val="34"/>
          <w:szCs w:val="34"/>
        </w:rPr>
      </w:pPr>
    </w:p>
    <w:p w14:paraId="3506C5D4" w14:textId="77777777" w:rsidR="00961C7F" w:rsidRDefault="008A042F">
      <w:pPr>
        <w:spacing w:after="120" w:line="240" w:lineRule="auto"/>
        <w:ind w:left="720" w:hanging="720"/>
      </w:pPr>
      <w:r>
        <w:t xml:space="preserve">Anthropic. (2026). </w:t>
      </w:r>
      <w:r>
        <w:rPr>
          <w:i/>
        </w:rPr>
        <w:t>Claude Code</w:t>
      </w:r>
      <w:r>
        <w:t xml:space="preserve"> [Computer software]. https://www.anthropic.com/product/claude-code</w:t>
      </w:r>
    </w:p>
    <w:p w14:paraId="5FE036F9" w14:textId="77777777" w:rsidR="00961C7F" w:rsidRDefault="008A042F">
      <w:pPr>
        <w:spacing w:after="120" w:line="240" w:lineRule="auto"/>
        <w:ind w:left="720" w:hanging="720"/>
      </w:pPr>
      <w:r>
        <w:t xml:space="preserve">Bertoli, S., &amp; Fernández-Huertas Moraga, J. (2013). Multilateral resistance to migration. </w:t>
      </w:r>
      <w:r>
        <w:rPr>
          <w:i/>
        </w:rPr>
        <w:t>Journal of Development Economics, 102</w:t>
      </w:r>
      <w:r>
        <w:t>, 79–100.</w:t>
      </w:r>
    </w:p>
    <w:p w14:paraId="37A9C9F2" w14:textId="77777777" w:rsidR="00961C7F" w:rsidRDefault="008A042F">
      <w:pPr>
        <w:spacing w:after="120" w:line="240" w:lineRule="auto"/>
        <w:ind w:left="720" w:hanging="720"/>
      </w:pPr>
      <w:r>
        <w:t xml:space="preserve">Borjas, G. J. (1987). Self-Selection and the Earnings of Immigrants. </w:t>
      </w:r>
      <w:r>
        <w:rPr>
          <w:i/>
        </w:rPr>
        <w:t>American Economic Review, 77</w:t>
      </w:r>
      <w:r>
        <w:t>(4), 531–553.</w:t>
      </w:r>
    </w:p>
    <w:p w14:paraId="07B51A71" w14:textId="77777777" w:rsidR="00961C7F" w:rsidRDefault="008A042F">
      <w:pPr>
        <w:spacing w:after="120" w:line="240" w:lineRule="auto"/>
        <w:ind w:left="720" w:hanging="720"/>
      </w:pPr>
      <w:r>
        <w:t xml:space="preserve">Cameron, A. C., Gelbach, J. B., &amp; Miller, D. L. (2008). Bootstrap-Based Improvements for Inference with Clustered Errors. </w:t>
      </w:r>
      <w:r>
        <w:rPr>
          <w:i/>
        </w:rPr>
        <w:t>Review of Economics and Statistics, 90</w:t>
      </w:r>
      <w:r>
        <w:t>(3), 414–427.</w:t>
      </w:r>
    </w:p>
    <w:p w14:paraId="49C40624" w14:textId="77777777" w:rsidR="00961C7F" w:rsidRDefault="008A042F">
      <w:pPr>
        <w:spacing w:after="120" w:line="240" w:lineRule="auto"/>
        <w:ind w:left="720" w:hanging="720"/>
      </w:pPr>
      <w:r>
        <w:t xml:space="preserve">Cerna, L. (2016). The Crisis as an Opportunity for Change? High-Skilled Immigration Policies across Europe. </w:t>
      </w:r>
      <w:r>
        <w:rPr>
          <w:i/>
        </w:rPr>
        <w:t>Journal of Ethnic and Migration Studies, 42</w:t>
      </w:r>
      <w:r>
        <w:t>(10), 1610–1630.</w:t>
      </w:r>
    </w:p>
    <w:p w14:paraId="002C698D" w14:textId="77777777" w:rsidR="007830C2" w:rsidRDefault="008A042F">
      <w:pPr>
        <w:spacing w:after="120" w:line="240" w:lineRule="auto"/>
        <w:ind w:left="720" w:hanging="720"/>
      </w:pPr>
      <w:r>
        <w:t xml:space="preserve">Council of the European Union. (2005). Council Directive 2005/71/EC of 12 October 2005 on a specific procedure for admitting third-country nationals for the purposes of scientific research. </w:t>
      </w:r>
      <w:r>
        <w:rPr>
          <w:i/>
          <w:iCs/>
        </w:rPr>
        <w:t>Official Journal of the European Union, L 289</w:t>
      </w:r>
      <w:r>
        <w:t>, 15-22.</w:t>
      </w:r>
    </w:p>
    <w:p w14:paraId="42D9EADD" w14:textId="77777777" w:rsidR="007830C2" w:rsidRDefault="008A042F">
      <w:pPr>
        <w:spacing w:after="120" w:line="240" w:lineRule="auto"/>
        <w:ind w:left="720" w:hanging="720"/>
      </w:pPr>
      <w:r>
        <w:t xml:space="preserve">Council of the European Union. (2009). Council Directive 2009/50/EC of 25 May 2009 on the conditions of entry and residence of third-country nationals for the purposes of highly qualified employment. </w:t>
      </w:r>
      <w:r>
        <w:rPr>
          <w:i/>
        </w:rPr>
        <w:t>Official Journal of the European Union, L 155</w:t>
      </w:r>
      <w:r>
        <w:t>, 17-29.</w:t>
      </w:r>
    </w:p>
    <w:p w14:paraId="3D13F34F" w14:textId="77777777" w:rsidR="00961C7F" w:rsidRDefault="008A042F">
      <w:pPr>
        <w:spacing w:after="120" w:line="240" w:lineRule="auto"/>
        <w:ind w:left="720" w:hanging="720"/>
      </w:pPr>
      <w:r>
        <w:t xml:space="preserve">Czaika, M., &amp; de Haas, H. (2013). The Effectiveness of Immigration Policies. </w:t>
      </w:r>
      <w:r>
        <w:rPr>
          <w:i/>
        </w:rPr>
        <w:t>Population and Development Review, 39</w:t>
      </w:r>
      <w:r>
        <w:t>(3), 487–508.</w:t>
      </w:r>
    </w:p>
    <w:p w14:paraId="4169E974" w14:textId="77777777" w:rsidR="00961C7F" w:rsidRDefault="008A042F">
      <w:pPr>
        <w:spacing w:after="120" w:line="240" w:lineRule="auto"/>
        <w:ind w:left="720" w:hanging="720"/>
      </w:pPr>
      <w:r>
        <w:t xml:space="preserve">Czaika, M., &amp; Parsons, C. R. (2017). The Gravity of High-Skilled Migration Policies. </w:t>
      </w:r>
      <w:r>
        <w:rPr>
          <w:i/>
        </w:rPr>
        <w:t>Demography, 54</w:t>
      </w:r>
      <w:r>
        <w:t>(2), 603–630.</w:t>
      </w:r>
    </w:p>
    <w:p w14:paraId="172DD31F" w14:textId="77777777" w:rsidR="00961C7F" w:rsidRDefault="008A042F">
      <w:pPr>
        <w:spacing w:after="120" w:line="240" w:lineRule="auto"/>
        <w:ind w:left="720" w:hanging="720"/>
      </w:pPr>
      <w:r>
        <w:t xml:space="preserve">de Haas, H., Natter, K., &amp; Vezzoli, S. (2015). Conceptualizing and Measuring Migration Policy Change. </w:t>
      </w:r>
      <w:r>
        <w:rPr>
          <w:i/>
        </w:rPr>
        <w:t>Comparative Migration Studies, 3</w:t>
      </w:r>
      <w:r>
        <w:t>, Article 15.</w:t>
      </w:r>
    </w:p>
    <w:p w14:paraId="540906C8" w14:textId="77777777" w:rsidR="00961C7F" w:rsidRDefault="00961C7F">
      <w:pPr>
        <w:spacing w:after="120" w:line="240" w:lineRule="auto"/>
        <w:ind w:left="720" w:hanging="720"/>
      </w:pPr>
      <w:r>
        <w:t xml:space="preserve">Eurostat. (2019). </w:t>
      </w:r>
      <w:r>
        <w:rPr>
          <w:i/>
        </w:rPr>
        <w:t>Technical Guidelines for the Data Collection under Article 6 of Regulation 862/2007: Statistics on Residence Permits (Version 1.1)</w:t>
      </w:r>
      <w:r>
        <w:t>. European Commission. https://ec.europa.eu/eurostat/cache/metadata/Annexes/migr_resval_esms_an_6.pdf</w:t>
      </w:r>
    </w:p>
    <w:p w14:paraId="7955FB2C" w14:textId="77777777" w:rsidR="00961C7F" w:rsidRDefault="008A042F">
      <w:pPr>
        <w:spacing w:after="120" w:line="240" w:lineRule="auto"/>
        <w:ind w:left="720" w:hanging="720"/>
      </w:pPr>
      <w:r>
        <w:t xml:space="preserve">Eurostat. (2026a). </w:t>
      </w:r>
      <w:r>
        <w:rPr>
          <w:i/>
        </w:rPr>
        <w:t>First permits by reason, length of validity and citizenship (migr_resfirst)</w:t>
      </w:r>
      <w:r>
        <w:t xml:space="preserve"> [Data set]. European Commission. https://doi.org/10.2908/MIGR_RESFIRST</w:t>
      </w:r>
    </w:p>
    <w:p w14:paraId="7291C2FD" w14:textId="77777777" w:rsidR="00961C7F" w:rsidRDefault="008A042F">
      <w:pPr>
        <w:spacing w:after="120" w:line="240" w:lineRule="auto"/>
        <w:ind w:left="720" w:hanging="720"/>
      </w:pPr>
      <w:r>
        <w:t xml:space="preserve">Eurostat. (2026b). </w:t>
      </w:r>
      <w:r>
        <w:rPr>
          <w:i/>
        </w:rPr>
        <w:t>First permits issued for remunerated activities by reason, length of validity and citizenship (migr_resocc)</w:t>
      </w:r>
      <w:r>
        <w:t xml:space="preserve"> [Data set]. European Commission. https://doi.org/10.2908/MIGR_RESOCC</w:t>
      </w:r>
    </w:p>
    <w:p w14:paraId="5CF2556D" w14:textId="77777777" w:rsidR="00961C7F" w:rsidRDefault="008A042F">
      <w:pPr>
        <w:spacing w:after="120" w:line="240" w:lineRule="auto"/>
        <w:ind w:left="720" w:hanging="720"/>
      </w:pPr>
      <w:r>
        <w:t xml:space="preserve">Eurostat. (2026c). </w:t>
      </w:r>
      <w:r>
        <w:rPr>
          <w:i/>
        </w:rPr>
        <w:t>Gross domestic product (GDP) and main components (output, expenditure and income) - annual data (nama_10_gdp)</w:t>
      </w:r>
      <w:r>
        <w:t xml:space="preserve"> [Data set]. European Commission. https://doi.org/10.2908/NAMA_10_GDP</w:t>
      </w:r>
    </w:p>
    <w:p w14:paraId="57C417A1" w14:textId="77777777" w:rsidR="00961C7F" w:rsidRDefault="008A042F">
      <w:pPr>
        <w:spacing w:after="120" w:line="240" w:lineRule="auto"/>
        <w:ind w:left="720" w:hanging="720"/>
      </w:pPr>
      <w:r>
        <w:t xml:space="preserve">Eurostat. (2026d). </w:t>
      </w:r>
      <w:r>
        <w:rPr>
          <w:i/>
        </w:rPr>
        <w:t>Population in private households by educational attainment level and citizenship (edat_lfs_9911)</w:t>
      </w:r>
      <w:r>
        <w:t xml:space="preserve"> [Data set]. European Commission. https://doi.org/10.2908/EDAT_LFS_9911</w:t>
      </w:r>
    </w:p>
    <w:p w14:paraId="18CB5DF2" w14:textId="77777777" w:rsidR="00961C7F" w:rsidRDefault="008A042F">
      <w:pPr>
        <w:spacing w:after="120" w:line="240" w:lineRule="auto"/>
        <w:ind w:left="720" w:hanging="720"/>
      </w:pPr>
      <w:r>
        <w:t xml:space="preserve">Eurostat. (2026e). </w:t>
      </w:r>
      <w:r>
        <w:rPr>
          <w:i/>
        </w:rPr>
        <w:t>Unemployment by sex and age - annual data (une_rt_a)</w:t>
      </w:r>
      <w:r>
        <w:t xml:space="preserve"> [Data set]. European Commission. https://doi.org/10.2908/UNE_RT_A</w:t>
      </w:r>
    </w:p>
    <w:p w14:paraId="4CDFDA51" w14:textId="77777777" w:rsidR="007830C2" w:rsidRDefault="008A042F">
      <w:pPr>
        <w:spacing w:after="120" w:line="240" w:lineRule="auto"/>
        <w:ind w:left="720" w:hanging="720"/>
      </w:pPr>
      <w:r>
        <w:t xml:space="preserve">European Parliament and Council. (2004). Directive 2004/38/EC of the European Parliament and of the Council of 29 April 2004 on the right of citizens of the Union and their family members to move and reside freely within the territory of the Member States. </w:t>
      </w:r>
      <w:r>
        <w:rPr>
          <w:i/>
        </w:rPr>
        <w:t>Official Journal of the European Union, L 158</w:t>
      </w:r>
      <w:r>
        <w:t>, 77-123.</w:t>
      </w:r>
    </w:p>
    <w:p w14:paraId="42C72141" w14:textId="77777777" w:rsidR="007830C2" w:rsidRDefault="008A042F">
      <w:pPr>
        <w:spacing w:after="120" w:line="240" w:lineRule="auto"/>
        <w:ind w:left="720" w:hanging="720"/>
      </w:pPr>
      <w:r>
        <w:lastRenderedPageBreak/>
        <w:t xml:space="preserve">European Parliament and Council. (2011). Directive 2011/98/EU of the European Parliament and of the Council of 13 December 2011 on a single application procedure for a single permit for third-country nationals to reside and work in the territory of a Member State. </w:t>
      </w:r>
      <w:r>
        <w:rPr>
          <w:i/>
        </w:rPr>
        <w:t>Official Journal of the European Union, L 343</w:t>
      </w:r>
      <w:r>
        <w:t>, 1-9.</w:t>
      </w:r>
    </w:p>
    <w:p w14:paraId="6C538D8E" w14:textId="77777777" w:rsidR="007830C2" w:rsidRDefault="008A042F">
      <w:pPr>
        <w:spacing w:after="120" w:line="240" w:lineRule="auto"/>
        <w:ind w:left="720" w:hanging="720"/>
      </w:pPr>
      <w:r>
        <w:t xml:space="preserve">European Parliament and Council. (2014). Directive 2014/66/EU of the European Parliament and of the Council of 15 May 2014 on the conditions of entry and residence of third-country nationals in the framework of an intra-corporate transfer. </w:t>
      </w:r>
      <w:r>
        <w:rPr>
          <w:i/>
          <w:iCs/>
        </w:rPr>
        <w:t>Official Journal of the European Union, L 157</w:t>
      </w:r>
      <w:r>
        <w:t>, 1-22.</w:t>
      </w:r>
    </w:p>
    <w:p w14:paraId="5C6A83B6" w14:textId="77777777" w:rsidR="007830C2" w:rsidRDefault="008A042F">
      <w:pPr>
        <w:spacing w:after="120" w:line="240" w:lineRule="auto"/>
        <w:ind w:left="720" w:hanging="720"/>
      </w:pPr>
      <w:r>
        <w:t xml:space="preserve">European Parliament and Council. (2016). Directive (EU) 2016/801 of the European Parliament and of the Council of 11 May 2016 on the conditions of entry and residence of third-country nationals for the purposes of research, studies, training, voluntary service, pupil exchange schemes or educational projects and au pairing. </w:t>
      </w:r>
      <w:r>
        <w:rPr>
          <w:i/>
          <w:iCs/>
        </w:rPr>
        <w:t>Official Journal of the European Union, L 132</w:t>
      </w:r>
      <w:r>
        <w:t>, 21-57.</w:t>
      </w:r>
    </w:p>
    <w:p w14:paraId="7D4BB202" w14:textId="77777777" w:rsidR="007830C2" w:rsidRDefault="008A042F">
      <w:pPr>
        <w:spacing w:after="120" w:line="240" w:lineRule="auto"/>
        <w:ind w:left="720" w:hanging="720"/>
      </w:pPr>
      <w:r>
        <w:t xml:space="preserve">European Parliament and Council. (2021). Directive (EU) 2021/1883 of the European Parliament and of the Council of 20 October 2021 on the conditions of entry and residence of third-country nationals for the purpose of highly qualified employment. </w:t>
      </w:r>
      <w:r>
        <w:rPr>
          <w:i/>
          <w:iCs/>
        </w:rPr>
        <w:t>Official Journal of the European Union, L 382</w:t>
      </w:r>
      <w:r>
        <w:t>, 1-38.</w:t>
      </w:r>
    </w:p>
    <w:p w14:paraId="5BF8EF36" w14:textId="77777777" w:rsidR="00961C7F" w:rsidRDefault="008A042F">
      <w:pPr>
        <w:spacing w:after="120" w:line="240" w:lineRule="auto"/>
        <w:ind w:left="720" w:hanging="720"/>
      </w:pPr>
      <w:r>
        <w:t xml:space="preserve">European Union. (2016). </w:t>
      </w:r>
      <w:r>
        <w:rPr>
          <w:i/>
        </w:rPr>
        <w:t>Consolidated version of the Treaty on the Functioning of the European Union</w:t>
      </w:r>
      <w:r>
        <w:t>. Official Journal of the European Union, C 202. https://eur-lex.europa.eu/eli/treaty/tfeu_2016/oj/eng</w:t>
      </w:r>
    </w:p>
    <w:p w14:paraId="77FDC773" w14:textId="77777777" w:rsidR="00961C7F" w:rsidRDefault="008A042F">
      <w:pPr>
        <w:spacing w:after="120" w:line="240" w:lineRule="auto"/>
        <w:ind w:left="720" w:hanging="720"/>
      </w:pPr>
      <w:r>
        <w:t xml:space="preserve">Facchini, G., &amp; Mayda, A. M. (2009). Does the Welfare State Affect Individual Attitudes Toward Immigrants? Evidence across Countries. </w:t>
      </w:r>
      <w:r>
        <w:rPr>
          <w:i/>
        </w:rPr>
        <w:t>Review of Economics and Statistics, 91</w:t>
      </w:r>
      <w:r>
        <w:t>(2), 295–314.</w:t>
      </w:r>
    </w:p>
    <w:p w14:paraId="5DD98900" w14:textId="77777777" w:rsidR="00961C7F" w:rsidRDefault="008A042F">
      <w:pPr>
        <w:spacing w:after="120" w:line="240" w:lineRule="auto"/>
        <w:ind w:left="720" w:hanging="720"/>
      </w:pPr>
      <w:r>
        <w:t xml:space="preserve">Grogger, J., &amp; Hanson, G. H. (2011). Income Maximization and the Selection and Sorting of International Migrants. </w:t>
      </w:r>
      <w:r>
        <w:rPr>
          <w:i/>
        </w:rPr>
        <w:t>Journal of Development Economics, 95</w:t>
      </w:r>
      <w:r>
        <w:t>(1), 42–57.</w:t>
      </w:r>
    </w:p>
    <w:p w14:paraId="7D69B95C" w14:textId="77777777" w:rsidR="00961C7F" w:rsidRDefault="008A042F">
      <w:pPr>
        <w:spacing w:after="120" w:line="240" w:lineRule="auto"/>
        <w:ind w:left="720" w:hanging="720"/>
      </w:pPr>
      <w:r>
        <w:t xml:space="preserve">Helbling, M., Bjerre, L., Römer, F., &amp; Zobel, M. (2017). Measuring immigration policies: the IMPIC database. </w:t>
      </w:r>
      <w:r>
        <w:rPr>
          <w:i/>
        </w:rPr>
        <w:t>European Political Science, 16</w:t>
      </w:r>
      <w:r>
        <w:t>(1), 79–98.</w:t>
      </w:r>
    </w:p>
    <w:p w14:paraId="5BF901FF" w14:textId="77777777" w:rsidR="00961C7F" w:rsidRDefault="008A042F">
      <w:pPr>
        <w:spacing w:after="120" w:line="240" w:lineRule="auto"/>
        <w:ind w:left="720" w:hanging="720"/>
      </w:pPr>
      <w:r>
        <w:t xml:space="preserve">Hunt, J., &amp; Gauthier-Loiselle, M. (2010). How Much Does Immigration Boost Innovation? </w:t>
      </w:r>
      <w:r>
        <w:rPr>
          <w:i/>
        </w:rPr>
        <w:t>American Economic Journal: Macroeconomics, 2</w:t>
      </w:r>
      <w:r>
        <w:t>(2), 31–56.</w:t>
      </w:r>
    </w:p>
    <w:p w14:paraId="7ACE6BF9" w14:textId="77777777" w:rsidR="00961C7F" w:rsidRDefault="008A042F">
      <w:pPr>
        <w:spacing w:after="120" w:line="240" w:lineRule="auto"/>
        <w:ind w:left="720" w:hanging="720"/>
      </w:pPr>
      <w:r>
        <w:t xml:space="preserve">Liang, K.-Y., &amp; Zeger, S. L. (1986). Longitudinal Data Analysis Using Generalized Linear Models. </w:t>
      </w:r>
      <w:r>
        <w:rPr>
          <w:i/>
        </w:rPr>
        <w:t>Biometrika, 73</w:t>
      </w:r>
      <w:r>
        <w:t>(1), 13–22.</w:t>
      </w:r>
    </w:p>
    <w:p w14:paraId="5C113594" w14:textId="77777777" w:rsidR="00961C7F" w:rsidRDefault="008A042F">
      <w:pPr>
        <w:spacing w:after="120" w:line="240" w:lineRule="auto"/>
        <w:ind w:left="720" w:hanging="720"/>
      </w:pPr>
      <w:r>
        <w:t xml:space="preserve">MacKinnon, J. G., &amp; Webb, M. D. (2018). The Wild Bootstrap for Few (Treated) Clusters. </w:t>
      </w:r>
      <w:r>
        <w:rPr>
          <w:i/>
        </w:rPr>
        <w:t>The Econometrics Journal, 21</w:t>
      </w:r>
      <w:r>
        <w:t>(2), 114–135.</w:t>
      </w:r>
    </w:p>
    <w:p w14:paraId="1B414DDA" w14:textId="77777777" w:rsidR="00961C7F" w:rsidRDefault="008A042F">
      <w:pPr>
        <w:spacing w:after="120" w:line="240" w:lineRule="auto"/>
        <w:ind w:left="720" w:hanging="720"/>
      </w:pPr>
      <w:r>
        <w:t xml:space="preserve">Macaluso, M. (2022). The Influence of Skill-Based Policies on the Immigrant Selection Process. </w:t>
      </w:r>
      <w:r>
        <w:rPr>
          <w:i/>
        </w:rPr>
        <w:t>Economia Politica, 39</w:t>
      </w:r>
      <w:r>
        <w:t>, 595–621.</w:t>
      </w:r>
    </w:p>
    <w:p w14:paraId="33546AEE" w14:textId="77777777" w:rsidR="00961C7F" w:rsidRDefault="008A042F">
      <w:pPr>
        <w:spacing w:after="120" w:line="240" w:lineRule="auto"/>
        <w:ind w:left="720" w:hanging="720"/>
      </w:pPr>
      <w:r>
        <w:t xml:space="preserve">Mayda, A. M. (2010). International migration: a panel data analysis of the determinants of bilateral flows. </w:t>
      </w:r>
      <w:r>
        <w:rPr>
          <w:i/>
        </w:rPr>
        <w:t>Journal of Population Economics, 23</w:t>
      </w:r>
      <w:r>
        <w:t>(4), 1249–1274.</w:t>
      </w:r>
    </w:p>
    <w:p w14:paraId="4896F1EB" w14:textId="77777777" w:rsidR="00961C7F" w:rsidRDefault="008A042F">
      <w:pPr>
        <w:spacing w:after="120" w:line="240" w:lineRule="auto"/>
        <w:ind w:left="720" w:hanging="720"/>
      </w:pPr>
      <w:r>
        <w:t xml:space="preserve">OECD. (2024). </w:t>
      </w:r>
      <w:r>
        <w:rPr>
          <w:i/>
        </w:rPr>
        <w:t>International Migration Outlook 2024</w:t>
      </w:r>
      <w:r>
        <w:t>. OECD Publishing. https://doi.org/10.1787/50b0353e-en</w:t>
      </w:r>
    </w:p>
    <w:p w14:paraId="61CBACD2" w14:textId="77777777" w:rsidR="00961C7F" w:rsidRDefault="008A042F">
      <w:pPr>
        <w:spacing w:after="120" w:line="240" w:lineRule="auto"/>
        <w:ind w:left="720" w:hanging="720"/>
      </w:pPr>
      <w:r>
        <w:t xml:space="preserve">OpenAI. (2026). </w:t>
      </w:r>
      <w:r>
        <w:rPr>
          <w:i/>
        </w:rPr>
        <w:t>Codex</w:t>
      </w:r>
      <w:r>
        <w:t xml:space="preserve"> [Computer software]. https://openai.com/codex/</w:t>
      </w:r>
    </w:p>
    <w:p w14:paraId="5DB1D612" w14:textId="77777777" w:rsidR="00961C7F" w:rsidRDefault="008A042F">
      <w:pPr>
        <w:spacing w:after="120" w:line="240" w:lineRule="auto"/>
        <w:ind w:left="720" w:hanging="720"/>
      </w:pPr>
      <w:r>
        <w:t xml:space="preserve">Ortega, F., &amp; Peri, G. (2013). The effect of income and immigration policies on international migration. </w:t>
      </w:r>
      <w:r>
        <w:rPr>
          <w:i/>
        </w:rPr>
        <w:t>Migration Studies, 1</w:t>
      </w:r>
      <w:r>
        <w:t>(1), 47–74.</w:t>
      </w:r>
    </w:p>
    <w:p w14:paraId="0A6E4BF5" w14:textId="77777777" w:rsidR="00961C7F" w:rsidRDefault="008A042F">
      <w:pPr>
        <w:spacing w:after="120" w:line="240" w:lineRule="auto"/>
        <w:ind w:left="720" w:hanging="720"/>
      </w:pPr>
      <w:r>
        <w:t xml:space="preserve">Peri, G. (2012). The Effect of Immigration on Productivity: Evidence from U.S. States. </w:t>
      </w:r>
      <w:r>
        <w:rPr>
          <w:i/>
        </w:rPr>
        <w:t>Review of Economics and Statistics, 94</w:t>
      </w:r>
      <w:r>
        <w:t>(1), 348–358.</w:t>
      </w:r>
    </w:p>
    <w:p w14:paraId="44649A32" w14:textId="77777777" w:rsidR="00961C7F" w:rsidRDefault="008A042F">
      <w:pPr>
        <w:spacing w:after="120" w:line="240" w:lineRule="auto"/>
        <w:ind w:left="720" w:hanging="720"/>
      </w:pPr>
      <w:r>
        <w:t xml:space="preserve">Rayp, G., Ruyssen, I., &amp; Standaert, S. (2017). Measuring and Explaining Cross-Country Immigration Policies. </w:t>
      </w:r>
      <w:r>
        <w:rPr>
          <w:i/>
        </w:rPr>
        <w:t>World Development, 95</w:t>
      </w:r>
      <w:r>
        <w:t>, 141–163.</w:t>
      </w:r>
    </w:p>
    <w:p w14:paraId="627C3FBC" w14:textId="77777777" w:rsidR="00961C7F" w:rsidRDefault="008A042F">
      <w:pPr>
        <w:spacing w:after="120" w:line="240" w:lineRule="auto"/>
        <w:ind w:left="720" w:hanging="720"/>
      </w:pPr>
      <w:r>
        <w:lastRenderedPageBreak/>
        <w:t xml:space="preserve">Santos Silva, J. M. C., &amp; Tenreyro, S. (2006). The Log of Gravity. </w:t>
      </w:r>
      <w:r>
        <w:rPr>
          <w:i/>
        </w:rPr>
        <w:t>The Review of Economics and Statistics, 88</w:t>
      </w:r>
      <w:r>
        <w:t>(4), 641–658.</w:t>
      </w:r>
    </w:p>
    <w:p w14:paraId="53A60BC0" w14:textId="77777777" w:rsidR="00961C7F" w:rsidRDefault="008A042F">
      <w:pPr>
        <w:spacing w:after="120" w:line="240" w:lineRule="auto"/>
        <w:ind w:left="720" w:hanging="720"/>
      </w:pPr>
      <w:r>
        <w:t xml:space="preserve">Schmidt, R., Kristen, C., &amp; Mühlau, P. (2022). Educational Selectivity and Immigrants' Labor Market Performance in Europe. </w:t>
      </w:r>
      <w:r>
        <w:rPr>
          <w:i/>
        </w:rPr>
        <w:t>European Sociological Review, 38</w:t>
      </w:r>
      <w:r>
        <w:t>(2), 252–268.</w:t>
      </w:r>
    </w:p>
    <w:p w14:paraId="241DB9A4" w14:textId="77777777" w:rsidR="00961C7F" w:rsidRDefault="008A042F">
      <w:pPr>
        <w:spacing w:after="120" w:line="240" w:lineRule="auto"/>
        <w:ind w:left="720" w:hanging="720"/>
      </w:pPr>
      <w:r>
        <w:t xml:space="preserve">Schreier, S., Skrabal, L., &amp; Czaika, M. (2023). </w:t>
      </w:r>
      <w:r>
        <w:rPr>
          <w:i/>
        </w:rPr>
        <w:t>DEMIG-QuantMig Migration Policy Database</w:t>
      </w:r>
      <w:r>
        <w:t>. QuantMig Project Deliverable D5.4, version 1.2. University of Continuing Education Krems. https://www.quantmig.eu/data_and_estimates/policy_database/</w:t>
      </w:r>
    </w:p>
    <w:p w14:paraId="236789D8" w14:textId="77777777" w:rsidR="00961C7F" w:rsidRDefault="008A042F">
      <w:pPr>
        <w:spacing w:after="120" w:line="240" w:lineRule="auto"/>
        <w:ind w:left="720" w:hanging="720"/>
      </w:pPr>
      <w:r>
        <w:t xml:space="preserve">Storesletten, K. (2000). Sustaining Fiscal Policy through Immigration. </w:t>
      </w:r>
      <w:r>
        <w:rPr>
          <w:i/>
        </w:rPr>
        <w:t>Journal of Political Economy, 108</w:t>
      </w:r>
      <w:r>
        <w:t>(2), 300–323.</w:t>
      </w:r>
    </w:p>
    <w:p w14:paraId="561FDEF6" w14:textId="77777777" w:rsidR="00961C7F" w:rsidRDefault="008A042F">
      <w:pPr>
        <w:spacing w:after="120" w:line="240" w:lineRule="auto"/>
        <w:ind w:left="720" w:hanging="720"/>
      </w:pPr>
      <w:r>
        <w:t xml:space="preserve">World Bank. (2026). </w:t>
      </w:r>
      <w:r>
        <w:rPr>
          <w:i/>
        </w:rPr>
        <w:t>Unemployment, total (% of total labor force) (modeled ILO estimate), indicator SL.UEM.TOTL.ZS</w:t>
      </w:r>
      <w:r>
        <w:t xml:space="preserve"> [Data set]. World Development Indicators. Source: ILOSTAT. https://data.worldbank.org/indicator/SL.UEM.TOTL.ZS</w:t>
      </w:r>
    </w:p>
    <w:p w14:paraId="1FB965C0" w14:textId="77777777" w:rsidR="00961C7F" w:rsidRDefault="008A042F">
      <w:pPr>
        <w:spacing w:after="120" w:line="240" w:lineRule="auto"/>
        <w:ind w:left="720" w:hanging="720"/>
      </w:pPr>
      <w:r>
        <w:t xml:space="preserve">World Bank Data Team. (2019). </w:t>
      </w:r>
      <w:r>
        <w:rPr>
          <w:i/>
        </w:rPr>
        <w:t>New country classifications by income level: 2019-2020</w:t>
      </w:r>
      <w:r>
        <w:t>. World Bank Data Blog, July 1, 2019. https://blogs.worldbank.org/en/opendata/new-country-classifications-income-level-2019-2020</w:t>
      </w:r>
    </w:p>
    <w:p w14:paraId="26813D2F" w14:textId="77777777" w:rsidR="00A26942" w:rsidRDefault="00A26942">
      <w:pPr>
        <w:spacing w:after="0" w:line="240" w:lineRule="auto"/>
        <w:rPr>
          <w:rFonts w:ascii="Cambria" w:eastAsia="Cambria" w:hAnsi="Cambria" w:cs="Cambria"/>
          <w:b/>
          <w:bCs/>
          <w:color w:val="000000"/>
          <w:sz w:val="34"/>
          <w:szCs w:val="28"/>
        </w:rPr>
      </w:pPr>
      <w:r>
        <w:br w:type="page"/>
      </w:r>
    </w:p>
    <w:p w14:paraId="47150406" w14:textId="77777777" w:rsidR="006F43BE" w:rsidRDefault="006F43BE" w:rsidP="006F43BE">
      <w:pPr>
        <w:pStyle w:val="Heading1"/>
      </w:pPr>
      <w:r>
        <w:lastRenderedPageBreak/>
        <w:t>13. Appendix</w:t>
      </w:r>
      <w:r w:rsidR="002F7C4F">
        <w:t>:</w:t>
      </w:r>
      <w:r>
        <w:t xml:space="preserve"> Extended-window PPML sensitivity</w:t>
      </w:r>
    </w:p>
    <w:p w14:paraId="0C482CC1" w14:textId="77777777" w:rsidR="008F026E" w:rsidRDefault="008F026E">
      <w:r>
        <w:t>Table A.1 reports PPML count results after reintroducing 2020. The corresponding HSRate estimate appears as R1 in Table 10.</w:t>
      </w:r>
    </w:p>
    <w:p w14:paraId="47E9A208" w14:textId="77777777" w:rsidR="006F43BE" w:rsidRDefault="006F43BE" w:rsidP="006F43BE"/>
    <w:p w14:paraId="68F9F667" w14:textId="77777777" w:rsidR="006F43BE" w:rsidRDefault="006F43BE" w:rsidP="006F43BE">
      <w:r>
        <w:t>Table A.1. Extended-window PPML sensitivity (2020 reintroduced).</w:t>
      </w:r>
    </w:p>
    <w:tbl>
      <w:tblPr>
        <w:tblStyle w:val="TableGrid"/>
        <w:tblW w:w="930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271"/>
        <w:gridCol w:w="1380"/>
        <w:gridCol w:w="1533"/>
        <w:gridCol w:w="1175"/>
        <w:gridCol w:w="1175"/>
        <w:gridCol w:w="766"/>
      </w:tblGrid>
      <w:tr w:rsidR="006F43BE" w14:paraId="52F13901" w14:textId="77777777" w:rsidTr="0003120B">
        <w:trPr>
          <w:trHeight w:val="360"/>
          <w:jc w:val="center"/>
        </w:trPr>
        <w:tc>
          <w:tcPr>
            <w:tcW w:w="3200" w:type="dxa"/>
            <w:tcBorders>
              <w:top w:val="nil"/>
              <w:left w:val="nil"/>
              <w:bottom w:val="single" w:sz="10" w:space="0" w:color="000000"/>
              <w:right w:val="nil"/>
            </w:tcBorders>
            <w:tcMar>
              <w:top w:w="70" w:type="dxa"/>
              <w:left w:w="90" w:type="dxa"/>
              <w:bottom w:w="70" w:type="dxa"/>
              <w:right w:w="90" w:type="dxa"/>
            </w:tcMar>
            <w:vAlign w:val="center"/>
          </w:tcPr>
          <w:p w14:paraId="586EC407" w14:textId="77777777" w:rsidR="006F43BE" w:rsidRDefault="006F43BE" w:rsidP="0003120B">
            <w:pPr>
              <w:spacing w:after="0" w:line="240" w:lineRule="auto"/>
            </w:pPr>
            <w:r>
              <w:rPr>
                <w:rFonts w:ascii="Times New Roman" w:hAnsi="Times New Roman"/>
                <w:b/>
              </w:rPr>
              <w:t>Check</w:t>
            </w:r>
          </w:p>
        </w:tc>
        <w:tc>
          <w:tcPr>
            <w:tcW w:w="1350" w:type="dxa"/>
            <w:tcBorders>
              <w:top w:val="nil"/>
              <w:left w:val="nil"/>
              <w:bottom w:val="single" w:sz="10" w:space="0" w:color="000000"/>
              <w:right w:val="nil"/>
            </w:tcBorders>
            <w:tcMar>
              <w:top w:w="70" w:type="dxa"/>
              <w:left w:w="90" w:type="dxa"/>
              <w:bottom w:w="70" w:type="dxa"/>
              <w:right w:w="90" w:type="dxa"/>
            </w:tcMar>
            <w:vAlign w:val="center"/>
          </w:tcPr>
          <w:p w14:paraId="2C632EFD" w14:textId="77777777" w:rsidR="006F43BE" w:rsidRDefault="006F43BE" w:rsidP="0003120B">
            <w:pPr>
              <w:spacing w:after="0" w:line="240" w:lineRule="auto"/>
              <w:jc w:val="center"/>
            </w:pPr>
            <w:r>
              <w:rPr>
                <w:rFonts w:ascii="Times New Roman" w:hAnsi="Times New Roman"/>
                <w:b/>
              </w:rPr>
              <w:t>β</w:t>
            </w:r>
          </w:p>
        </w:tc>
        <w:tc>
          <w:tcPr>
            <w:tcW w:w="1500" w:type="dxa"/>
            <w:tcBorders>
              <w:top w:val="nil"/>
              <w:left w:val="nil"/>
              <w:bottom w:val="single" w:sz="10" w:space="0" w:color="000000"/>
              <w:right w:val="nil"/>
            </w:tcBorders>
            <w:tcMar>
              <w:top w:w="70" w:type="dxa"/>
              <w:left w:w="90" w:type="dxa"/>
              <w:bottom w:w="70" w:type="dxa"/>
              <w:right w:w="90" w:type="dxa"/>
            </w:tcMar>
            <w:vAlign w:val="center"/>
          </w:tcPr>
          <w:p w14:paraId="740E6FB5" w14:textId="77777777" w:rsidR="006F43BE" w:rsidRDefault="006F43BE" w:rsidP="0003120B">
            <w:pPr>
              <w:spacing w:after="0" w:line="240" w:lineRule="auto"/>
              <w:jc w:val="center"/>
            </w:pPr>
            <w:r>
              <w:rPr>
                <w:rFonts w:ascii="Times New Roman" w:hAnsi="Times New Roman"/>
                <w:b/>
              </w:rPr>
              <w:t>SE</w:t>
            </w:r>
          </w:p>
        </w:tc>
        <w:tc>
          <w:tcPr>
            <w:tcW w:w="1150" w:type="dxa"/>
            <w:tcBorders>
              <w:top w:val="nil"/>
              <w:left w:val="nil"/>
              <w:bottom w:val="single" w:sz="10" w:space="0" w:color="000000"/>
              <w:right w:val="nil"/>
            </w:tcBorders>
            <w:tcMar>
              <w:top w:w="70" w:type="dxa"/>
              <w:left w:w="90" w:type="dxa"/>
              <w:bottom w:w="70" w:type="dxa"/>
              <w:right w:w="90" w:type="dxa"/>
            </w:tcMar>
            <w:vAlign w:val="center"/>
          </w:tcPr>
          <w:p w14:paraId="68E05DC0" w14:textId="77777777" w:rsidR="006F43BE" w:rsidRDefault="006F43BE" w:rsidP="0003120B">
            <w:pPr>
              <w:spacing w:after="0" w:line="240" w:lineRule="auto"/>
              <w:jc w:val="center"/>
            </w:pPr>
            <w:r>
              <w:rPr>
                <w:rFonts w:ascii="Times New Roman" w:hAnsi="Times New Roman"/>
                <w:b/>
              </w:rPr>
              <w:t>p</w:t>
            </w:r>
          </w:p>
        </w:tc>
        <w:tc>
          <w:tcPr>
            <w:tcW w:w="1150" w:type="dxa"/>
            <w:tcBorders>
              <w:top w:val="nil"/>
              <w:left w:val="nil"/>
              <w:bottom w:val="single" w:sz="10" w:space="0" w:color="000000"/>
              <w:right w:val="nil"/>
            </w:tcBorders>
            <w:tcMar>
              <w:top w:w="70" w:type="dxa"/>
              <w:left w:w="90" w:type="dxa"/>
              <w:bottom w:w="70" w:type="dxa"/>
              <w:right w:w="90" w:type="dxa"/>
            </w:tcMar>
            <w:vAlign w:val="center"/>
          </w:tcPr>
          <w:p w14:paraId="02797747" w14:textId="77777777" w:rsidR="006F43BE" w:rsidRDefault="006F43BE" w:rsidP="0003120B">
            <w:pPr>
              <w:spacing w:after="0" w:line="240" w:lineRule="auto"/>
              <w:jc w:val="center"/>
            </w:pPr>
            <w:r>
              <w:rPr>
                <w:rFonts w:ascii="Times New Roman" w:hAnsi="Times New Roman"/>
                <w:b/>
              </w:rPr>
              <w:t>N</w:t>
            </w:r>
          </w:p>
        </w:tc>
        <w:tc>
          <w:tcPr>
            <w:tcW w:w="750" w:type="dxa"/>
            <w:tcBorders>
              <w:top w:val="nil"/>
              <w:left w:val="nil"/>
              <w:bottom w:val="single" w:sz="10" w:space="0" w:color="000000"/>
              <w:right w:val="nil"/>
            </w:tcBorders>
            <w:tcMar>
              <w:top w:w="70" w:type="dxa"/>
              <w:left w:w="90" w:type="dxa"/>
              <w:bottom w:w="70" w:type="dxa"/>
              <w:right w:w="90" w:type="dxa"/>
            </w:tcMar>
            <w:vAlign w:val="center"/>
          </w:tcPr>
          <w:p w14:paraId="08E1A12F" w14:textId="77777777" w:rsidR="006F43BE" w:rsidRDefault="006F43BE" w:rsidP="0003120B">
            <w:pPr>
              <w:spacing w:after="0" w:line="240" w:lineRule="auto"/>
              <w:jc w:val="center"/>
            </w:pPr>
            <w:r>
              <w:rPr>
                <w:rFonts w:ascii="Times New Roman" w:hAnsi="Times New Roman"/>
                <w:b/>
              </w:rPr>
              <w:t>G</w:t>
            </w:r>
          </w:p>
        </w:tc>
      </w:tr>
      <w:tr w:rsidR="006F43BE" w14:paraId="4BE1F9C4" w14:textId="77777777" w:rsidTr="0003120B">
        <w:trPr>
          <w:trHeight w:val="420"/>
          <w:jc w:val="center"/>
        </w:trPr>
        <w:tc>
          <w:tcPr>
            <w:tcW w:w="3200" w:type="dxa"/>
            <w:tcMar>
              <w:top w:w="70" w:type="dxa"/>
              <w:left w:w="90" w:type="dxa"/>
              <w:bottom w:w="70" w:type="dxa"/>
              <w:right w:w="90" w:type="dxa"/>
            </w:tcMar>
            <w:vAlign w:val="center"/>
          </w:tcPr>
          <w:p w14:paraId="0B24BD4A" w14:textId="77777777" w:rsidR="006F43BE" w:rsidRDefault="006F43BE" w:rsidP="0003120B">
            <w:pPr>
              <w:spacing w:after="0" w:line="240" w:lineRule="auto"/>
            </w:pPr>
            <w:r>
              <w:rPr>
                <w:rFonts w:ascii="Times New Roman" w:hAnsi="Times New Roman"/>
              </w:rPr>
              <w:t>Extended window: PPML HSNumber</w:t>
            </w:r>
          </w:p>
        </w:tc>
        <w:tc>
          <w:tcPr>
            <w:tcW w:w="1350" w:type="dxa"/>
            <w:tcMar>
              <w:top w:w="70" w:type="dxa"/>
              <w:left w:w="90" w:type="dxa"/>
              <w:bottom w:w="70" w:type="dxa"/>
              <w:right w:w="90" w:type="dxa"/>
            </w:tcMar>
            <w:vAlign w:val="center"/>
          </w:tcPr>
          <w:p w14:paraId="1B7E7396" w14:textId="77777777" w:rsidR="006F43BE" w:rsidRDefault="006F43BE" w:rsidP="0003120B">
            <w:pPr>
              <w:spacing w:after="0" w:line="240" w:lineRule="auto"/>
              <w:jc w:val="center"/>
            </w:pPr>
            <w:r>
              <w:rPr>
                <w:rFonts w:ascii="Times New Roman" w:hAnsi="Times New Roman"/>
              </w:rPr>
              <w:t>0.036814**</w:t>
            </w:r>
          </w:p>
        </w:tc>
        <w:tc>
          <w:tcPr>
            <w:tcW w:w="1500" w:type="dxa"/>
            <w:tcMar>
              <w:top w:w="70" w:type="dxa"/>
              <w:left w:w="90" w:type="dxa"/>
              <w:bottom w:w="70" w:type="dxa"/>
              <w:right w:w="90" w:type="dxa"/>
            </w:tcMar>
            <w:vAlign w:val="center"/>
          </w:tcPr>
          <w:p w14:paraId="5D2501B4" w14:textId="77777777" w:rsidR="006F43BE" w:rsidRDefault="006F43BE" w:rsidP="0003120B">
            <w:pPr>
              <w:spacing w:after="0" w:line="240" w:lineRule="auto"/>
              <w:jc w:val="center"/>
            </w:pPr>
            <w:r>
              <w:rPr>
                <w:rFonts w:ascii="Times New Roman" w:hAnsi="Times New Roman"/>
              </w:rPr>
              <w:t>(0.013562)</w:t>
            </w:r>
          </w:p>
        </w:tc>
        <w:tc>
          <w:tcPr>
            <w:tcW w:w="1150" w:type="dxa"/>
            <w:tcMar>
              <w:top w:w="70" w:type="dxa"/>
              <w:left w:w="90" w:type="dxa"/>
              <w:bottom w:w="70" w:type="dxa"/>
              <w:right w:w="90" w:type="dxa"/>
            </w:tcMar>
            <w:vAlign w:val="center"/>
          </w:tcPr>
          <w:p w14:paraId="6FBF49C7" w14:textId="77777777" w:rsidR="006F43BE" w:rsidRDefault="006F43BE" w:rsidP="0003120B">
            <w:pPr>
              <w:spacing w:after="0" w:line="240" w:lineRule="auto"/>
              <w:jc w:val="center"/>
            </w:pPr>
            <w:r>
              <w:rPr>
                <w:rFonts w:ascii="Times New Roman" w:hAnsi="Times New Roman"/>
              </w:rPr>
              <w:t>0.012</w:t>
            </w:r>
          </w:p>
        </w:tc>
        <w:tc>
          <w:tcPr>
            <w:tcW w:w="1150" w:type="dxa"/>
            <w:tcMar>
              <w:top w:w="70" w:type="dxa"/>
              <w:left w:w="90" w:type="dxa"/>
              <w:bottom w:w="70" w:type="dxa"/>
              <w:right w:w="90" w:type="dxa"/>
            </w:tcMar>
            <w:vAlign w:val="center"/>
          </w:tcPr>
          <w:p w14:paraId="187E4D02" w14:textId="77777777" w:rsidR="006F43BE" w:rsidRDefault="006F43BE" w:rsidP="0003120B">
            <w:pPr>
              <w:spacing w:after="0" w:line="240" w:lineRule="auto"/>
              <w:jc w:val="center"/>
            </w:pPr>
            <w:r>
              <w:rPr>
                <w:rFonts w:ascii="Times New Roman" w:hAnsi="Times New Roman"/>
              </w:rPr>
              <w:t>5,863</w:t>
            </w:r>
          </w:p>
        </w:tc>
        <w:tc>
          <w:tcPr>
            <w:tcW w:w="750" w:type="dxa"/>
            <w:tcMar>
              <w:top w:w="70" w:type="dxa"/>
              <w:left w:w="90" w:type="dxa"/>
              <w:bottom w:w="70" w:type="dxa"/>
              <w:right w:w="90" w:type="dxa"/>
            </w:tcMar>
            <w:vAlign w:val="center"/>
          </w:tcPr>
          <w:p w14:paraId="405D06FD" w14:textId="77777777" w:rsidR="006F43BE" w:rsidRDefault="006F43BE" w:rsidP="0003120B">
            <w:pPr>
              <w:spacing w:after="0" w:line="240" w:lineRule="auto"/>
              <w:jc w:val="center"/>
            </w:pPr>
            <w:r>
              <w:rPr>
                <w:rFonts w:ascii="Times New Roman" w:hAnsi="Times New Roman"/>
              </w:rPr>
              <w:t>27</w:t>
            </w:r>
          </w:p>
        </w:tc>
      </w:tr>
      <w:tr w:rsidR="006F43BE" w14:paraId="3E334306" w14:textId="77777777" w:rsidTr="0003120B">
        <w:trPr>
          <w:trHeight w:val="420"/>
          <w:jc w:val="center"/>
        </w:trPr>
        <w:tc>
          <w:tcPr>
            <w:tcW w:w="3200" w:type="dxa"/>
            <w:tcMar>
              <w:top w:w="70" w:type="dxa"/>
              <w:left w:w="90" w:type="dxa"/>
              <w:bottom w:w="70" w:type="dxa"/>
              <w:right w:w="90" w:type="dxa"/>
            </w:tcMar>
            <w:vAlign w:val="center"/>
          </w:tcPr>
          <w:p w14:paraId="3737B696" w14:textId="77777777" w:rsidR="006F43BE" w:rsidRDefault="006F43BE" w:rsidP="0003120B">
            <w:pPr>
              <w:spacing w:after="0" w:line="240" w:lineRule="auto"/>
            </w:pPr>
            <w:r>
              <w:rPr>
                <w:rFonts w:ascii="Times New Roman" w:hAnsi="Times New Roman"/>
              </w:rPr>
              <w:t>Extended window: PPML total EMP</w:t>
            </w:r>
          </w:p>
        </w:tc>
        <w:tc>
          <w:tcPr>
            <w:tcW w:w="1350" w:type="dxa"/>
            <w:tcMar>
              <w:top w:w="70" w:type="dxa"/>
              <w:left w:w="90" w:type="dxa"/>
              <w:bottom w:w="70" w:type="dxa"/>
              <w:right w:w="90" w:type="dxa"/>
            </w:tcMar>
            <w:vAlign w:val="center"/>
          </w:tcPr>
          <w:p w14:paraId="6F645EEC" w14:textId="77777777" w:rsidR="006F43BE" w:rsidRDefault="006F43BE" w:rsidP="0003120B">
            <w:pPr>
              <w:spacing w:after="0" w:line="240" w:lineRule="auto"/>
              <w:jc w:val="center"/>
            </w:pPr>
            <w:r>
              <w:rPr>
                <w:rFonts w:ascii="Times New Roman" w:hAnsi="Times New Roman"/>
              </w:rPr>
              <w:t>-0.011039</w:t>
            </w:r>
          </w:p>
        </w:tc>
        <w:tc>
          <w:tcPr>
            <w:tcW w:w="1500" w:type="dxa"/>
            <w:tcMar>
              <w:top w:w="70" w:type="dxa"/>
              <w:left w:w="90" w:type="dxa"/>
              <w:bottom w:w="70" w:type="dxa"/>
              <w:right w:w="90" w:type="dxa"/>
            </w:tcMar>
            <w:vAlign w:val="center"/>
          </w:tcPr>
          <w:p w14:paraId="789A7A0B" w14:textId="77777777" w:rsidR="006F43BE" w:rsidRDefault="006F43BE" w:rsidP="0003120B">
            <w:pPr>
              <w:spacing w:after="0" w:line="240" w:lineRule="auto"/>
              <w:jc w:val="center"/>
            </w:pPr>
            <w:r>
              <w:rPr>
                <w:rFonts w:ascii="Times New Roman" w:hAnsi="Times New Roman"/>
              </w:rPr>
              <w:t>(0.016584)</w:t>
            </w:r>
          </w:p>
        </w:tc>
        <w:tc>
          <w:tcPr>
            <w:tcW w:w="1150" w:type="dxa"/>
            <w:tcMar>
              <w:top w:w="70" w:type="dxa"/>
              <w:left w:w="90" w:type="dxa"/>
              <w:bottom w:w="70" w:type="dxa"/>
              <w:right w:w="90" w:type="dxa"/>
            </w:tcMar>
            <w:vAlign w:val="center"/>
          </w:tcPr>
          <w:p w14:paraId="5948F101" w14:textId="77777777" w:rsidR="006F43BE" w:rsidRDefault="006F43BE" w:rsidP="0003120B">
            <w:pPr>
              <w:spacing w:after="0" w:line="240" w:lineRule="auto"/>
              <w:jc w:val="center"/>
            </w:pPr>
            <w:r>
              <w:rPr>
                <w:rFonts w:ascii="Times New Roman" w:hAnsi="Times New Roman"/>
              </w:rPr>
              <w:t>0.511</w:t>
            </w:r>
          </w:p>
        </w:tc>
        <w:tc>
          <w:tcPr>
            <w:tcW w:w="1150" w:type="dxa"/>
            <w:tcMar>
              <w:top w:w="70" w:type="dxa"/>
              <w:left w:w="90" w:type="dxa"/>
              <w:bottom w:w="70" w:type="dxa"/>
              <w:right w:w="90" w:type="dxa"/>
            </w:tcMar>
            <w:vAlign w:val="center"/>
          </w:tcPr>
          <w:p w14:paraId="5E529AB0" w14:textId="77777777" w:rsidR="006F43BE" w:rsidRDefault="006F43BE" w:rsidP="0003120B">
            <w:pPr>
              <w:spacing w:after="0" w:line="240" w:lineRule="auto"/>
              <w:jc w:val="center"/>
            </w:pPr>
            <w:r>
              <w:rPr>
                <w:rFonts w:ascii="Times New Roman" w:hAnsi="Times New Roman"/>
              </w:rPr>
              <w:t>6,301</w:t>
            </w:r>
          </w:p>
        </w:tc>
        <w:tc>
          <w:tcPr>
            <w:tcW w:w="750" w:type="dxa"/>
            <w:tcMar>
              <w:top w:w="70" w:type="dxa"/>
              <w:left w:w="90" w:type="dxa"/>
              <w:bottom w:w="70" w:type="dxa"/>
              <w:right w:w="90" w:type="dxa"/>
            </w:tcMar>
            <w:vAlign w:val="center"/>
          </w:tcPr>
          <w:p w14:paraId="22053E49" w14:textId="77777777" w:rsidR="006F43BE" w:rsidRDefault="006F43BE" w:rsidP="0003120B">
            <w:pPr>
              <w:spacing w:after="0" w:line="240" w:lineRule="auto"/>
              <w:jc w:val="center"/>
            </w:pPr>
            <w:r>
              <w:rPr>
                <w:rFonts w:ascii="Times New Roman" w:hAnsi="Times New Roman"/>
              </w:rPr>
              <w:t>30</w:t>
            </w:r>
          </w:p>
        </w:tc>
      </w:tr>
      <w:tr w:rsidR="006F43BE" w14:paraId="030BECA5" w14:textId="77777777" w:rsidTr="0003120B">
        <w:trPr>
          <w:trHeight w:val="420"/>
          <w:jc w:val="center"/>
        </w:trPr>
        <w:tc>
          <w:tcPr>
            <w:tcW w:w="3200" w:type="dxa"/>
            <w:tcMar>
              <w:top w:w="70" w:type="dxa"/>
              <w:left w:w="90" w:type="dxa"/>
              <w:bottom w:w="70" w:type="dxa"/>
              <w:right w:w="90" w:type="dxa"/>
            </w:tcMar>
            <w:vAlign w:val="center"/>
          </w:tcPr>
          <w:p w14:paraId="4F9F021D" w14:textId="77777777" w:rsidR="006F43BE" w:rsidRDefault="006F43BE" w:rsidP="0003120B">
            <w:pPr>
              <w:spacing w:after="0" w:line="240" w:lineRule="auto"/>
            </w:pPr>
            <w:r>
              <w:rPr>
                <w:rFonts w:ascii="Times New Roman" w:hAnsi="Times New Roman"/>
              </w:rPr>
              <w:t>Extended window: PPML residual count</w:t>
            </w:r>
          </w:p>
        </w:tc>
        <w:tc>
          <w:tcPr>
            <w:tcW w:w="1350" w:type="dxa"/>
            <w:tcMar>
              <w:top w:w="70" w:type="dxa"/>
              <w:left w:w="90" w:type="dxa"/>
              <w:bottom w:w="70" w:type="dxa"/>
              <w:right w:w="90" w:type="dxa"/>
            </w:tcMar>
            <w:vAlign w:val="center"/>
          </w:tcPr>
          <w:p w14:paraId="2220F093" w14:textId="77777777" w:rsidR="006F43BE" w:rsidRDefault="006F43BE" w:rsidP="0003120B">
            <w:pPr>
              <w:spacing w:after="0" w:line="240" w:lineRule="auto"/>
              <w:jc w:val="center"/>
            </w:pPr>
            <w:r>
              <w:rPr>
                <w:rFonts w:ascii="Times New Roman" w:hAnsi="Times New Roman"/>
              </w:rPr>
              <w:t>-0.013270</w:t>
            </w:r>
          </w:p>
        </w:tc>
        <w:tc>
          <w:tcPr>
            <w:tcW w:w="1500" w:type="dxa"/>
            <w:tcMar>
              <w:top w:w="70" w:type="dxa"/>
              <w:left w:w="90" w:type="dxa"/>
              <w:bottom w:w="70" w:type="dxa"/>
              <w:right w:w="90" w:type="dxa"/>
            </w:tcMar>
            <w:vAlign w:val="center"/>
          </w:tcPr>
          <w:p w14:paraId="64B9E94D" w14:textId="77777777" w:rsidR="006F43BE" w:rsidRDefault="006F43BE" w:rsidP="0003120B">
            <w:pPr>
              <w:spacing w:after="0" w:line="240" w:lineRule="auto"/>
              <w:jc w:val="center"/>
            </w:pPr>
            <w:r>
              <w:rPr>
                <w:rFonts w:ascii="Times New Roman" w:hAnsi="Times New Roman"/>
              </w:rPr>
              <w:t>(0.016604)</w:t>
            </w:r>
          </w:p>
        </w:tc>
        <w:tc>
          <w:tcPr>
            <w:tcW w:w="1150" w:type="dxa"/>
            <w:tcMar>
              <w:top w:w="70" w:type="dxa"/>
              <w:left w:w="90" w:type="dxa"/>
              <w:bottom w:w="70" w:type="dxa"/>
              <w:right w:w="90" w:type="dxa"/>
            </w:tcMar>
            <w:vAlign w:val="center"/>
          </w:tcPr>
          <w:p w14:paraId="4B382E20" w14:textId="77777777" w:rsidR="006F43BE" w:rsidRDefault="006F43BE" w:rsidP="0003120B">
            <w:pPr>
              <w:spacing w:after="0" w:line="240" w:lineRule="auto"/>
              <w:jc w:val="center"/>
            </w:pPr>
            <w:r>
              <w:rPr>
                <w:rFonts w:ascii="Times New Roman" w:hAnsi="Times New Roman"/>
              </w:rPr>
              <w:t>0.431</w:t>
            </w:r>
          </w:p>
        </w:tc>
        <w:tc>
          <w:tcPr>
            <w:tcW w:w="1150" w:type="dxa"/>
            <w:tcMar>
              <w:top w:w="70" w:type="dxa"/>
              <w:left w:w="90" w:type="dxa"/>
              <w:bottom w:w="70" w:type="dxa"/>
              <w:right w:w="90" w:type="dxa"/>
            </w:tcMar>
            <w:vAlign w:val="center"/>
          </w:tcPr>
          <w:p w14:paraId="454E64D4" w14:textId="77777777" w:rsidR="006F43BE" w:rsidRDefault="006F43BE" w:rsidP="0003120B">
            <w:pPr>
              <w:spacing w:after="0" w:line="240" w:lineRule="auto"/>
              <w:jc w:val="center"/>
            </w:pPr>
            <w:r>
              <w:rPr>
                <w:rFonts w:ascii="Times New Roman" w:hAnsi="Times New Roman"/>
              </w:rPr>
              <w:t>6,300</w:t>
            </w:r>
          </w:p>
        </w:tc>
        <w:tc>
          <w:tcPr>
            <w:tcW w:w="750" w:type="dxa"/>
            <w:tcMar>
              <w:top w:w="70" w:type="dxa"/>
              <w:left w:w="90" w:type="dxa"/>
              <w:bottom w:w="70" w:type="dxa"/>
              <w:right w:w="90" w:type="dxa"/>
            </w:tcMar>
            <w:vAlign w:val="center"/>
          </w:tcPr>
          <w:p w14:paraId="6B7F05BC" w14:textId="77777777" w:rsidR="006F43BE" w:rsidRDefault="006F43BE" w:rsidP="0003120B">
            <w:pPr>
              <w:spacing w:after="0" w:line="240" w:lineRule="auto"/>
              <w:jc w:val="center"/>
            </w:pPr>
            <w:r>
              <w:rPr>
                <w:rFonts w:ascii="Times New Roman" w:hAnsi="Times New Roman"/>
              </w:rPr>
              <w:t>30</w:t>
            </w:r>
          </w:p>
        </w:tc>
      </w:tr>
    </w:tbl>
    <w:p w14:paraId="7B822644" w14:textId="77777777" w:rsidR="006F43BE" w:rsidRPr="006B4C5C" w:rsidRDefault="006F43BE" w:rsidP="006F43BE">
      <w:pPr>
        <w:jc w:val="center"/>
      </w:pPr>
      <w:r>
        <w:rPr>
          <w:rFonts w:eastAsia="Times New Roman"/>
          <w:sz w:val="18"/>
          <w:szCs w:val="18"/>
        </w:rPr>
        <w:t>Table A.1 note. *** p &lt; 0.01, ** p &lt; 0.05, * p &lt; 0.10. PPML count-model results with the 2020 outcome year added to the estimation window. All rows use destination and origin-year fixed effects, the skill-target policy controls, and lagged destination unemployment and GDP growth. Fixed-effect groups with all-zero outcomes are removed before estimation. The focal regressor is the lagged cumulative all-migrant-worker score. Standard errors are clustered by destination.</w:t>
      </w:r>
    </w:p>
    <w:p w14:paraId="4B0304FA" w14:textId="77777777" w:rsidR="007A581E" w:rsidRDefault="007A581E" w:rsidP="006F43BE">
      <w:pPr>
        <w:pStyle w:val="Heading1"/>
      </w:pPr>
    </w:p>
    <w:sectPr w:rsidR="007A581E" w:rsidSect="00110134">
      <w:footerReference w:type="even" r:id="rId13"/>
      <w:footerReference w:type="default" r:id="rId14"/>
      <w:footerReference w:type="first" r:id="rId15"/>
      <w:pgSz w:w="11906" w:h="16838"/>
      <w:pgMar w:top="1440" w:right="1440" w:bottom="1440"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ACE3E8" w14:textId="77777777" w:rsidR="00935DFB" w:rsidRDefault="00935DFB">
      <w:pPr>
        <w:spacing w:after="0" w:line="240" w:lineRule="auto"/>
      </w:pPr>
      <w:r>
        <w:separator/>
      </w:r>
    </w:p>
  </w:endnote>
  <w:endnote w:type="continuationSeparator" w:id="0">
    <w:p w14:paraId="58616EE5" w14:textId="77777777" w:rsidR="00935DFB" w:rsidRDefault="00935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392770"/>
      <w:docPartObj>
        <w:docPartGallery w:val="Page Numbers (Bottom of Page)"/>
        <w:docPartUnique/>
      </w:docPartObj>
    </w:sdtPr>
    <w:sdtContent>
      <w:p w14:paraId="56A2EC3C"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308F7">
          <w:rPr>
            <w:rStyle w:val="PageNumber"/>
            <w:noProof/>
          </w:rPr>
          <w:t>0</w:t>
        </w:r>
        <w:r>
          <w:rPr>
            <w:rStyle w:val="PageNumber"/>
          </w:rPr>
          <w:fldChar w:fldCharType="end"/>
        </w:r>
      </w:p>
    </w:sdtContent>
  </w:sdt>
  <w:p w14:paraId="434DB07C" w14:textId="77777777" w:rsidR="00961C7F" w:rsidRDefault="00961C7F" w:rsidP="00D07B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0813983"/>
      <w:docPartObj>
        <w:docPartGallery w:val="Page Numbers (Bottom of Page)"/>
        <w:docPartUnique/>
      </w:docPartObj>
    </w:sdtPr>
    <w:sdtContent>
      <w:p w14:paraId="213F0EC3"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2613DA" w14:textId="77777777" w:rsidR="00961C7F" w:rsidRDefault="00961C7F" w:rsidP="00D07BFE">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2DF5E3" w14:textId="77777777" w:rsidR="00961C7F" w:rsidRDefault="00961C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4FC616" w14:textId="77777777" w:rsidR="00935DFB" w:rsidRDefault="00935DFB">
      <w:pPr>
        <w:spacing w:after="0" w:line="240" w:lineRule="auto"/>
      </w:pPr>
      <w:r>
        <w:separator/>
      </w:r>
    </w:p>
  </w:footnote>
  <w:footnote w:type="continuationSeparator" w:id="0">
    <w:p w14:paraId="4E4D5014" w14:textId="77777777" w:rsidR="00935DFB" w:rsidRDefault="00935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D5460"/>
    <w:multiLevelType w:val="multilevel"/>
    <w:tmpl w:val="7B4EC0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E84285"/>
    <w:multiLevelType w:val="multilevel"/>
    <w:tmpl w:val="4C9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446"/>
    <w:multiLevelType w:val="multilevel"/>
    <w:tmpl w:val="F696598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0B2E83"/>
    <w:multiLevelType w:val="multilevel"/>
    <w:tmpl w:val="2D5C85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9B34AF9"/>
    <w:multiLevelType w:val="multilevel"/>
    <w:tmpl w:val="11FAE15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1825701"/>
    <w:multiLevelType w:val="multilevel"/>
    <w:tmpl w:val="13CCC17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1CB5AAB"/>
    <w:multiLevelType w:val="multilevel"/>
    <w:tmpl w:val="3154C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559536A"/>
    <w:multiLevelType w:val="multilevel"/>
    <w:tmpl w:val="7D4E7F0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55402037">
    <w:abstractNumId w:val="0"/>
  </w:num>
  <w:num w:numId="2" w16cid:durableId="2000107803">
    <w:abstractNumId w:val="5"/>
  </w:num>
  <w:num w:numId="3" w16cid:durableId="129830941">
    <w:abstractNumId w:val="4"/>
  </w:num>
  <w:num w:numId="4" w16cid:durableId="1936671606">
    <w:abstractNumId w:val="3"/>
  </w:num>
  <w:num w:numId="5" w16cid:durableId="448167499">
    <w:abstractNumId w:val="2"/>
  </w:num>
  <w:num w:numId="6" w16cid:durableId="932131006">
    <w:abstractNumId w:val="7"/>
  </w:num>
  <w:num w:numId="7" w16cid:durableId="646203098">
    <w:abstractNumId w:val="6"/>
  </w:num>
  <w:num w:numId="8" w16cid:durableId="4777718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7F"/>
    <w:rsid w:val="00000045"/>
    <w:rsid w:val="00015A9F"/>
    <w:rsid w:val="0002048E"/>
    <w:rsid w:val="00020699"/>
    <w:rsid w:val="00021A30"/>
    <w:rsid w:val="0002732B"/>
    <w:rsid w:val="00030F12"/>
    <w:rsid w:val="00042715"/>
    <w:rsid w:val="000429BE"/>
    <w:rsid w:val="00047EE9"/>
    <w:rsid w:val="000603F0"/>
    <w:rsid w:val="00070FB9"/>
    <w:rsid w:val="00076A46"/>
    <w:rsid w:val="000811E2"/>
    <w:rsid w:val="00081F09"/>
    <w:rsid w:val="000B1F67"/>
    <w:rsid w:val="000B2D80"/>
    <w:rsid w:val="000B2FDA"/>
    <w:rsid w:val="000B4630"/>
    <w:rsid w:val="000B7C97"/>
    <w:rsid w:val="000E119A"/>
    <w:rsid w:val="000E3DD6"/>
    <w:rsid w:val="000E7EDD"/>
    <w:rsid w:val="000F5E30"/>
    <w:rsid w:val="00104A58"/>
    <w:rsid w:val="00110134"/>
    <w:rsid w:val="00113378"/>
    <w:rsid w:val="00121144"/>
    <w:rsid w:val="00122F06"/>
    <w:rsid w:val="00126638"/>
    <w:rsid w:val="00127D53"/>
    <w:rsid w:val="0013305C"/>
    <w:rsid w:val="001430F9"/>
    <w:rsid w:val="00145308"/>
    <w:rsid w:val="00150861"/>
    <w:rsid w:val="0015174C"/>
    <w:rsid w:val="00154E3D"/>
    <w:rsid w:val="00155B9B"/>
    <w:rsid w:val="00162473"/>
    <w:rsid w:val="00166245"/>
    <w:rsid w:val="00171D74"/>
    <w:rsid w:val="00176216"/>
    <w:rsid w:val="001766DC"/>
    <w:rsid w:val="0018623C"/>
    <w:rsid w:val="00192701"/>
    <w:rsid w:val="00196C82"/>
    <w:rsid w:val="0019712D"/>
    <w:rsid w:val="001A2A72"/>
    <w:rsid w:val="001B050E"/>
    <w:rsid w:val="001B2FA0"/>
    <w:rsid w:val="001B5A82"/>
    <w:rsid w:val="001B5D99"/>
    <w:rsid w:val="001C0728"/>
    <w:rsid w:val="001C1D53"/>
    <w:rsid w:val="001C2133"/>
    <w:rsid w:val="001C71E0"/>
    <w:rsid w:val="001C76C3"/>
    <w:rsid w:val="001D720F"/>
    <w:rsid w:val="001E10AF"/>
    <w:rsid w:val="001E243F"/>
    <w:rsid w:val="001F01AC"/>
    <w:rsid w:val="001F0399"/>
    <w:rsid w:val="001F13DA"/>
    <w:rsid w:val="001F1A4D"/>
    <w:rsid w:val="001F1C47"/>
    <w:rsid w:val="001F3CCB"/>
    <w:rsid w:val="001F4F71"/>
    <w:rsid w:val="001F7EAF"/>
    <w:rsid w:val="00205D98"/>
    <w:rsid w:val="00206B52"/>
    <w:rsid w:val="0021198F"/>
    <w:rsid w:val="00214486"/>
    <w:rsid w:val="002225A5"/>
    <w:rsid w:val="002467CE"/>
    <w:rsid w:val="002616A2"/>
    <w:rsid w:val="002653E2"/>
    <w:rsid w:val="00266E24"/>
    <w:rsid w:val="002751DF"/>
    <w:rsid w:val="002826C5"/>
    <w:rsid w:val="00283D9C"/>
    <w:rsid w:val="002846CB"/>
    <w:rsid w:val="00284F83"/>
    <w:rsid w:val="0029161A"/>
    <w:rsid w:val="002931AB"/>
    <w:rsid w:val="00297800"/>
    <w:rsid w:val="002A3D03"/>
    <w:rsid w:val="002B1731"/>
    <w:rsid w:val="002B3974"/>
    <w:rsid w:val="002B5A0E"/>
    <w:rsid w:val="002C1230"/>
    <w:rsid w:val="002C1537"/>
    <w:rsid w:val="002C6307"/>
    <w:rsid w:val="002C7F1E"/>
    <w:rsid w:val="002D15B3"/>
    <w:rsid w:val="002D3D0D"/>
    <w:rsid w:val="002D3F88"/>
    <w:rsid w:val="002D4E46"/>
    <w:rsid w:val="002E65FC"/>
    <w:rsid w:val="002F1220"/>
    <w:rsid w:val="002F1F70"/>
    <w:rsid w:val="002F200E"/>
    <w:rsid w:val="002F228E"/>
    <w:rsid w:val="002F467F"/>
    <w:rsid w:val="002F6AA4"/>
    <w:rsid w:val="002F7C4F"/>
    <w:rsid w:val="00301CA5"/>
    <w:rsid w:val="003057D9"/>
    <w:rsid w:val="00306815"/>
    <w:rsid w:val="003125F5"/>
    <w:rsid w:val="00313B8D"/>
    <w:rsid w:val="00316082"/>
    <w:rsid w:val="00316B19"/>
    <w:rsid w:val="00330D13"/>
    <w:rsid w:val="00330DA4"/>
    <w:rsid w:val="00332349"/>
    <w:rsid w:val="00333C79"/>
    <w:rsid w:val="00335227"/>
    <w:rsid w:val="003355F9"/>
    <w:rsid w:val="003578D0"/>
    <w:rsid w:val="00360721"/>
    <w:rsid w:val="00366A86"/>
    <w:rsid w:val="00371037"/>
    <w:rsid w:val="00373C53"/>
    <w:rsid w:val="00380AD2"/>
    <w:rsid w:val="0038122C"/>
    <w:rsid w:val="00384A5D"/>
    <w:rsid w:val="00386E95"/>
    <w:rsid w:val="00394DC2"/>
    <w:rsid w:val="003A1B6D"/>
    <w:rsid w:val="003A3C70"/>
    <w:rsid w:val="003A48EC"/>
    <w:rsid w:val="003A4ECA"/>
    <w:rsid w:val="003A7C7E"/>
    <w:rsid w:val="003A7F85"/>
    <w:rsid w:val="003B01EC"/>
    <w:rsid w:val="003B1385"/>
    <w:rsid w:val="003B55D1"/>
    <w:rsid w:val="003C6E20"/>
    <w:rsid w:val="003C717D"/>
    <w:rsid w:val="003C7D46"/>
    <w:rsid w:val="003D3B27"/>
    <w:rsid w:val="003D53F0"/>
    <w:rsid w:val="003E1F82"/>
    <w:rsid w:val="003E709B"/>
    <w:rsid w:val="003E7B8F"/>
    <w:rsid w:val="003F1AD1"/>
    <w:rsid w:val="003F7383"/>
    <w:rsid w:val="00400102"/>
    <w:rsid w:val="00401080"/>
    <w:rsid w:val="004015D2"/>
    <w:rsid w:val="00405253"/>
    <w:rsid w:val="004076DB"/>
    <w:rsid w:val="00413303"/>
    <w:rsid w:val="00417C44"/>
    <w:rsid w:val="004206BE"/>
    <w:rsid w:val="00426988"/>
    <w:rsid w:val="00430DAC"/>
    <w:rsid w:val="00434413"/>
    <w:rsid w:val="0043476F"/>
    <w:rsid w:val="004363D6"/>
    <w:rsid w:val="00442D74"/>
    <w:rsid w:val="004435C1"/>
    <w:rsid w:val="00446F2F"/>
    <w:rsid w:val="0045164A"/>
    <w:rsid w:val="004517AA"/>
    <w:rsid w:val="004519ED"/>
    <w:rsid w:val="004557DB"/>
    <w:rsid w:val="00465C6B"/>
    <w:rsid w:val="00465E31"/>
    <w:rsid w:val="004818D5"/>
    <w:rsid w:val="00482E0B"/>
    <w:rsid w:val="004854B9"/>
    <w:rsid w:val="004868E9"/>
    <w:rsid w:val="004A7B00"/>
    <w:rsid w:val="004B03E8"/>
    <w:rsid w:val="004B2CEC"/>
    <w:rsid w:val="004B3C85"/>
    <w:rsid w:val="004B4196"/>
    <w:rsid w:val="004C1830"/>
    <w:rsid w:val="004C2F8C"/>
    <w:rsid w:val="004C3B03"/>
    <w:rsid w:val="004C62F2"/>
    <w:rsid w:val="004C7B18"/>
    <w:rsid w:val="004D017C"/>
    <w:rsid w:val="004E18CD"/>
    <w:rsid w:val="004E2BF6"/>
    <w:rsid w:val="004E3523"/>
    <w:rsid w:val="004E372B"/>
    <w:rsid w:val="004F2F84"/>
    <w:rsid w:val="004F4900"/>
    <w:rsid w:val="00512C81"/>
    <w:rsid w:val="005263DD"/>
    <w:rsid w:val="00526A4F"/>
    <w:rsid w:val="00530057"/>
    <w:rsid w:val="00534A3C"/>
    <w:rsid w:val="00535562"/>
    <w:rsid w:val="005415D4"/>
    <w:rsid w:val="00542E2D"/>
    <w:rsid w:val="005441FF"/>
    <w:rsid w:val="00547BC7"/>
    <w:rsid w:val="00550ECD"/>
    <w:rsid w:val="00552452"/>
    <w:rsid w:val="0056096A"/>
    <w:rsid w:val="005742DE"/>
    <w:rsid w:val="00577705"/>
    <w:rsid w:val="00580EF0"/>
    <w:rsid w:val="00581F8F"/>
    <w:rsid w:val="00584109"/>
    <w:rsid w:val="0058450B"/>
    <w:rsid w:val="005925DD"/>
    <w:rsid w:val="005941BA"/>
    <w:rsid w:val="00595785"/>
    <w:rsid w:val="005A11F9"/>
    <w:rsid w:val="005A1A0F"/>
    <w:rsid w:val="005B6AEB"/>
    <w:rsid w:val="005C00DF"/>
    <w:rsid w:val="005C1E4C"/>
    <w:rsid w:val="005C3DDC"/>
    <w:rsid w:val="005D3B81"/>
    <w:rsid w:val="005E166E"/>
    <w:rsid w:val="005E60E1"/>
    <w:rsid w:val="005E7E98"/>
    <w:rsid w:val="005F007F"/>
    <w:rsid w:val="005F1C31"/>
    <w:rsid w:val="00604AAF"/>
    <w:rsid w:val="00610185"/>
    <w:rsid w:val="00611027"/>
    <w:rsid w:val="006124AC"/>
    <w:rsid w:val="00635963"/>
    <w:rsid w:val="00640B9D"/>
    <w:rsid w:val="00641F9A"/>
    <w:rsid w:val="00643BC5"/>
    <w:rsid w:val="00644C85"/>
    <w:rsid w:val="00647246"/>
    <w:rsid w:val="00651B03"/>
    <w:rsid w:val="00664284"/>
    <w:rsid w:val="0066499F"/>
    <w:rsid w:val="006744B1"/>
    <w:rsid w:val="00683D9D"/>
    <w:rsid w:val="006858D5"/>
    <w:rsid w:val="0069536D"/>
    <w:rsid w:val="00695FE4"/>
    <w:rsid w:val="00696B3F"/>
    <w:rsid w:val="00696D8A"/>
    <w:rsid w:val="006A0F4A"/>
    <w:rsid w:val="006A1D5C"/>
    <w:rsid w:val="006B0301"/>
    <w:rsid w:val="006B0BBD"/>
    <w:rsid w:val="006B2D63"/>
    <w:rsid w:val="006B4C5C"/>
    <w:rsid w:val="006C70A2"/>
    <w:rsid w:val="006C792F"/>
    <w:rsid w:val="006D136D"/>
    <w:rsid w:val="006E4834"/>
    <w:rsid w:val="006E5755"/>
    <w:rsid w:val="006E7929"/>
    <w:rsid w:val="006F05BB"/>
    <w:rsid w:val="006F3032"/>
    <w:rsid w:val="006F43BE"/>
    <w:rsid w:val="00700FB9"/>
    <w:rsid w:val="007044C6"/>
    <w:rsid w:val="00707635"/>
    <w:rsid w:val="00714729"/>
    <w:rsid w:val="007308F7"/>
    <w:rsid w:val="00733871"/>
    <w:rsid w:val="0073690B"/>
    <w:rsid w:val="007370E2"/>
    <w:rsid w:val="0074059F"/>
    <w:rsid w:val="00753683"/>
    <w:rsid w:val="00754752"/>
    <w:rsid w:val="00755367"/>
    <w:rsid w:val="00762DD7"/>
    <w:rsid w:val="00764EA8"/>
    <w:rsid w:val="00767A2B"/>
    <w:rsid w:val="00767FB5"/>
    <w:rsid w:val="00773048"/>
    <w:rsid w:val="007744FA"/>
    <w:rsid w:val="007830C2"/>
    <w:rsid w:val="0078507D"/>
    <w:rsid w:val="00786A54"/>
    <w:rsid w:val="00791657"/>
    <w:rsid w:val="00795A4F"/>
    <w:rsid w:val="00796565"/>
    <w:rsid w:val="00797718"/>
    <w:rsid w:val="007A02D5"/>
    <w:rsid w:val="007A068A"/>
    <w:rsid w:val="007A1105"/>
    <w:rsid w:val="007A373B"/>
    <w:rsid w:val="007A5132"/>
    <w:rsid w:val="007A581E"/>
    <w:rsid w:val="007C30F5"/>
    <w:rsid w:val="007C6C25"/>
    <w:rsid w:val="007D00AB"/>
    <w:rsid w:val="007D1ADB"/>
    <w:rsid w:val="007E07B4"/>
    <w:rsid w:val="007F06D5"/>
    <w:rsid w:val="007F2062"/>
    <w:rsid w:val="007F206C"/>
    <w:rsid w:val="007F37E3"/>
    <w:rsid w:val="0080086E"/>
    <w:rsid w:val="0080550A"/>
    <w:rsid w:val="00827A31"/>
    <w:rsid w:val="00835813"/>
    <w:rsid w:val="008432A6"/>
    <w:rsid w:val="00846083"/>
    <w:rsid w:val="00854085"/>
    <w:rsid w:val="00866DF5"/>
    <w:rsid w:val="0087224D"/>
    <w:rsid w:val="0087275C"/>
    <w:rsid w:val="008741A0"/>
    <w:rsid w:val="00877AB5"/>
    <w:rsid w:val="00886B41"/>
    <w:rsid w:val="00887E1D"/>
    <w:rsid w:val="008903C6"/>
    <w:rsid w:val="00894743"/>
    <w:rsid w:val="00895870"/>
    <w:rsid w:val="008A042F"/>
    <w:rsid w:val="008B4845"/>
    <w:rsid w:val="008B5BCF"/>
    <w:rsid w:val="008B5D57"/>
    <w:rsid w:val="008B7D16"/>
    <w:rsid w:val="008B7E8A"/>
    <w:rsid w:val="008D02C0"/>
    <w:rsid w:val="008D1D22"/>
    <w:rsid w:val="008D6D9A"/>
    <w:rsid w:val="008F026E"/>
    <w:rsid w:val="008F4D9C"/>
    <w:rsid w:val="008F5A41"/>
    <w:rsid w:val="00900069"/>
    <w:rsid w:val="0090268D"/>
    <w:rsid w:val="00902B26"/>
    <w:rsid w:val="00904C3F"/>
    <w:rsid w:val="00911FF1"/>
    <w:rsid w:val="009137DE"/>
    <w:rsid w:val="009164F4"/>
    <w:rsid w:val="00916BEB"/>
    <w:rsid w:val="009204CE"/>
    <w:rsid w:val="0092103A"/>
    <w:rsid w:val="00924A14"/>
    <w:rsid w:val="00931B14"/>
    <w:rsid w:val="009338E7"/>
    <w:rsid w:val="0093432A"/>
    <w:rsid w:val="00935DFB"/>
    <w:rsid w:val="00937886"/>
    <w:rsid w:val="009401EE"/>
    <w:rsid w:val="0094345F"/>
    <w:rsid w:val="009437F8"/>
    <w:rsid w:val="00943825"/>
    <w:rsid w:val="00943A63"/>
    <w:rsid w:val="00947FE5"/>
    <w:rsid w:val="00951F4D"/>
    <w:rsid w:val="0095441C"/>
    <w:rsid w:val="00955246"/>
    <w:rsid w:val="009560CF"/>
    <w:rsid w:val="009572AE"/>
    <w:rsid w:val="00961C7F"/>
    <w:rsid w:val="00967482"/>
    <w:rsid w:val="009730D9"/>
    <w:rsid w:val="00981EE0"/>
    <w:rsid w:val="00982B48"/>
    <w:rsid w:val="00983C9A"/>
    <w:rsid w:val="00984DDF"/>
    <w:rsid w:val="00994FB4"/>
    <w:rsid w:val="00996A6D"/>
    <w:rsid w:val="009A0EA9"/>
    <w:rsid w:val="009A5721"/>
    <w:rsid w:val="009B38C0"/>
    <w:rsid w:val="009B46DD"/>
    <w:rsid w:val="009B5F95"/>
    <w:rsid w:val="009C25B8"/>
    <w:rsid w:val="009C3434"/>
    <w:rsid w:val="009C73F0"/>
    <w:rsid w:val="009D4E6F"/>
    <w:rsid w:val="009E38FF"/>
    <w:rsid w:val="00A03C33"/>
    <w:rsid w:val="00A15C45"/>
    <w:rsid w:val="00A26942"/>
    <w:rsid w:val="00A30AFB"/>
    <w:rsid w:val="00A36F18"/>
    <w:rsid w:val="00A37F31"/>
    <w:rsid w:val="00A44E5D"/>
    <w:rsid w:val="00A4574A"/>
    <w:rsid w:val="00A463E3"/>
    <w:rsid w:val="00A52AD1"/>
    <w:rsid w:val="00A53991"/>
    <w:rsid w:val="00A55DD0"/>
    <w:rsid w:val="00A65EA8"/>
    <w:rsid w:val="00A66ED8"/>
    <w:rsid w:val="00A677BC"/>
    <w:rsid w:val="00A817C7"/>
    <w:rsid w:val="00A820E1"/>
    <w:rsid w:val="00A835A0"/>
    <w:rsid w:val="00A93590"/>
    <w:rsid w:val="00A93D57"/>
    <w:rsid w:val="00A93FEC"/>
    <w:rsid w:val="00A979B9"/>
    <w:rsid w:val="00AA1B72"/>
    <w:rsid w:val="00AA5FAE"/>
    <w:rsid w:val="00AC6339"/>
    <w:rsid w:val="00AD1864"/>
    <w:rsid w:val="00AD7C4C"/>
    <w:rsid w:val="00AE50C2"/>
    <w:rsid w:val="00AF385B"/>
    <w:rsid w:val="00AF669C"/>
    <w:rsid w:val="00B048AD"/>
    <w:rsid w:val="00B13604"/>
    <w:rsid w:val="00B15532"/>
    <w:rsid w:val="00B201DE"/>
    <w:rsid w:val="00B21E8F"/>
    <w:rsid w:val="00B22907"/>
    <w:rsid w:val="00B252B2"/>
    <w:rsid w:val="00B33902"/>
    <w:rsid w:val="00B36C51"/>
    <w:rsid w:val="00B42A15"/>
    <w:rsid w:val="00B5491B"/>
    <w:rsid w:val="00B56C27"/>
    <w:rsid w:val="00B65436"/>
    <w:rsid w:val="00B7302D"/>
    <w:rsid w:val="00B754C4"/>
    <w:rsid w:val="00B76B02"/>
    <w:rsid w:val="00B85006"/>
    <w:rsid w:val="00B866BE"/>
    <w:rsid w:val="00BA0058"/>
    <w:rsid w:val="00BA150C"/>
    <w:rsid w:val="00BA3425"/>
    <w:rsid w:val="00BB177F"/>
    <w:rsid w:val="00BB34D0"/>
    <w:rsid w:val="00BB3EB7"/>
    <w:rsid w:val="00BB7186"/>
    <w:rsid w:val="00BC7C91"/>
    <w:rsid w:val="00BD2641"/>
    <w:rsid w:val="00BD5678"/>
    <w:rsid w:val="00BE1F08"/>
    <w:rsid w:val="00BF6225"/>
    <w:rsid w:val="00C01291"/>
    <w:rsid w:val="00C16AF5"/>
    <w:rsid w:val="00C30B65"/>
    <w:rsid w:val="00C3283A"/>
    <w:rsid w:val="00C33912"/>
    <w:rsid w:val="00C36469"/>
    <w:rsid w:val="00C47373"/>
    <w:rsid w:val="00C521A8"/>
    <w:rsid w:val="00C65C5E"/>
    <w:rsid w:val="00C66C61"/>
    <w:rsid w:val="00C70AE2"/>
    <w:rsid w:val="00C7386E"/>
    <w:rsid w:val="00C82A2F"/>
    <w:rsid w:val="00C91710"/>
    <w:rsid w:val="00C96DCA"/>
    <w:rsid w:val="00C97636"/>
    <w:rsid w:val="00CA1BEF"/>
    <w:rsid w:val="00CC08BA"/>
    <w:rsid w:val="00CC4614"/>
    <w:rsid w:val="00CC60C8"/>
    <w:rsid w:val="00CD1970"/>
    <w:rsid w:val="00CE22B2"/>
    <w:rsid w:val="00CE30CA"/>
    <w:rsid w:val="00CE31C6"/>
    <w:rsid w:val="00CE5CD3"/>
    <w:rsid w:val="00CE78D2"/>
    <w:rsid w:val="00CE7D5A"/>
    <w:rsid w:val="00CE7FC0"/>
    <w:rsid w:val="00CF07BA"/>
    <w:rsid w:val="00CF3079"/>
    <w:rsid w:val="00D03934"/>
    <w:rsid w:val="00D07BFE"/>
    <w:rsid w:val="00D14EBC"/>
    <w:rsid w:val="00D300B4"/>
    <w:rsid w:val="00D31C06"/>
    <w:rsid w:val="00D332B1"/>
    <w:rsid w:val="00D35B7A"/>
    <w:rsid w:val="00D55C22"/>
    <w:rsid w:val="00D56D52"/>
    <w:rsid w:val="00D618C4"/>
    <w:rsid w:val="00D77B33"/>
    <w:rsid w:val="00D8575E"/>
    <w:rsid w:val="00D86FD8"/>
    <w:rsid w:val="00D9011E"/>
    <w:rsid w:val="00D90141"/>
    <w:rsid w:val="00D9789B"/>
    <w:rsid w:val="00DA0408"/>
    <w:rsid w:val="00DB02B5"/>
    <w:rsid w:val="00DC118B"/>
    <w:rsid w:val="00DD1065"/>
    <w:rsid w:val="00DD5F96"/>
    <w:rsid w:val="00DD6CB2"/>
    <w:rsid w:val="00DD7F5B"/>
    <w:rsid w:val="00DE5B64"/>
    <w:rsid w:val="00DF1A45"/>
    <w:rsid w:val="00DF314E"/>
    <w:rsid w:val="00DF370F"/>
    <w:rsid w:val="00E01AAB"/>
    <w:rsid w:val="00E0515B"/>
    <w:rsid w:val="00E064AD"/>
    <w:rsid w:val="00E10D64"/>
    <w:rsid w:val="00E12E2C"/>
    <w:rsid w:val="00E139AB"/>
    <w:rsid w:val="00E33ABE"/>
    <w:rsid w:val="00E33BF2"/>
    <w:rsid w:val="00E3479C"/>
    <w:rsid w:val="00E366A6"/>
    <w:rsid w:val="00E44063"/>
    <w:rsid w:val="00E44B12"/>
    <w:rsid w:val="00E46317"/>
    <w:rsid w:val="00E472CB"/>
    <w:rsid w:val="00E53EC8"/>
    <w:rsid w:val="00E54AF7"/>
    <w:rsid w:val="00E57AB7"/>
    <w:rsid w:val="00E64BB6"/>
    <w:rsid w:val="00E67427"/>
    <w:rsid w:val="00E727F2"/>
    <w:rsid w:val="00E83EF9"/>
    <w:rsid w:val="00E90F84"/>
    <w:rsid w:val="00E9740F"/>
    <w:rsid w:val="00EA2AC0"/>
    <w:rsid w:val="00EB43CE"/>
    <w:rsid w:val="00EC48F9"/>
    <w:rsid w:val="00EC50BB"/>
    <w:rsid w:val="00EC7B2B"/>
    <w:rsid w:val="00ED2F3F"/>
    <w:rsid w:val="00ED6820"/>
    <w:rsid w:val="00ED71C4"/>
    <w:rsid w:val="00EE0468"/>
    <w:rsid w:val="00EE0F17"/>
    <w:rsid w:val="00EE1E4B"/>
    <w:rsid w:val="00EE2413"/>
    <w:rsid w:val="00EE33A0"/>
    <w:rsid w:val="00EE33A6"/>
    <w:rsid w:val="00EE368F"/>
    <w:rsid w:val="00EE76E2"/>
    <w:rsid w:val="00EF0BFF"/>
    <w:rsid w:val="00EF3B61"/>
    <w:rsid w:val="00EF7376"/>
    <w:rsid w:val="00F0199F"/>
    <w:rsid w:val="00F05ADF"/>
    <w:rsid w:val="00F16275"/>
    <w:rsid w:val="00F211D9"/>
    <w:rsid w:val="00F239B6"/>
    <w:rsid w:val="00F23DFD"/>
    <w:rsid w:val="00F25AAB"/>
    <w:rsid w:val="00F3005C"/>
    <w:rsid w:val="00F30D20"/>
    <w:rsid w:val="00F36226"/>
    <w:rsid w:val="00F4202F"/>
    <w:rsid w:val="00F52F35"/>
    <w:rsid w:val="00F661AC"/>
    <w:rsid w:val="00F67210"/>
    <w:rsid w:val="00F70AF0"/>
    <w:rsid w:val="00F815A3"/>
    <w:rsid w:val="00F821CB"/>
    <w:rsid w:val="00F84AC3"/>
    <w:rsid w:val="00F86F57"/>
    <w:rsid w:val="00F93585"/>
    <w:rsid w:val="00FB5400"/>
    <w:rsid w:val="00FB5D7A"/>
    <w:rsid w:val="00FC0888"/>
    <w:rsid w:val="00FC0FE3"/>
    <w:rsid w:val="00FC1310"/>
    <w:rsid w:val="00FC7713"/>
    <w:rsid w:val="00FD065E"/>
    <w:rsid w:val="00FD11E2"/>
    <w:rsid w:val="00FD3DF8"/>
    <w:rsid w:val="00FE47F1"/>
    <w:rsid w:val="00FE7ACB"/>
    <w:rsid w:val="00FF0547"/>
    <w:rsid w:val="00FF0672"/>
    <w:rsid w:val="00FF2D0F"/>
    <w:rsid w:val="00FF4C50"/>
    <w:rsid w:val="00FF58EB"/>
    <w:rsid w:val="00FF691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962B"/>
  <w15:docId w15:val="{0D1392A7-D0BE-DF41-8F3B-9ADE47E5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style>
  <w:style w:type="paragraph" w:styleId="Heading1">
    <w:name w:val="heading 1"/>
    <w:basedOn w:val="Normal"/>
    <w:next w:val="Normal"/>
    <w:link w:val="Heading1Char"/>
    <w:uiPriority w:val="9"/>
    <w:qFormat/>
    <w:rsid w:val="00FC693F"/>
    <w:pPr>
      <w:keepNext/>
      <w:keepLines/>
      <w:spacing w:before="320" w:after="120"/>
      <w:outlineLvl w:val="0"/>
    </w:pPr>
    <w:rPr>
      <w:rFonts w:ascii="Cambria" w:eastAsia="Cambria" w:hAnsi="Cambria" w:cs="Cambr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mbria" w:eastAsia="Cambria" w:hAnsi="Cambria" w:cs="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eastAsia="Cambria" w:hAnsi="Cambria" w:cs="Cambr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mbria" w:eastAsia="Cambria" w:hAnsi="Cambria" w:cs="Cambr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mbria" w:eastAsia="Cambria" w:hAnsi="Cambria" w:cs="Cambr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mbria" w:eastAsia="Cambria" w:hAnsi="Cambria" w:cs="Cambr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mbria" w:eastAsia="Cambria" w:hAnsi="Cambria" w:cs="Cambr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mbria" w:eastAsia="Cambria" w:hAnsi="Cambria" w:cs="Cambr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mbria" w:eastAsia="Cambria" w:hAnsi="Cambria" w:cs="Cambria"/>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Cambria" w:eastAsia="Cambria" w:hAnsi="Cambria" w:cs="Cambria"/>
      <w:b/>
      <w:bCs/>
      <w:color w:val="000000"/>
      <w:sz w:val="28"/>
      <w:szCs w:val="28"/>
    </w:rPr>
  </w:style>
  <w:style w:type="character" w:customStyle="1" w:styleId="Heading2Char">
    <w:name w:val="Heading 2 Char"/>
    <w:basedOn w:val="DefaultParagraphFont"/>
    <w:link w:val="Heading2"/>
    <w:uiPriority w:val="9"/>
    <w:qFormat/>
    <w:rsid w:val="00FC693F"/>
    <w:rPr>
      <w:rFonts w:ascii="Cambria" w:eastAsia="Cambria" w:hAnsi="Cambria" w:cs="Cambria"/>
      <w:b/>
      <w:bCs/>
      <w:color w:val="000000"/>
      <w:sz w:val="26"/>
      <w:szCs w:val="26"/>
    </w:rPr>
  </w:style>
  <w:style w:type="character" w:customStyle="1" w:styleId="Heading3Char">
    <w:name w:val="Heading 3 Char"/>
    <w:basedOn w:val="DefaultParagraphFont"/>
    <w:link w:val="Heading3"/>
    <w:uiPriority w:val="9"/>
    <w:qFormat/>
    <w:rsid w:val="00FC693F"/>
    <w:rPr>
      <w:rFonts w:ascii="Cambria" w:eastAsia="Cambria" w:hAnsi="Cambria" w:cs="Cambria"/>
      <w:b/>
      <w:bCs/>
      <w:color w:val="000000"/>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Cambria" w:eastAsia="Cambria" w:hAnsi="Cambria" w:cs="Cambria"/>
      <w:b/>
      <w:bCs/>
      <w:i/>
      <w:iCs/>
      <w:color w:val="000000"/>
    </w:rPr>
  </w:style>
  <w:style w:type="character" w:customStyle="1" w:styleId="Heading5Char">
    <w:name w:val="Heading 5 Char"/>
    <w:basedOn w:val="DefaultParagraphFont"/>
    <w:link w:val="Heading5"/>
    <w:uiPriority w:val="9"/>
    <w:semiHidden/>
    <w:qFormat/>
    <w:rsid w:val="00FC693F"/>
    <w:rPr>
      <w:rFonts w:ascii="Cambria" w:eastAsia="Cambria" w:hAnsi="Cambria" w:cs="Cambria"/>
      <w:color w:val="000000"/>
    </w:rPr>
  </w:style>
  <w:style w:type="character" w:customStyle="1" w:styleId="Heading6Char">
    <w:name w:val="Heading 6 Char"/>
    <w:basedOn w:val="DefaultParagraphFont"/>
    <w:link w:val="Heading6"/>
    <w:uiPriority w:val="9"/>
    <w:semiHidden/>
    <w:qFormat/>
    <w:rsid w:val="00FC693F"/>
    <w:rPr>
      <w:rFonts w:ascii="Cambria" w:eastAsia="Cambria" w:hAnsi="Cambria" w:cs="Cambria"/>
      <w:i/>
      <w:iCs/>
      <w:color w:val="000000"/>
    </w:rPr>
  </w:style>
  <w:style w:type="character" w:customStyle="1" w:styleId="Heading7Char">
    <w:name w:val="Heading 7 Char"/>
    <w:basedOn w:val="DefaultParagraphFont"/>
    <w:link w:val="Heading7"/>
    <w:uiPriority w:val="9"/>
    <w:semiHidden/>
    <w:qFormat/>
    <w:rsid w:val="00FC693F"/>
    <w:rPr>
      <w:rFonts w:ascii="Cambria" w:eastAsia="Cambria" w:hAnsi="Cambria" w:cs="Cambria"/>
      <w:i/>
      <w:iCs/>
      <w:color w:val="000000"/>
    </w:rPr>
  </w:style>
  <w:style w:type="character" w:customStyle="1" w:styleId="Heading8Char">
    <w:name w:val="Heading 8 Char"/>
    <w:basedOn w:val="DefaultParagraphFont"/>
    <w:link w:val="Heading8"/>
    <w:uiPriority w:val="9"/>
    <w:semiHidden/>
    <w:qFormat/>
    <w:rsid w:val="00FC693F"/>
    <w:rPr>
      <w:rFonts w:ascii="Cambria" w:eastAsia="Cambria" w:hAnsi="Cambria" w:cs="Cambria"/>
      <w:color w:val="000000"/>
      <w:sz w:val="20"/>
      <w:szCs w:val="20"/>
    </w:rPr>
  </w:style>
  <w:style w:type="character" w:customStyle="1" w:styleId="Heading9Char">
    <w:name w:val="Heading 9 Char"/>
    <w:basedOn w:val="DefaultParagraphFont"/>
    <w:link w:val="Heading9"/>
    <w:uiPriority w:val="9"/>
    <w:semiHidden/>
    <w:qFormat/>
    <w:rsid w:val="00FC693F"/>
    <w:rPr>
      <w:rFonts w:ascii="Cambria" w:eastAsia="Cambria" w:hAnsi="Cambria" w:cs="Cambria"/>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Arial Unicode MS"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Next/>
      <w:keepLines/>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07BFE"/>
  </w:style>
  <w:style w:type="paragraph" w:styleId="NormalWeb">
    <w:name w:val="Normal (Web)"/>
    <w:basedOn w:val="Normal"/>
    <w:uiPriority w:val="99"/>
    <w:unhideWhenUsed/>
    <w:rsid w:val="0013305C"/>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E7EDD"/>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338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51</Pages>
  <Words>16441</Words>
  <Characters>93719</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Toprak Yetimoğlu</cp:lastModifiedBy>
  <cp:revision>27</cp:revision>
  <dcterms:created xsi:type="dcterms:W3CDTF">2026-07-12T13:14:00Z</dcterms:created>
  <dcterms:modified xsi:type="dcterms:W3CDTF">2026-07-14T22:33:00Z</dcterms:modified>
  <dc:language>en-US</dc:language>
</cp:coreProperties>
</file>