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ns9="http://schemas.microsoft.com/office/drawing/2010/main" xmlns:w="http://schemas.openxmlformats.org/wordprocessingml/2006/main" ns1:Ignorable="w14 w15 w16se w16cid w16 w16cex w16sdtdh w16sdtfl w16du wp14">
  <w:body>
    <w:p ns2:paraId="54B7274C" ns2:textId="77777777" w:rsidR="00961C7F" w:rsidRDefault="008A042F">
      <w:r>
        <w:rPr>
          <w:noProof/>
        </w:rPr>
        <w:drawing>
          <ns3:inline distT="0" distB="0" distL="0" distR="0" ns4:anchorId="7080212A" ns4:editId="7E854DED">
            <ns3:extent cx="3969385" cy="659765"/>
            <ns3:effectExtent l="0" t="0" r="0" b="0"/>
            <ns3:docPr id="1" name="Picture 1"/>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ns5:blip ns7:embed="rId8"/>
                    <ns5:stretch>
                      <ns5:fillRect/>
                    </ns5:stretch>
                  </ns6:blipFill>
                  <ns6:spPr bwMode="auto">
                    <ns5:xfrm>
                      <ns5:off x="0" y="0"/>
                      <ns5:ext cx="3969385" cy="659765"/>
                    </ns5:xfrm>
                    <ns5:prstGeom prst="rect">
                      <ns5:avLst/>
                    </ns5:prstGeom>
                    <ns5:noFill/>
                  </ns6:spPr>
                </ns6:pic>
              </ns5:graphicData>
            </ns5:graphic>
          </ns3:inline>
        </w:drawing>
      </w:r>
    </w:p>
    <w:p ns2:paraId="116B847A" ns2:textId="77777777" w:rsidR="00961C7F" w:rsidRDefault="00961C7F"/>
    <w:p ns2:paraId="64C5E514" ns2:textId="77777777" w:rsidR="00961C7F" w:rsidRDefault="00961C7F"/>
    <w:p ns2:paraId="16F22947" ns2:textId="77777777" w:rsidR="00961C7F" w:rsidRDefault="00961C7F"/>
    <w:p ns2:paraId="632649AE" ns2:textId="77777777" w:rsidR="00961C7F" w:rsidRDefault="008A042F">
      <w:pPr>
        <w:jc w:val="center"/>
      </w:pPr>
      <w:r>
        <w:rPr>
          <w:b/>
          <w:sz w:val="44"/>
        </w:rPr>
        <w:t>Restrictiveness and Skill Composition</w:t>
      </w:r>
    </w:p>
    <w:p ns2:paraId="4EE57D97" ns2:textId="77777777" w:rsidR="00961C7F" w:rsidRDefault="008A042F">
      <w:pPr>
        <w:jc w:val="center"/>
      </w:pPr>
      <w:r>
        <w:rPr>
          <w:i/>
          <w:sz w:val="28"/>
        </w:rPr>
        <w:t>How labor-migration policy relates to the high-skilled share of long-term employment-related immigration in European destinations, 2008-2019</w:t>
      </w:r>
    </w:p>
    <w:p ns2:paraId="550FDA7A" ns2:textId="77777777" w:rsidR="00961C7F" w:rsidRDefault="00961C7F"/>
    <w:p ns2:paraId="5C3D653E" ns2:textId="77777777" w:rsidR="00961C7F" w:rsidRDefault="00961C7F"/>
    <w:p ns2:paraId="3A61DD15" ns2:textId="77777777" w:rsidR="00961C7F" w:rsidRDefault="00961C7F"/>
    <w:p ns2:paraId="576B3523" ns2:textId="77777777" w:rsidR="00961C7F" w:rsidRDefault="00961C7F"/>
    <w:p ns2:paraId="46E256A2" ns2:textId="77777777" w:rsidR="00961C7F" w:rsidRDefault="00961C7F"/>
    <w:p ns2:paraId="7422534C" ns2:textId="77777777" w:rsidR="00961C7F" w:rsidRDefault="008A042F">
      <w:pPr>
        <w:jc w:val="center"/>
      </w:pPr>
      <w:r>
        <w:rPr>
          <w:sz w:val="23"/>
        </w:rPr>
        <w:t>Toprak Yetimoglu</w:t>
        <w:br/>
        <w:t>Student number: 13723898</w:t>
        <w:br/>
        <w:t>toprak.yetimoglu@student.uva.nl</w:t>
      </w:r>
    </w:p>
    <w:p ns2:paraId="63E291A1" ns2:textId="77777777" w:rsidR="00961C7F" w:rsidRDefault="00961C7F"/>
    <w:p ns2:paraId="05F9B378" ns2:textId="77777777" w:rsidR="00961C7F" w:rsidRDefault="00961C7F"/>
    <w:p ns2:paraId="5766BE3C" ns2:textId="77777777" w:rsidR="00961C7F" w:rsidRDefault="008A042F">
      <w:pPr>
        <w:jc w:val="center"/>
      </w:pPr>
      <w:r>
        <w:t>MSc Thesis - Economics, International Finance and Trade</w:t>
        <w:br/>
        <w:t>Amsterdam School of Economics, University of Amsterdam</w:t>
        <w:br/>
        <w:t>Supervisor: Naomi Leefmans</w:t>
        <w:br/>
        <w:t>June 2026</w:t>
      </w:r>
    </w:p>
    <w:p ns2:paraId="1B9CF41E" ns2:textId="77777777" w:rsidR="00961C7F" w:rsidRDefault="008A042F">
      <w:pPr>
        <w:jc w:val="center"/>
      </w:pPr>
      <w:r>
        <w:t>Word count: 15,683</w:t>
      </w:r>
    </w:p>
    <w:p ns2:paraId="6F4DE116" ns2:textId="77777777" w:rsidR="00961C7F" w:rsidRDefault="008A042F">
      <w:pPr>
        <w:pStyle w:val="Heading1"/>
        <w:pageBreakBefore/>
        <w:jc w:val="center"/>
      </w:pPr>
      <w:r>
        <w:lastRenderedPageBreak/>
        <w:t>Statement of Originality</w:t>
      </w:r>
    </w:p>
    <w:p ns2:paraId="19C1000E" ns2:textId="77777777" w:rsidR="00961C7F" w:rsidRDefault="008A042F">
      <w:pPr>
        <w:jc w:val="both"/>
      </w:pPr>
      <w:r>
        <w:t>This document is written by Student Toprak Yetimoglu who declares to take full responsibility for the contents of this document.</w:t>
      </w:r>
    </w:p>
    <w:p ns2:paraId="1C2BE4B1" ns2:textId="77777777" w:rsidR="008F026E" w:rsidRDefault="00A36F18">
      <w:pPr>
        <w:jc w:val="both"/>
      </w:pPr>
      <w:r>
        <w:t>I declare that the text and the work presented in this document are original and that no sources other than those mentioned in the text and its references have been used in creating it.</w:t>
      </w:r>
    </w:p>
    <w:p ns2:paraId="5AF11857" ns2:textId="77777777" w:rsidR="00110134" w:rsidRDefault="00110134">
      <w:pPr>
        <w:jc w:val="both"/>
      </w:pPr>
      <w:r>
        <w:t>Claude Code (Anthropic 2026) and Codex (OpenAI 2026) were used as AI-assisted coding agents during the construction of the replication pipeline and the audit of regression outputs. The author is responsible for all design choices, regression specifications, results, and interpretations.</w:t>
      </w:r>
    </w:p>
    <w:p ns2:paraId="6E3FAABA" ns2:textId="77777777" w:rsidR="00961C7F" w:rsidRDefault="008A042F">
      <w:pPr>
        <w:jc w:val="both"/>
      </w:pPr>
      <w:r>
        <w:t>The Faculty of Economics and Business of the University of Amsterdam is responsible solely for the supervision of completion of the work, not for the contents.</w:t>
      </w:r>
    </w:p>
    <w:p ns2:paraId="1B859BB5" ns2:textId="77777777" w:rsidR="00961C7F" w:rsidRDefault="008A042F">
      <w:r>
        <w:br w:type="page"/>
      </w:r>
    </w:p>
    <w:p ns2:paraId="6FB32513" ns2:textId="77777777" w:rsidR="0013305C" w:rsidRPr="00924A14" w:rsidRDefault="0013305C" w:rsidP="0013305C">
      <w:pPr>
        <w:pStyle w:val="Heading1"/>
        <w:jc w:val="both"/>
        <w:rPr>
          <w:rFonts w:cstheme="majorHAnsi"/>
          <w:szCs w:val="34"/>
        </w:rPr>
      </w:pPr>
      <w:r>
        <w:rPr>
          <w:rFonts w:cstheme="majorHAnsi"/>
          <w:szCs w:val="34"/>
        </w:rPr>
        <w:lastRenderedPageBreak/>
        <w:t>Abstract</w:t>
      </w:r>
    </w:p>
    <w:p ns2:paraId="46A23E31" ns2:textId="77777777" w:rsidR="0013305C" w:rsidRPr="0013305C"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ns2:paraId="5938B40B" ns2:textId="77777777" w:rsidR="0013305C" w:rsidRPr="001C71E0" w:rsidRDefault="0013305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bilateral model that uses denominator weights and destination and origin-year fixed effects.</w:t>
      </w:r>
    </w:p>
    <w:p ns2:paraId="6F5FE674" ns2:textId="77777777" w:rsidR="0013305C" w:rsidRPr="001C71E0" w:rsidRDefault="0013305C" w:rsidP="00924A14">
      <w:pPr>
        <w:pStyle w:val="NormalWeb"/>
        <w:suppressAutoHyphens/>
        <w:spacing w:line="360" w:lineRule="auto"/>
        <w:jc w:val="both"/>
        <w:rPr>
          <w:rFonts w:asciiTheme="minorHAnsi" w:hAnsiTheme="minorHAnsi"/>
          <w:sz w:val="22"/>
          <w:szCs w:val="22"/>
        </w:rPr>
      </w:pPr>
      <w:r>
        <w:t>The aggregate model is insignificant. In the preferred bilateral model, a one-unit increase in lagged cumulative net restrictiveness is associated with a 0.65-percentage-point higher skill ratio (β = 0.006516, p &lt; 0.001, N = 5,608; bootstrap p = 0.007). Reintroducing 2020 leaves the estimate positive and significant (β = 0.005446, p = 0.004; bootstrap p = 0.024). PPML finds a positive high-skilled permit-count association (β = 0.045536, p = 0.002) but no significant total-count change. The work-visa-only estimate is larger (β = 0.008190, p &lt; 0.001). These are conditional associations, not causal effects of a dedicated high-skill route.</w:t>
      </w:r>
    </w:p>
    <w:p ns2:paraId="4D18F5E3" ns2:textId="77777777" w:rsidR="00961C7F" w:rsidRDefault="008A042F">
      <w:pPr>
        <w:pStyle w:val="Heading1"/>
        <w:pageBreakBefore/>
        <w:spacing w:before="0"/>
      </w:pPr>
      <w:r>
        <w:lastRenderedPageBreak/>
        <w:t>Table of Contents</w:t>
      </w:r>
    </w:p>
    <w:p ns2:paraId="519DE825" ns2:textId="77777777" w:rsidR="00961C7F" w:rsidRDefault="008A042F">
      <w:pPr>
        <w:tabs>
          <w:tab w:val="right" w:leader="dot" w:pos="9360"/>
        </w:tabs>
      </w:pPr>
      <w:r>
        <w:t>1. Introduction</w:t>
        <w:tab/>
        <w:t>6</w:t>
      </w:r>
    </w:p>
    <w:p ns2:paraId="31DFB5C0" ns2:textId="77777777" w:rsidR="00961C7F" w:rsidRDefault="008A042F">
      <w:pPr>
        <w:tabs>
          <w:tab w:val="right" w:leader="dot" w:pos="9360"/>
        </w:tabs>
      </w:pPr>
      <w:r>
        <w:t>2. Literature Review</w:t>
        <w:tab/>
        <w:t>7</w:t>
      </w:r>
    </w:p>
    <w:p ns2:paraId="6E4C4636" ns2:textId="77777777" w:rsidR="00961C7F" w:rsidRDefault="008A042F">
      <w:pPr>
        <w:tabs>
          <w:tab w:val="right" w:leader="dot" w:pos="9360"/>
        </w:tabs>
        <w:ind w:left="420"/>
      </w:pPr>
      <w:r>
        <w:t>2.1 Self-selection and the Roy model</w:t>
        <w:tab/>
        <w:t>7</w:t>
      </w:r>
    </w:p>
    <w:p ns2:paraId="7F2E800C" ns2:textId="77777777" w:rsidR="00961C7F" w:rsidRDefault="008A042F">
      <w:pPr>
        <w:tabs>
          <w:tab w:val="right" w:leader="dot" w:pos="9360"/>
        </w:tabs>
        <w:ind w:left="420"/>
      </w:pPr>
      <w:r>
        <w:t>2.2 Policy effectiveness and channel substitution</w:t>
        <w:tab/>
        <w:t>8</w:t>
      </w:r>
    </w:p>
    <w:p ns2:paraId="35F344EC" ns2:textId="77777777" w:rsidR="00961C7F" w:rsidRDefault="008A042F">
      <w:pPr>
        <w:tabs>
          <w:tab w:val="right" w:leader="dot" w:pos="9360"/>
        </w:tabs>
        <w:ind w:left="420"/>
      </w:pPr>
      <w:r>
        <w:t>2.3 Skill-selective policy design and instrument heterogeneity</w:t>
        <w:tab/>
        <w:t>8</w:t>
      </w:r>
    </w:p>
    <w:p ns2:paraId="50A7CF40" ns2:textId="77777777" w:rsidR="00961C7F" w:rsidRDefault="008A042F">
      <w:pPr>
        <w:tabs>
          <w:tab w:val="right" w:leader="dot" w:pos="9360"/>
        </w:tabs>
        <w:ind w:left="420"/>
      </w:pPr>
      <w:r>
        <w:t>2.4 Positioning relative to previous methods</w:t>
        <w:tab/>
        <w:t>10</w:t>
      </w:r>
    </w:p>
    <w:p ns2:paraId="50C6A8F5" ns2:textId="77777777" w:rsidR="00961C7F" w:rsidRDefault="008A042F">
      <w:pPr>
        <w:tabs>
          <w:tab w:val="right" w:leader="dot" w:pos="9360"/>
        </w:tabs>
        <w:ind w:left="420"/>
      </w:pPr>
      <w:r>
        <w:t>2.5 Measurement of migration policy</w:t>
        <w:tab/>
        <w:t>10</w:t>
      </w:r>
    </w:p>
    <w:p ns2:paraId="704CAF9E" ns2:textId="77777777" w:rsidR="00961C7F" w:rsidRDefault="008A042F">
      <w:pPr>
        <w:tabs>
          <w:tab w:val="right" w:leader="dot" w:pos="9360"/>
        </w:tabs>
        <w:ind w:left="420"/>
      </w:pPr>
      <w:r>
        <w:t>2.6 The gap addressed by this thesis</w:t>
        <w:tab/>
        <w:t>11</w:t>
      </w:r>
    </w:p>
    <w:p ns2:paraId="48FA40D3" ns2:textId="77777777" w:rsidR="00961C7F" w:rsidRDefault="008A042F">
      <w:pPr>
        <w:tabs>
          <w:tab w:val="right" w:leader="dot" w:pos="9360"/>
        </w:tabs>
      </w:pPr>
      <w:r>
        <w:t>3. Theoretical Framework</w:t>
        <w:tab/>
        <w:t>12</w:t>
      </w:r>
    </w:p>
    <w:p ns2:paraId="4395C53B" ns2:textId="77777777" w:rsidR="00961C7F" w:rsidRDefault="008A042F">
      <w:pPr>
        <w:tabs>
          <w:tab w:val="right" w:leader="dot" w:pos="9360"/>
        </w:tabs>
      </w:pPr>
      <w:r>
        <w:t>4. Institutional Background</w:t>
        <w:tab/>
        <w:t>13</w:t>
      </w:r>
    </w:p>
    <w:p ns2:paraId="63BC3575" ns2:textId="77777777" w:rsidR="00961C7F" w:rsidRDefault="008A042F">
      <w:pPr>
        <w:tabs>
          <w:tab w:val="right" w:leader="dot" w:pos="9360"/>
        </w:tabs>
      </w:pPr>
      <w:r>
        <w:t>5. Empirical Strategy</w:t>
        <w:tab/>
        <w:t>14</w:t>
      </w:r>
    </w:p>
    <w:p ns2:paraId="465BBF37" ns2:textId="77777777" w:rsidR="00961C7F" w:rsidRDefault="008A042F">
      <w:pPr>
        <w:tabs>
          <w:tab w:val="right" w:leader="dot" w:pos="9360"/>
        </w:tabs>
        <w:ind w:left="420"/>
      </w:pPr>
      <w:r>
        <w:t>5.1 Variable construction</w:t>
        <w:tab/>
        <w:t>14</w:t>
      </w:r>
    </w:p>
    <w:p ns2:paraId="48C38888" ns2:textId="77777777" w:rsidR="00961C7F" w:rsidRDefault="008A042F">
      <w:pPr>
        <w:tabs>
          <w:tab w:val="right" w:leader="dot" w:pos="9360"/>
        </w:tabs>
        <w:ind w:left="420"/>
      </w:pPr>
      <w:r>
        <w:t>5.2 Regression specifications</w:t>
        <w:tab/>
        <w:t>15</w:t>
      </w:r>
    </w:p>
    <w:p ns2:paraId="1059A44C" ns2:textId="77777777" w:rsidR="00961C7F" w:rsidRDefault="008A042F">
      <w:pPr>
        <w:tabs>
          <w:tab w:val="right" w:leader="dot" w:pos="9360"/>
        </w:tabs>
        <w:ind w:left="420"/>
      </w:pPr>
      <w:r>
        <w:t>5.3 Identification and inference</w:t>
        <w:tab/>
        <w:t>19</w:t>
      </w:r>
    </w:p>
    <w:p ns2:paraId="5A00B7BF" ns2:textId="77777777" w:rsidR="00961C7F" w:rsidRDefault="008A042F">
      <w:pPr>
        <w:tabs>
          <w:tab w:val="right" w:leader="dot" w:pos="9360"/>
        </w:tabs>
      </w:pPr>
      <w:r>
        <w:t>6. Data</w:t>
        <w:tab/>
        <w:t>20</w:t>
      </w:r>
    </w:p>
    <w:p ns2:paraId="689606CE" ns2:textId="77777777" w:rsidR="00961C7F" w:rsidRDefault="008A042F">
      <w:pPr>
        <w:tabs>
          <w:tab w:val="right" w:leader="dot" w:pos="9360"/>
        </w:tabs>
        <w:ind w:left="420"/>
      </w:pPr>
      <w:r>
        <w:t>6.1 Outcome data: Eurostat residence-permit statistics</w:t>
        <w:tab/>
        <w:t>20</w:t>
      </w:r>
    </w:p>
    <w:p ns2:paraId="5E9006AB" ns2:textId="77777777" w:rsidR="00961C7F" w:rsidRDefault="008A042F">
      <w:pPr>
        <w:tabs>
          <w:tab w:val="right" w:leader="dot" w:pos="9360"/>
        </w:tabs>
        <w:ind w:left="420"/>
      </w:pPr>
      <w:r>
        <w:t>6.2 Policy regressor: DEMIG-QuantMig</w:t>
        <w:tab/>
        <w:t>22</w:t>
      </w:r>
    </w:p>
    <w:p ns2:paraId="565CB54C" ns2:textId="77777777" w:rsidR="00961C7F" w:rsidRDefault="008A042F">
      <w:pPr>
        <w:tabs>
          <w:tab w:val="right" w:leader="dot" w:pos="9360"/>
        </w:tabs>
        <w:ind w:left="420"/>
      </w:pPr>
      <w:r>
        <w:t>6.3 Controls and sample construction</w:t>
        <w:tab/>
        <w:t>26</w:t>
      </w:r>
    </w:p>
    <w:p ns2:paraId="3DA40305" ns2:textId="77777777" w:rsidR="00961C7F" w:rsidRDefault="008A042F">
      <w:pPr>
        <w:tabs>
          <w:tab w:val="right" w:leader="dot" w:pos="9360"/>
        </w:tabs>
      </w:pPr>
      <w:r>
        <w:t>7. Results</w:t>
        <w:tab/>
        <w:t>30</w:t>
      </w:r>
    </w:p>
    <w:p ns2:paraId="5814AB8F" ns2:textId="77777777" w:rsidR="00961C7F" w:rsidRDefault="008A042F">
      <w:pPr>
        <w:tabs>
          <w:tab w:val="right" w:leader="dot" w:pos="9360"/>
        </w:tabs>
        <w:ind w:left="420"/>
      </w:pPr>
      <w:r>
        <w:t>7.1 Aggregate country-year results</w:t>
        <w:tab/>
        <w:t>30</w:t>
      </w:r>
    </w:p>
    <w:p ns2:paraId="2C067780" ns2:textId="77777777" w:rsidR="00961C7F" w:rsidRDefault="008A042F">
      <w:pPr>
        <w:tabs>
          <w:tab w:val="right" w:leader="dot" w:pos="9360"/>
        </w:tabs>
        <w:ind w:left="420"/>
      </w:pPr>
      <w:r>
        <w:t>7.2 Preferred bilateral origin-year fixed-effects result</w:t>
        <w:tab/>
        <w:t>31</w:t>
      </w:r>
    </w:p>
    <w:p ns2:paraId="0F232838" ns2:textId="77777777" w:rsidR="00961C7F" w:rsidRDefault="008A042F">
      <w:pPr>
        <w:tabs>
          <w:tab w:val="right" w:leader="dot" w:pos="9360"/>
        </w:tabs>
        <w:ind w:left="420"/>
      </w:pPr>
      <w:r>
        <w:t>7.3 Interpretation of the significant and non-significant findings</w:t>
        <w:tab/>
        <w:t>33</w:t>
      </w:r>
    </w:p>
    <w:p ns2:paraId="52CAA118" ns2:textId="77777777" w:rsidR="00961C7F" w:rsidRDefault="008A042F">
      <w:pPr>
        <w:tabs>
          <w:tab w:val="right" w:leader="dot" w:pos="9360"/>
        </w:tabs>
      </w:pPr>
      <w:r>
        <w:t>8. Robustness, Sensitivity, and Diagnostic Checks</w:t>
        <w:tab/>
        <w:t>34</w:t>
      </w:r>
    </w:p>
    <w:p ns2:paraId="4292EAC3" ns2:textId="77777777" w:rsidR="00B76B02" w:rsidRDefault="00000000">
      <w:pPr>
        <w:tabs>
          <w:tab w:val="right" w:leader="dot" w:pos="9360"/>
        </w:tabs>
      </w:pPr>
      <w:r>
        <w:t>8.1 Robustness and Sensitivity Checks</w:t>
        <w:tab/>
        <w:t>34</w:t>
      </w:r>
    </w:p>
    <w:p ns2:paraId="19451AE7" ns2:textId="77777777" w:rsidR="00B76B02" w:rsidRDefault="00000000">
      <w:pPr>
        <w:tabs>
          <w:tab w:val="right" w:leader="dot" w:pos="9360"/>
        </w:tabs>
      </w:pPr>
      <w:r>
        <w:lastRenderedPageBreak/>
        <w:t>8.2 Aggregate Benchmark and EU27 Placebo Diagnostics</w:t>
        <w:tab/>
        <w:t>39</w:t>
      </w:r>
    </w:p>
    <w:p ns2:paraId="0B25BE27" ns2:textId="77777777" w:rsidR="00961C7F" w:rsidRDefault="008A042F">
      <w:pPr>
        <w:tabs>
          <w:tab w:val="right" w:leader="dot" w:pos="9360"/>
        </w:tabs>
      </w:pPr>
      <w:r>
        <w:t>9. Discussion and Limitations</w:t>
        <w:tab/>
        <w:t>44</w:t>
      </w:r>
    </w:p>
    <w:p ns2:paraId="41FC946B" ns2:textId="77777777" w:rsidR="00961C7F" w:rsidRDefault="008A042F">
      <w:pPr>
        <w:tabs>
          <w:tab w:val="right" w:leader="dot" w:pos="9360"/>
        </w:tabs>
      </w:pPr>
      <w:r>
        <w:t>10. Policy Implications</w:t>
        <w:tab/>
        <w:t>46</w:t>
      </w:r>
    </w:p>
    <w:p ns2:paraId="11D693D5" ns2:textId="77777777" w:rsidR="00961C7F" w:rsidRDefault="008A042F">
      <w:pPr>
        <w:tabs>
          <w:tab w:val="right" w:leader="dot" w:pos="9360"/>
        </w:tabs>
      </w:pPr>
      <w:r>
        <w:t>11. Conclusion</w:t>
        <w:tab/>
        <w:t>47</w:t>
      </w:r>
    </w:p>
    <w:p ns2:paraId="6FF20660" ns2:textId="77777777" w:rsidR="00961C7F" w:rsidRDefault="00446F2F">
      <w:pPr>
        <w:tabs>
          <w:tab w:val="right" w:leader="dot" w:pos="9360"/>
        </w:tabs>
      </w:pPr>
      <w:r>
        <w:t>12. References</w:t>
        <w:tab/>
        <w:t>49</w:t>
      </w:r>
    </w:p>
    <w:p ns2:paraId="127FBA23" ns2:textId="67E93A5E" w:rsidR="00C91710" w:rsidRDefault="00446F2F" w:rsidP="004363D6">
      <w:pPr>
        <w:tabs>
          <w:tab w:val="right" w:leader="dot" w:pos="9360"/>
        </w:tabs>
      </w:pPr>
      <w:r>
        <w:t xml:space="preserve">13. Appendix A. Extended-window PPML sensitivity</w:t>
        <w:tab/>
        <w:t>52</w:t>
      </w:r>
    </w:p>
    <w:p ns2:paraId="4914822B" ns2:textId="77777777" w:rsidR="00961C7F" w:rsidRDefault="008A042F">
      <w:pPr>
        <w:pStyle w:val="Heading1"/>
        <w:spacing w:before="0"/>
      </w:pPr>
      <w:r>
        <w:t>List of Tables</w:t>
      </w:r>
    </w:p>
    <w:p ns2:paraId="32D280F7" ns2:textId="77777777" w:rsidR="00961C7F" w:rsidRDefault="008A042F">
      <w:pPr>
        <w:tabs>
          <w:tab w:val="right" w:leader="dot" w:pos="9360"/>
        </w:tabs>
      </w:pPr>
      <w:r>
        <w:t>Table 1. Construction of the cumulative net policy-change measure, step by step. 24</w:t>
      </w:r>
    </w:p>
    <w:p ns2:paraId="50AA594C" ns2:textId="77777777" w:rsidR="00961C7F" w:rsidRDefault="008A042F">
      <w:pPr>
        <w:tabs>
          <w:tab w:val="right" w:leader="dot" w:pos="9360"/>
        </w:tabs>
      </w:pPr>
      <w:r>
        <w:t>Table 2. Policy event counts under three target-group definitions, target origin All foreign nationalities, 2007-2019. 24</w:t>
      </w:r>
    </w:p>
    <w:p ns2:paraId="3230A315" ns2:textId="77777777" w:rsidR="00961C7F" w:rsidRDefault="008A042F">
      <w:pPr>
        <w:tabs>
          <w:tab w:val="right" w:leader="dot" w:pos="9360"/>
        </w:tabs>
      </w:pPr>
      <w:r>
        <w:t>Table 3. Preferred all-migrant-worker cumulative policy measure by policy tool, target origin All foreign nationalities. 25</w:t>
      </w:r>
    </w:p>
    <w:p ns2:paraId="0EED3ABE" ns2:textId="77777777" w:rsidR="00961C7F" w:rsidRDefault="008A042F">
      <w:pPr>
        <w:tabs>
          <w:tab w:val="right" w:leader="dot" w:pos="9360"/>
        </w:tabs>
      </w:pPr>
      <w:r>
        <w:t>Table 4. Variable definitions for the regression specifications. 26</w:t>
      </w:r>
    </w:p>
    <w:p ns2:paraId="3DF343E5" ns2:textId="77777777" w:rsidR="00961C7F" w:rsidRDefault="008A042F">
      <w:pPr>
        <w:tabs>
          <w:tab w:val="right" w:leader="dot" w:pos="9360"/>
        </w:tabs>
      </w:pPr>
      <w:r>
        <w:t>Table 5. Descriptive statistics for core HSRate regression samples. 28</w:t>
      </w:r>
    </w:p>
    <w:p ns2:paraId="38807CDC" ns2:textId="77777777" w:rsidR="00961C7F" w:rsidRDefault="008A042F">
      <w:pPr>
        <w:tabs>
          <w:tab w:val="right" w:leader="dot" w:pos="9360"/>
        </w:tabs>
      </w:pPr>
      <w:r>
        <w:t>Table 6. Aggregate country-year regression results. 30</w:t>
      </w:r>
    </w:p>
    <w:p ns2:paraId="3442E781" ns2:textId="77777777" w:rsidR="00B15532" w:rsidRDefault="008A042F" w:rsidP="00B15532">
      <w:pPr>
        <w:tabs>
          <w:tab w:val="right" w:leader="dot" w:pos="9360"/>
        </w:tabs>
      </w:pPr>
      <w:r>
        <w:t>Table 7. Preferred bilateral specification and comparison models. 31</w:t>
      </w:r>
    </w:p>
    <w:p ns2:paraId="05B802B4" ns2:textId="77777777" w:rsidR="00B15532" w:rsidRDefault="00B15532" w:rsidP="00B15532">
      <w:pPr>
        <w:tabs>
          <w:tab w:val="right" w:leader="dot" w:pos="9360"/>
        </w:tabs>
      </w:pPr>
      <w:r>
        <w:t>Table 8. PPML estimates for bilateral permit-count outcomes. 32</w:t>
      </w:r>
    </w:p>
    <w:p ns2:paraId="05B802B4" ns2:textId="77777777" w:rsidR="00B15532" w:rsidRDefault="00B15532" w:rsidP="00B15532">
      <w:pPr>
        <w:tabs>
          <w:tab w:val="right" w:leader="dot" w:pos="9360"/>
        </w:tabs>
      </w:pPr>
      <w:r>
        <w:t>Table 9. Permit-category decomposition of the bilateral PPML result. 32</w:t>
      </w:r>
    </w:p>
    <w:p ns2:paraId="7F4C67C3" ns2:textId="77777777" w:rsidR="00B15532" w:rsidRDefault="00B15532" w:rsidP="00B15532">
      <w:pPr>
        <w:tabs>
          <w:tab w:val="right" w:leader="dot" w:pos="9360"/>
        </w:tabs>
      </w:pPr>
      <w:r>
        <w:t>Table 10. Robustness and sensitivity checks for the preferred bilateral model. 34</w:t>
      </w:r>
    </w:p>
    <w:p ns2:paraId="3135A2C5" ns2:textId="77777777" w:rsidR="00B76B02" w:rsidRDefault="00000000">
      <w:pPr>
        <w:tabs>
          <w:tab w:val="right" w:leader="dot" w:pos="9360"/>
        </w:tabs>
      </w:pPr>
      <w:r>
        <w:t>Table 11. Aggregate benchmark and EU27 placebo diagnostics. 40</w:t>
      </w:r>
    </w:p>
    <w:p ns2:paraId="71B22DDD" ns2:textId="77777777" w:rsidR="00961C7F" w:rsidRDefault="008A042F">
      <w:pPr>
        <w:pStyle w:val="Heading1"/>
      </w:pPr>
      <w:r>
        <w:t>List of Graphs</w:t>
      </w:r>
    </w:p>
    <w:p ns2:paraId="5B96705E" ns2:textId="77777777" w:rsidR="00961C7F" w:rsidRDefault="008A042F">
      <w:pPr>
        <w:tabs>
          <w:tab w:val="right" w:leader="dot" w:pos="9360"/>
        </w:tabs>
      </w:pPr>
      <w:r>
        <w:t>Graph 1. Descriptive relationship between cumulative net policy-change score and HSRate within 2008-2019. 28</w:t>
      </w:r>
    </w:p>
    <w:p ns2:paraId="3561B45E" ns2:textId="77777777" w:rsidR="008F026E" w:rsidRDefault="00A36F18">
      <w:pPr>
        <w:tabs>
          <w:tab w:val="right" w:leader="dot" w:pos="9360"/>
        </w:tabs>
      </w:pPr>
      <w:r>
        <w:t>Graph 2. Coefficient estimates across main, robustness, and placebo specifications. 41</w:t>
      </w:r>
    </w:p>
    <w:p ns2:paraId="00515B69" ns2:textId="77777777" w:rsidR="00961C7F" w:rsidRDefault="008A042F">
      <w:pPr>
        <w:tabs>
          <w:tab w:val="right" w:leader="dot" w:pos="9360"/>
        </w:tabs>
      </w:pPr>
      <w:r>
        <w:t>Graph 3. EU labor-migration directives in the panel window. 42</w:t>
      </w:r>
    </w:p>
    <w:p ns2:paraId="4C2C75C7" ns2:textId="77777777" w:rsidR="00961C7F" w:rsidRDefault="008A042F">
      <w:pPr>
        <w:tabs>
          <w:tab w:val="right" w:leader="dot" w:pos="9360"/>
        </w:tabs>
      </w:pPr>
      <w:r>
        <w:t>Graph 4. Tool-specific estimates for policy tools with at least three retained events. 43</w:t>
      </w:r>
    </w:p>
    <w:p ns2:paraId="60AF3AB2" ns2:textId="77777777" w:rsidR="00961C7F" w:rsidRDefault="008A042F">
      <w:r>
        <w:br w:type="page"/>
      </w:r>
    </w:p>
    <w:p ns2:paraId="3D6B9A01" ns2:textId="77777777" w:rsidR="00961C7F" w:rsidRDefault="008A042F">
      <w:pPr>
        <w:pStyle w:val="Heading1"/>
        <w:spacing w:before="0"/>
      </w:pPr>
      <w:r>
        <w:lastRenderedPageBreak/>
        <w:t>1. Introduction</w:t>
      </w:r>
    </w:p>
    <w:p ns2:paraId="63FFDBF2" ns2: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Over the past two decades, most European countries have redesigned their legal-entry rules for non-EU workers to become more selective. The reforms range from salary-threshold changes and national implementation around the EU Blue Card to points-based routes in the Netherlands, employer-driven work-permit reform in Sweden, the German Skilled Immigration Act, and the French Talent Passport.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ns2:paraId="69A5CCF8" ns2:textId="77777777" w:rsidR="002467CE" w:rsidRPr="002751DF" w:rsidRDefault="00A36F18"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High-skilled immigration can support innovation, productivity, and public finances. It is especially relevant as European labor markets face persistent shortages. Against this background, the central concern of this thesis is whether labor-migration restrictiveness is associated with the skill composition of legal employment-related entry. The research question is therefore:</w:t>
      </w:r>
    </w:p>
    <w:p ns2:paraId="18B5422D" ns2: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ns2:paraId="7CB88A64" ns2: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ns2:paraId="4EA21A8F" ns2: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with destination-clustered standard errors, and the preferred bilateral origin-destination-year model with destination and origin-year fixed effects, weighted by the employment-permit denominator used to calculate the high-skilled share.</w:t>
      </w:r>
    </w:p>
    <w:p ns2:paraId="3BE1BFEF" ns2: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p>
    <w:p ns2:paraId="5E8D0173"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aggregate model serves as a benchmark. The bilateral model is preferred because it absorbs origin-year pressures. The later robustness checks show where that association holds and where it weakens.</w:t>
      </w:r>
    </w:p>
    <w:p ns2:paraId="627D7982"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remainder of the thesis is organized as follows. Section 2 reviews the literature on migrant self-selection, policy effectiveness, and skill-selective policy design, with particular attention to instrument heterogeneity. Section 3 develops the theoretical framework using the Roy model and migration gravity with multilateral resistance. Section 4 outlines the institutional background of European labor-migration policy. Section 5 specifies the empirical strategy, and Section 6 describes the data. Section 7 reports the results, Section 8 presents the robustness and diagnostic checks, and Section 9 discusses what the estimates can and cannot support. Section 10 draws out the policy implications, and Section 11 concludes.</w:t>
      </w:r>
    </w:p>
    <w:p ns2:paraId="02AB5D2D" ns2:textId="77777777" w:rsidR="00961C7F" w:rsidRDefault="008A042F">
      <w:pPr>
        <w:pStyle w:val="Heading1"/>
        <w:jc w:val="both"/>
      </w:pPr>
      <w:r>
        <w:t>2. Literature Review</w:t>
      </w:r>
    </w:p>
    <w:p ns2:paraId="03223EE0" ns2:textId="77777777" w:rsidR="00961C7F" w:rsidRDefault="008A042F" w:rsidP="00CE7FC0">
      <w:pPr>
        <w:pStyle w:val="Heading2"/>
        <w:jc w:val="both"/>
      </w:pPr>
      <w:r>
        <w:t>2.1 Self-selection and the Roy model</w:t>
      </w:r>
    </w:p>
    <w:p ns2:paraId="53D2BB58" ns2: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ns2:paraId="5669F0A3" ns2:textId="77777777" w:rsidR="000E7EDD" w:rsidRPr="000E7EDD" w:rsidRDefault="000E7EDD" w:rsidP="00924A14">
      <w:pPr>
        <w:pStyle w:val="isselectedend"/>
        <w:suppressAutoHyphens/>
        <w:spacing w:line="360" w:lineRule="auto"/>
        <w:jc w:val="both"/>
        <w:rPr>
          <w:rFonts w:asciiTheme="minorHAnsi" w:hAnsiTheme="minorHAnsi"/>
          <w:sz w:val="22"/>
          <w:szCs w:val="22"/>
        </w:rPr>
      </w:pPr>
      <w:r>
        <w:rPr>
          <w:rFonts w:asciiTheme="minorHAnsi" w:hAnsiTheme="minorHAnsi"/>
          <w:sz w:val="22"/>
          <w:szCs w:val="22"/>
        </w:rPr>
        <w:t>High-skilled workers generally have more destination choices than low-skilled workers because their skills are more transferable and widely demanded. Their migration may therefore respond more strongly to destination policy: if one country becomes harder to enter or less attractive, they may be better able to choose another.</w:t>
      </w:r>
    </w:p>
    <w:p ns2:paraId="39416EF6" ns2: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reaches similar conclusions: Macaluso (2022) reports that the post-2010 literature consistently finds positive selection on education, and Schmidt, Kristen and Mühlau (2022) document predominantly positive educational selection among first-generation immigrants in 18 European countries.</w:t>
      </w:r>
    </w:p>
    <w:p ns2:paraId="1E4AB3BA" ns2:textId="77777777" w:rsidR="00961C7F" w:rsidRDefault="008A042F">
      <w:pPr>
        <w:pStyle w:val="Heading2"/>
        <w:jc w:val="both"/>
      </w:pPr>
      <w:r>
        <w:lastRenderedPageBreak/>
        <w:t>2.2 Policy effectiveness and channel substitution</w:t>
      </w:r>
    </w:p>
    <w:p ns2:paraId="32DDB0AD" ns2:textId="77777777" w:rsidR="00961C7F" w:rsidRDefault="008A042F" w:rsidP="00E064AD">
      <w:pPr>
        <w:ind w:firstLine="720"/>
        <w:jc w:val="both"/>
      </w:pPr>
      <w:r>
        <w:t>Czaika and de Haas (2013) argue that policy effectiveness should not be judged only by whether reforms reduce aggregate migration. Restrictive reforms often change the channel of migration, legal versus family versus irregular, more than its amount; a policy can work in the intended direction by changing timing, route, legal category, or composition even when flows remain substantial. Channel substitution between legal visa types is not directly testable in the permit data used here, which count first permits within each reason category but do not track individuals across categories.</w:t>
      </w:r>
    </w:p>
    <w:p ns2:paraId="7DCFA8F9" ns2:textId="77777777" w:rsidR="00961C7F" w:rsidRDefault="008A042F">
      <w:pPr>
        <w:pStyle w:val="Heading2"/>
        <w:jc w:val="both"/>
      </w:pPr>
      <w:r>
        <w:t>2.3 Skill-selective policy design and instrument heterogeneity</w:t>
      </w:r>
    </w:p>
    <w:p ns2:paraId="22924747" ns2: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Skill-selective migration policy is a set of design choices rather than a single instrument: education requirements, occupational lists, salary thresholds, points systems, researcher or talent permits, employer sponsorship rules, labor-market tests, quotas, and qualification recognition. These tools work differently. Some select migrants directly on human capital, others delegate selection to employers, and others limit permit numbers or raise the administrative cost of hiring from abroad.</w:t>
      </w:r>
    </w:p>
    <w:p ns2:paraId="60C53B25"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ns2:paraId="097AD7CE"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ns2:paraId="48B5B9C0"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w:t>
        <w:lastRenderedPageBreak/>
        <w:t>schemes, researcher permits, shortage-list channels, salary rules, and employer-sponsored permits.</w:t>
      </w:r>
    </w:p>
    <w:p ns2:paraId="7EA3D243" ns2:textId="77777777" w:rsidR="008D6D9A" w:rsidRPr="008D6D9A" w:rsidRDefault="008D6D9A" w:rsidP="0066428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measurement literature points in the same direction. Rayp, Ruyssen and Standaert (2017), Helbling et al. (2017), and de Haas, Natter and Vezzoli’s (2015) work on migration-policy change show that immigration policy is multidimensional. Visible entry rules and less visible rules on stay, rights, and integration do not necessarily move together. </w:t>
      </w:r>
    </w:p>
    <w:p ns2:paraId="6DC65A89" ns2: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Together, these strands show why skill selectivity and general restrictiveness should be analyzed jointly. Selection models explain why policy costs hit skill groups differently; effectiveness studies show that rules redirect rather than simply stop migration; and the instrument literature shows that European states often tighten general access while preserving skilled channels. The remaining question is whether this pattern appears in annual permit data as a change in the skill composition of employment-related entry.</w:t>
      </w:r>
    </w:p>
    <w:p ns2:paraId="6D8C1FE5" ns2:textId="77777777" w:rsidR="00961C7F" w:rsidRDefault="008A042F">
      <w:pPr>
        <w:pStyle w:val="Heading2"/>
        <w:jc w:val="both"/>
      </w:pPr>
      <w:r>
        <w:t>2.4 Positioning relative to previous methods</w:t>
      </w:r>
    </w:p>
    <w:p ns2:paraId="33B08436" ns2: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Earlier studies mainly use one of three designs. Country-year fixed-effects models, exemplified by Mayda (2010) and Ortega and Peri (2013), exploit within-country variation in a plus-or-minus-one policy index. Bilateral gravity-style models with multilateral resistance, in the 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ns2:paraId="15CCD460" ns2:textId="77777777" w:rsidR="00961C7F" w:rsidRDefault="008A042F">
      <w:pPr>
        <w:pStyle w:val="Heading2"/>
      </w:pPr>
      <w:r>
        <w:t>2.5 Measurement of migration policy</w:t>
      </w:r>
    </w:p>
    <w:p ns2:paraId="6DFC28A9" ns2: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Migration-policy databases differ in coverage and detail. DEMIG TIMER offers long historical event data, IMPIC a structured index through 2010, and DEMIG-QuantMig European policy events through 2020 with fields for area, tool, target group, direction, and magnitude. Because the analysis needs dated, magnitude-weighted events covering the post-2008 European reform period, DEMIG-QuantMig is the most suitable source.</w:t>
      </w:r>
    </w:p>
    <w:p ns2:paraId="7DB0C7AA"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Together, these strands motivate the thesis's outcome and design. Selection theory supports studying the high-skilled share; policy-effectiveness research motivates the focus on </w:t>
        <w:lastRenderedPageBreak/>
        <w:t>restrictiveness; and the channel-substitution and gravity literatures motivate the bilateral specification with origin-year fixed effects.</w:t>
      </w:r>
    </w:p>
    <w:p ns2:paraId="01E8B0BC" ns2:textId="77777777" w:rsidR="00755367" w:rsidRDefault="00755367" w:rsidP="00755367">
      <w:pPr>
        <w:pStyle w:val="Heading2"/>
        <w:jc w:val="both"/>
      </w:pPr>
      <w:r>
        <w:t>2.6 The gap addressed by this thesis</w:t>
      </w:r>
    </w:p>
    <w:p ns2:paraId="56D0C608" ns2: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ns2:paraId="224A016B" ns2: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ns2:paraId="0C252E8E" ns2: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rPr>
        <w:t>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bilateral origin-destination-year model with destination and origin-year fixed effects and denominator weights. Fifth, it uses wild-cluster bootstrap inference to address the limited number of destination clusters. These choices sharpen the analysis, but the estimates remain conditional associations rather than causal effects.</w:t>
      </w:r>
    </w:p>
    <w:p ns2:paraId="0977B869" ns2: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rPr>
        <w:t>The design yields two substantive findings. First, the measured high-skilled response is concentrated in the national highly-skilled-worker permit category that can substitute for the general work-permit track. This is consistent with re-routing between legal entry channels rather than additional skilled arrivals (Section 7.3). Second, most retained policy events are liberalisations, and the association is identified mainly from those episodes. The result therefore describes how easing the general channel is associated with a lower skill share as much as how tightening is associated with a higher one (Section 8).</w:t>
      </w:r>
    </w:p>
    <w:p ns2:paraId="50EA37CF" ns2: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Accordingly, this thesis is an applied empirical contribution rather than a causal-identification paper. Its estimates are conditional associations, and that limit is maintained throughout the analysis, discussion, and conclusion.</w:t>
      </w:r>
    </w:p>
    <w:p ns2:paraId="446BEBB9" ns2:textId="77777777" w:rsidR="00961C7F" w:rsidRDefault="008A042F">
      <w:pPr>
        <w:pStyle w:val="Heading1"/>
      </w:pPr>
      <w:r>
        <w:lastRenderedPageBreak/>
        <w:t>3. Theoretical Framework</w:t>
      </w:r>
    </w:p>
    <w:p ns2:paraId="7B3EE4C8" ns2: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Fernandez-Huertas Moraga 2013). Together, they produce the testable prediction used in Section 5.</w:t>
      </w:r>
    </w:p>
    <w:p ns2:paraId="36DBBEEC"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ns2:paraId="27383DBA"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ns2:paraId="33A4C1D1"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migration is a bilateral choice, the gravity literature embeds it in a Random Utility Maximization framework. Bertoli and Fernández-Huertas Moraga (2013) show that the share of migrants from origin o choosing destination d depends on multilateral resistance, the relative attractiveness of all other destinations: when d tightens, migrants may divert to alternatives. This term is unobserved in standard data; the preferred bilateral specification absorbs it with origin-year fixed effects.</w:t>
      </w:r>
    </w:p>
    <w:p ns2:paraId="52AC4013"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ns2:paraId="3522E7E1" ns2: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entry-channel elasticity argument differs from the standard cross-destination elasticity argument, which predicts the opposite sign: if the only outside option were another destination, high-skilled workers would leave a tightening destination faster and the high-skilled share would </w:t>
        <w:lastRenderedPageBreak/>
        <w:t>fall. Because dedicated high-skill channels operate alongside general work-permit rules in Europe, the within-destination entry-channel interpretation is central to the thesis.</w:t>
      </w:r>
    </w:p>
    <w:p ns2:paraId="17266773" ns2: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HSRate is expected to rise if lower-skilled permits decline proportionally more than high-skilled permits, while total employment-related permits and the absolute high-skilled count may rise, stay flat, or fall.</w:t>
      </w:r>
    </w:p>
    <w:p ns2:paraId="375B6FE9" ns2:textId="77777777" w:rsidR="00961C7F" w:rsidRDefault="008A042F">
      <w:pPr>
        <w:pStyle w:val="Heading1"/>
        <w:jc w:val="both"/>
      </w:pPr>
      <w:r>
        <w:t>4. Institutional Background</w:t>
      </w:r>
    </w:p>
    <w:p ns2:paraId="49E0FBE9" ns2:textId="77777777" w:rsidR="00DA0408" w:rsidRPr="00F36226" w:rsidRDefault="00DA0408" w:rsidP="002B3974">
      <w:pPr>
        <w:pStyle w:val="NormalWeb"/>
        <w:suppressAutoHyphens/>
        <w:spacing w:line="360" w:lineRule="auto"/>
        <w:ind w:firstLine="720"/>
        <w:jc w:val="both"/>
        <w:rPr>
          <w:rFonts w:asciiTheme="minorHAnsi" w:hAnsiTheme="minorHAnsi" w:cstheme="majorHAnsi"/>
          <w:sz w:val="22"/>
          <w:szCs w:val="22"/>
        </w:rPr>
      </w:pPr>
      <w:r>
        <w:rPr>
          <w:rFonts w:asciiTheme="minorHAnsi" w:hAnsiTheme="minorHAnsi"/>
          <w:sz w:val="22"/>
          <w:szCs w:val="22"/>
        </w:rPr>
        <w:t>European labor-migration policy is organized in two layers. The EU layer sets minimum standards and harmonizes certain entry categories, notably the Blue Card Directive 2009/50/EC (recast as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 This uneven coverage is one reason the main high-skilled numerator does not rely on Blue Card permits, which are examined separately in Section 7.3.</w:t>
      </w:r>
    </w:p>
    <w:p ns2:paraId="572CF14F" ns2: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ns2:paraId="72325177" ns2: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ns2:paraId="0F6C4668" ns2:textId="77777777" w:rsidR="00DA0408" w:rsidRPr="00F36226"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 xml:space="preserve">Under TFEU Article 21 and Directive 2004/38/EC, EU citizens can generally take up employment in another Member State without a national work permit, although accession dates and temporary labor-market restrictions mean this did not hold uniformly for every citizenship pair over 2008-2019. National labor-migration reforms should therefore affect this group less directly </w:t>
        <w:lastRenderedPageBreak/>
        <w:t>than third-country nationals, making the EU27 aggregate an imperfect placebo rather than a clean untreated group.</w:t>
      </w:r>
    </w:p>
    <w:p ns2:paraId="47D5C724" ns2:textId="77777777" w:rsidR="00C70AE2" w:rsidRDefault="00A36F18">
      <w:pPr>
        <w:pStyle w:val="Heading1"/>
      </w:pPr>
      <w:r>
        <w:t>5. Empirical Strategy</w:t>
      </w:r>
    </w:p>
    <w:p ns2:paraId="6F45953B" ns2:textId="77777777" w:rsidR="00C70AE2" w:rsidRDefault="00A36F18" w:rsidP="00316B19">
      <w:pPr>
        <w:jc w:val="both"/>
      </w:pPr>
      <w:r>
        <w:t>This section defines the variables, estimands, regression specifications, and identifying assumptions.</w:t>
      </w:r>
    </w:p>
    <w:p ns2:paraId="5B7ADA83" ns2:textId="77777777" w:rsidR="00C70AE2" w:rsidRDefault="00A36F18">
      <w:pPr>
        <w:pStyle w:val="Heading2"/>
      </w:pPr>
      <w:bookmarkStart w:id="0" w:name="variable-construction"/>
      <w:r>
        <w:t>5.1 Variable construction</w:t>
      </w:r>
    </w:p>
    <w:p ns2:paraId="131DCAF4" ns2:textId="77777777" w:rsidR="00C70AE2" w:rsidRDefault="00A36F18" w:rsidP="00316B19">
      <w:pPr>
        <w:jc w:val="both"/>
      </w:pPr>
      <w:r>
        <w:t>For destination d, origin o, and year t, the main dependent variable is the high-skilled share of employment-related first residence permits. It is measured at the destination-year level in the aggregate panel and at the origin-destination-year level in the bilateral panel. Because its denominator is Eurostat's employment-reason permit flow, HSRate measures composition within legal employment-permit issuance rather than total employment in the destination economy. The main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ns2:paraId="78FFB3AD" ns2:textId="77777777" w:rsidR="00C70AE2" w:rsidRDefault="00A36F18" w:rsidP="00316B19">
      <w:pPr>
        <w:pStyle w:val="BodyText"/>
        <w:jc w:val="both"/>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The share outcome divides that count by the broader employment-related first-permit flow in the same cell:</w:t>
      </w:r>
    </w:p>
    <w:p ns2:paraId="049CE72B" ns2:textId="77777777" w:rsidR="00C70AE2" w:rsidRDefault="00000000">
      <w:pPr>
        <w:pStyle w:val="BodyText"/>
      </w:pPr>
      <ns8:oMathPara>
        <ns8:oMathParaPr>
          <ns8:jc ns8:val="center"/>
        </ns8:oMathParaPr>
        <ns8:oMath>
          <ns8:sSub>
            <ns8:sSubPr>
              <ns8:ctrlPr>
                <w:rPr>
                  <w:rFonts w:ascii="Cambria Math" w:hAnsi="Cambria Math"/>
                </w:rPr>
              </ns8:ctrlPr>
            </ns8:sSubPr>
            <ns8:e>
              <ns8:r>
                <ns8:rPr>
                  <ns8:sty ns8:val="p"/>
                </ns8:rPr>
                <w:rPr>
                  <w:rFonts w:ascii="Cambria Math" w:hAnsi="Cambria Math"/>
                </w:rPr>
                <ns8:t>HSNumber</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HighSkilledWorkerPermits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ResearcherPermits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oMath>
      </ns8:oMathPara>
    </w:p>
    <w:p ns2:paraId="125CFEB7" ns2:textId="77777777" w:rsidR="00C70AE2" w:rsidRDefault="00000000">
      <ns8:oMathPara>
        <ns8:oMathParaPr>
          <ns8:jc ns8:val="center"/>
        </ns8:oMathParaPr>
        <ns8:oMath>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ns8:rPr>
                      <ns8:sty ns8:val="p"/>
                    </ns8:rPr>
                    <w:rPr>
                      <w:rFonts w:ascii="Cambria Math" w:hAnsi="Cambria Math"/>
                    </w:rPr>
                    <ns8:t>HSNumber</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num>
            <ns8:den>
              <ns8:sSub>
                <ns8:sSubPr>
                  <ns8:ctrlPr>
                    <w:rPr>
                      <w:rFonts w:ascii="Cambria Math" w:hAnsi="Cambria Math"/>
                    </w:rPr>
                  </ns8:ctrlPr>
                </ns8:sSubPr>
                <ns8:e>
                  <ns8:r>
                    <ns8:rPr>
                      <ns8:sty ns8:val="p"/>
                    </ns8:rPr>
                    <w:rPr>
                      <w:rFonts w:ascii="Cambria Math" w:hAnsi="Cambria Math"/>
                    </w:rPr>
                    <ns8:t>EmploymentPermitFlow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den>
          </ns8:f>
        </ns8:oMath>
      </ns8:oMathPara>
    </w:p>
    <w:p ns2:paraId="14A47EC3" ns2:textId="77777777" w:rsidR="00C70AE2" w:rsidRDefault="00A36F18" w:rsidP="00316B19">
      <w:pPr>
        <w:jc w:val="both"/>
      </w:pPr>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ns2:paraId="059FAEDF" ns2:textId="77777777" w:rsidR="00C70AE2" w:rsidRDefault="00000000">
      <w:pPr>
        <w:pStyle w:val="BodyText"/>
      </w:pPr>
      <ns8:oMathPara>
        <ns8:oMathParaPr>
          <ns8:jc ns8:val="center"/>
        </ns8:oMathParaPr>
        <ns8:oMath>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=log</ns8:t>
          </ns8:r>
          <ns8:r>
            <w:rPr>
              <w:rFonts w:ascii="Cambria Math" w:hAnsi="Cambria Math"/>
            </w:rPr>
            <ns8:t>​</ns8:t>
          </ns8:r>
          <ns8:d>
            <ns8:dPr>
              <ns8:ctrlPr>
                <w:rPr>
                  <w:rFonts w:ascii="Cambria Math" w:hAnsi="Cambria Math"/>
                </w:rPr>
              </ns8:ctrlPr>
            </ns8:dPr>
            <ns8:e>
              <ns8:r>
                <w:rPr>
                  <w:rFonts w:ascii="Cambria Math" w:hAnsi="Cambria Math"/>
                </w:rPr>
                <ns8:t>1</ns8:t>
              </ns8:r>
              <ns8:r>
                <ns8:rPr>
                  <ns8:sty ns8:val="p"/>
                </ns8:rPr>
                <w:rPr>
                  <w:rFonts w:ascii="Cambria Math" w:hAnsi="Cambria Math"/>
                </w:rPr>
                <ns8:t>+</ns8:t>
              </ns8:r>
              <ns8:sSub>
                <ns8:sSubPr>
                  <ns8:ctrlPr>
                    <w:rPr>
                      <w:rFonts w:ascii="Cambria Math" w:hAnsi="Cambria Math"/>
                    </w:rPr>
                  </ns8:ctrlPr>
                </ns8:sSubPr>
                <ns8:e>
                  <ns8:r>
                    <ns8:rPr>
                      <ns8:sty ns8:val="p"/>
                    </ns8:rPr>
                    <w:rPr>
                      <w:rFonts w:ascii="Cambria Math" w:hAnsi="Cambria Math"/>
                    </w:rPr>
                    <ns8:t>EmploymentPermitFlow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d>
        </ns8:oMath>
      </ns8:oMathPara>
    </w:p>
    <w:p ns2:paraId="5A04650C" ns2:textId="77777777" w:rsidR="00C70AE2" w:rsidRDefault="00A36F18">
      <w:pPr>
        <w:pStyle w:val="Heading2"/>
      </w:pPr>
      <w:bookmarkStart w:id="1" w:name="regression-specifications"/>
      <w:bookmarkEnd w:id="0"/>
      <w:r>
        <w:t>5.2 Regression specifications</w:t>
      </w:r>
    </w:p>
    <w:p ns2:paraId="75A5547F" ns2:textId="77777777" w:rsidR="008F026E" w:rsidRDefault="00A36F18" w:rsidP="00316B19">
      <w:pPr>
        <w:jc w:val="both"/>
      </w:pPr>
      <w:r>
        <w:t>The empirical analysis uses four specifications, each with a distinct role. Specification 1 is the aggregate cumulative-policy benchmark. Specification 2 replaces the cumulative measure with annual policy flows. Specification 3 is the preferred bilateral share model and provides the main estimate; it is estimated with denominator weights. Specification 4 applies PPML to bilateral permit counts to assess whether the composition result is accompanied by changes in permit volumes. The models are introduced in this order so that each dependent variable, source of variation, and purpose is clear before the results are reported.</w:t>
      </w:r>
    </w:p>
    <w:p ns2:paraId="62A795DA" ns2:textId="77777777" w:rsidR="00C70AE2" w:rsidRDefault="00A36F18" w:rsidP="00316B19">
      <w:pPr>
        <w:pStyle w:val="BodyText"/>
        <w:jc w:val="both"/>
      </w:pPr>
      <w:r>
        <w:rPr>
          <w:b/>
          <w:bCs/>
        </w:rPr>
        <w:t>Specification 1: Aggregate cumulative-policy model.</w:t>
      </w:r>
      <w:r>
        <w:t xml:space="preserve"> Equation (1) is the aggregate two-way fixed-effects model for the Non-EU sample. Its destination-year outcomes are constructed by summing permit counts across Non-EU citizenships. The equation uses the cumulative policy-change score, while high-skilled and low-skilled target-group policy paths enter as controls:</w:t>
      </w:r>
    </w:p>
    <w:p ns2:paraId="522CC6DA" ns2:textId="77777777" w:rsidR="00C70AE2" w:rsidRDefault="00000000">
      <w:pPr>
        <w:pStyle w:val="BodyText"/>
      </w:pPr>
      <ns8:oMathPara>
        <ns8:oMathParaPr>
          <ns8:jc ns8:val="center"/>
        </ns8:oMathParaPr>
        <ns8:oMath>
          <ns8:eqArr>
            <ns8:eqArrPr>
              <ns8:ctrlPr>
                <w:rPr>
                  <w:rFonts w:ascii="Cambria Math" w:hAnsi="Cambria Math"/>
                </w:rPr>
              </ns8:ctrlPr>
            </ns8:eqArrPr>
            <ns8:e>
              <ns8:r>
                <ns8:rPr>
                  <ns8:sty ns8:val="p"/>
                </ns8:rPr>
                <w:rPr>
                  <w:rFonts w:ascii="Cambria Math" w:hAnsi="Cambria Math"/>
                </w:rPr>
                <ns8:t xml:space="preserve">(1) </ns8:t>
              </ns8:r>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λ</ns8:t>
                  </ns8:r>
                </ns8:e>
                <ns8:sub>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1AD5804D" ns2:textId="77777777" w:rsidR="008F026E" w:rsidRDefault="00A36F18" w:rsidP="00316B19">
      <w:pPr>
        <w:jc w:val="both"/>
      </w:pPr>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events. RestrictHS and RestrictLS control for reforms that directly target the high-skilled numerator or the lower-skilled part of the denominator. PermitScale controls for the size of the permit denominator, not total employment in the destination economy.</w:t>
      </w:r>
    </w:p>
    <w:p ns2:paraId="0BA7BB0E" ns2:textId="77777777" w:rsidR="00C70AE2" w:rsidRDefault="00A36F18" w:rsidP="00316B19">
      <w:pPr>
        <w:pStyle w:val="BodyText"/>
        <w:jc w:val="both"/>
      </w:pPr>
      <w:r>
        <w:t>In the aggregate model, PermitScale is computed from the lagged Non-EU employment-permit flow for the same destination. It therefore matches the permit universe used to construct the aggregate Non-EU outcome.</w:t>
      </w:r>
    </w:p>
    <w:p ns2:paraId="3CBFBA97" ns2:textId="77777777" w:rsidR="00C70AE2" w:rsidRPr="00316B19" w:rsidRDefault="00A36F18" w:rsidP="00316B19">
      <w:pPr>
        <w:pStyle w:val="BodyText"/>
        <w:jc w:val="both"/>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w:t>
        <w:lastRenderedPageBreak/>
        <w:t>reforms, and PolicyFlowHS and PolicyFlowLS are the corresponding target-group scores; Section 6.2 describes their construction:</w:t>
      </w:r>
    </w:p>
    <w:p ns2:paraId="2265F6AB" ns2:textId="77777777" w:rsidR="00C70AE2" w:rsidRDefault="00000000">
      <w:pPr>
        <w:pStyle w:val="BodyText"/>
      </w:pPr>
      <ns8:oMathPara>
        <ns8:oMathParaPr>
          <ns8:jc ns8:val="center"/>
        </ns8:oMathParaPr>
        <ns8:oMath>
          <ns8:eqArr>
            <ns8:eqArrPr>
              <ns8:ctrlPr>
                <w:rPr>
                  <w:rFonts w:ascii="Cambria Math" w:hAnsi="Cambria Math"/>
                </w:rPr>
              </ns8:ctrlPr>
            </ns8:eqArrPr>
            <ns8:e>
              <ns8:r>
                <ns8:rPr>
                  <ns8:sty ns8:val="p"/>
                </ns8:rPr>
                <w:rPr>
                  <w:rFonts w:ascii="Cambria Math" w:hAnsi="Cambria Math"/>
                </w:rPr>
                <ns8:t>(2)</ns8:t>
              </ns8:r>
              <ns8:r>
                <w:rPr>
                  <w:rFonts w:ascii="Cambria Math" w:hAnsi="Cambria Math"/>
                </w:rPr>
                <ns8:t xml:space="preserve"> </ns8:t>
              </ns8:r>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λ</ns8:t>
                  </ns8:r>
                </ns8:e>
                <ns8:sub>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PolicyFlow</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PolicyFlowHS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PolicyFlowLS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3CB4C05C" ns2:textId="77777777" w:rsidR="00C70AE2" w:rsidRDefault="00A36F18" w:rsidP="00316B19">
      <w:pPr>
        <w:jc w:val="both"/>
      </w:pPr>
      <w:r>
        <w:rPr>
          <w:b/>
          <w:bCs/>
        </w:rPr>
        <w:t xml:space="preserve">Specification 3: </w:t>
      </w:r>
      <w:r>
        <w:t>Preferred bilateral share model. 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restrictiveness from skill-targeted reforms and reduces noise from small permit cells.</w:t>
      </w:r>
    </w:p>
    <w:p ns2:paraId="7D4452C6" ns2:textId="77777777" w:rsidR="00C70AE2" w:rsidRDefault="00000000">
      <w:pPr>
        <w:pStyle w:val="BodyText"/>
      </w:pPr>
      <ns8:oMathPara>
        <ns8:oMathParaPr>
          <ns8:jc ns8:val="center"/>
        </ns8:oMathParaPr>
        <ns8:oMath>
          <ns8:eqArr>
            <ns8:eqArrPr>
              <ns8:ctrlPr>
                <w:rPr>
                  <w:rFonts w:ascii="Cambria Math" w:hAnsi="Cambria Math"/>
                </w:rPr>
              </ns8:ctrlPr>
            </ns8:eqArrPr>
            <ns8:e>
              <ns8:r>
                <ns8:rPr>
                  <ns8:sty ns8:val="p"/>
                </ns8:rPr>
                <w:rPr>
                  <w:rFonts w:ascii="Cambria Math" w:hAnsi="Cambria Math"/>
                </w:rPr>
                <ns8:t>(3)</ns8:t>
              </ns8:r>
              <ns8:r>
                <w:rPr>
                  <w:rFonts w:ascii="Cambria Math" w:hAnsi="Cambria Math"/>
                </w:rPr>
                <ns8:t xml:space="preserve"> </ns8:t>
              </ns8:r>
              <ns8:sSub>
                <ns8:sSubPr>
                  <ns8:ctrlPr>
                    <w:rPr>
                      <w:rFonts w:ascii="Cambria Math" w:hAnsi="Cambria Math"/>
                    </w:rPr>
                  </ns8:ctrlPr>
                </ns8:sSubPr>
                <ns8:e>
                  <ns8:r>
                    <ns8:rPr>
                      <ns8:sty ns8:val="p"/>
                    </ns8:rPr>
                    <w:rPr>
                      <w:rFonts w:ascii="Cambria Math" w:hAnsi="Cambria Math"/>
                    </w:rPr>
                    <ns8:t>HSRate</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μ</ns8:t>
                  </ns8:r>
                </ns8:e>
                <ns8:sub>
                  <ns8:r>
                    <w:rPr>
                      <w:rFonts w:ascii="Cambria Math" w:hAnsi="Cambria Math"/>
                    </w:rPr>
                    <ns8:t>o</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γ </ns8:t>
              </ns8:r>
              <ns8:sSub>
                <ns8:sSubPr>
                  <ns8:ctrlPr>
                    <w:rPr>
                      <w:rFonts w:ascii="Cambria Math" w:hAnsi="Cambria Math"/>
                    </w:rPr>
                  </ns8:ctrlPr>
                </ns8:sSubPr>
                <ns8:e>
                  <ns8:r>
                    <ns8:rPr>
                      <ns8:sty ns8:val="p"/>
                    </ns8:rPr>
                    <w:rPr>
                      <w:rFonts w:ascii="Cambria Math" w:hAnsi="Cambria Math"/>
                    </w:rPr>
                    <ns8:t>PermitScale</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ε</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e>
          </ns8:eqArr>
        </ns8:oMath>
      </ns8:oMathPara>
    </w:p>
    <w:p ns2:paraId="41286F77" ns2:textId="77777777" w:rsidR="00C70AE2" w:rsidRPr="00316B19" w:rsidRDefault="00A36F18" w:rsidP="00316B19">
      <w:pPr>
        <w:jc w:val="both"/>
      </w:pPr>
      <w:r>
        <w:t xml:space="preserve">In Equation (3), o indexes origin countries and </w:t>
      </w:r>
      <ns8:oMath>
        <ns8:r>
          <w:rPr>
            <w:rFonts w:ascii="Cambria Math" w:hAnsi="Cambria Math"/>
          </w:rPr>
          <ns8:t>μ</ns8:t>
        </ns8:r>
      </ns8:oMath>
      <w:r>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ns8:oMath>
        <ns8:r>
          <w:rPr>
            <w:rFonts w:ascii="Cambria Math" w:hAnsi="Cambria Math"/>
          </w:rPr>
          <ns8:t>β</ns8:t>
        </ns8:r>
      </ns8:oMath>
      <w:r>
        <w:t xml:space="preserve"> is interpreted as the association of general employment-migration restrictiveness with HSRate, holding targeted skill-selective policy paths constant. The preferred estimate is obtained by weighted least squares (WLS) rather than unweighted ordinary least squares (OLS). Both estimators fit Equation (3) by making the model's prediction errors as small as possible; they differ only in how much influence each origin-destination-year cell has on that fit.</w:t>
      </w:r>
    </w:p>
    <w:p ns2:paraId="4748F389" ns2:textId="77777777" w:rsidR="00C70AE2" w:rsidRPr="00316B19" w:rsidRDefault="00A36F18" w:rsidP="00316B19">
      <w:pPr>
        <w:jc w:val="both"/>
      </w:pPr>
      <w:r>
        <w:t xml:space="preserve">Unweighted OLS treats every cell as equally informative: a corridor whose HSRate is computed from 30 employment permits counts exactly as much as one computed from 5,000. Shares built from a handful of permits are volatile, because a single differently classified permit can move HSRate by several percentage points, while shares built from thousands of permits are measured precisely. WLS therefore lets each cell count in proportion to its current employment-permit </w:t>
        <w:lastRenderedPageBreak/>
        <w:t>denominator, in the same way that a weighted average lets larger groups contribute more than smaller ones. Precisely measured shares anchor the estimate, and noisy shares from small cells are down-weighted. This weight is not an explanatory variable and receives no coefficient; it only determines how strongly each cell influences the estimation. The resulting coefficient is therefore a permit-denominator-weighted association, whereas unweighted OLS estimates an equal-cell association.</w:t>
      </w:r>
    </w:p>
    <w:p ns2:paraId="54B3974D" ns2:textId="77777777" w:rsidR="00C70AE2" w:rsidRPr="00316B19" w:rsidRDefault="00A36F18" w:rsidP="00316B19">
      <w:pPr>
        <w:pStyle w:val="BodyText"/>
        <w:jc w:val="both"/>
      </w:pPr>
      <w:r>
        <w:t>PermitScale is a control variable inside Equation (3). It is the log of one plus the corridor's employment-permit flow in the previous year and receives its own coefficient. It is included because larger corridors may systematically differ in skill composition, and corridor size may itself move with policy, so the model holds each corridor's lagged scale constant when estimating the policy coefficient. The previous year's flow is used because the current flow is the denominator of HSRate itself and can be affected by the same policies; the lagged value captures corridor size without reusing the current denominator.</w:t>
      </w:r>
    </w:p>
    <w:p ns2:paraId="08C03839" ns2:textId="77777777" w:rsidR="00C70AE2" w:rsidRPr="00316B19" w:rsidRDefault="00A36F18" w:rsidP="00316B19">
      <w:pPr>
        <w:pStyle w:val="BodyText"/>
        <w:jc w:val="both"/>
      </w:pPr>
      <w:r>
        <w:t>The preferred design combines origin-year fixed effects, which absorb shocks shared by migrants from the same origin and year, with denominator weights that reduce the influence of noisy shares from small permit cells.</w:t>
      </w:r>
    </w:p>
    <w:p ns2:paraId="51398E9D" ns2:textId="77777777" w:rsidR="00C70AE2" w:rsidRDefault="00A36F18" w:rsidP="00316B19">
      <w:pPr>
        <w:pStyle w:val="BodyText"/>
        <w:keepNext/>
        <w:jc w:val="both"/>
      </w:pPr>
      <w:r>
        <w:rPr>
          <w:b/>
          <w:bCs/>
        </w:rPr>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ns2:paraId="282107CF" ns2:textId="77777777" w:rsidR="00C70AE2" w:rsidRDefault="00000000">
      <w:pPr>
        <w:pStyle w:val="BodyText"/>
      </w:pPr>
      <ns8:oMathPara>
        <ns8:oMathParaPr>
          <ns8:jc ns8:val="center"/>
        </ns8:oMathParaPr>
        <ns8:oMath>
          <ns8:eqArr>
            <ns8:eqArrPr>
              <ns8:ctrlPr>
                <w:rPr>
                  <w:rFonts w:ascii="Cambria Math" w:hAnsi="Cambria Math"/>
                </w:rPr>
              </ns8:ctrlPr>
            </ns8:eqArrPr>
            <ns8:e>
              <ns8:r>
                <ns8:rPr>
                  <ns8:sty ns8:val="p"/>
                </ns8:rPr>
                <w:rPr>
                  <w:rFonts w:ascii="Cambria Math" w:hAnsi="Cambria Math"/>
                </w:rPr>
                <ns8:t>(4) E</ns8:t>
              </ns8:r>
              <ns8:r>
                <w:rPr>
                  <w:rFonts w:ascii="Cambria Math" w:hAnsi="Cambria Math"/>
                </w:rPr>
                <ns8:t>​</ns8:t>
              </ns8:r>
              <ns8:d>
                <ns8:dPr>
                  <ns8:begChr ns8:val="["/>
                  <ns8:endChr ns8:val="]"/>
                  <ns8:ctrlPr>
                    <w:rPr>
                      <w:rFonts w:ascii="Cambria Math" w:hAnsi="Cambria Math"/>
                    </w:rPr>
                  </ns8:ctrlPr>
                </ns8:dPr>
                <ns8:e>
                  <ns8:sSub>
                    <ns8:sSubPr>
                      <ns8:ctrlPr>
                        <w:rPr>
                          <w:rFonts w:ascii="Cambria Math" w:hAnsi="Cambria Math"/>
                        </w:rPr>
                      </ns8:ctrlPr>
                    </ns8:sSubPr>
                    <ns8:e>
                      <ns8:r>
                        <w:rPr>
                          <w:rFonts w:ascii="Cambria Math" w:hAnsi="Cambria Math"/>
                        </w:rPr>
                        <ns8:t>Y</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X</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e>
              </ns8:d>
              <ns8:r>
                <ns8:rPr>
                  <ns8:sty ns8:val="p"/>
                </ns8:rPr>
                <w:rPr>
                  <w:rFonts w:ascii="Cambria Math" w:hAnsi="Cambria Math"/>
                </w:rPr>
                <ns8:t>=exp</ns8:t>
              </ns8:r>
              <ns8:r>
                <w:rPr>
                  <w:rFonts w:ascii="Cambria Math" w:hAnsi="Cambria Math"/>
                </w:rPr>
                <ns8:t>​</ns8:t>
              </ns8:r>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α</ns8:t>
                  </ns8:r>
                </ns8:e>
                <ns8:sub>
                  <ns8:r>
                    <w:rPr>
                      <w:rFonts w:ascii="Cambria Math" w:hAnsi="Cambria Math"/>
                    </w:rPr>
                    <ns8:t>d</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μ</ns8:t>
                  </ns8:r>
                </ns8:e>
                <ns8:sub>
                  <ns8:r>
                    <w:rPr>
                      <w:rFonts w:ascii="Cambria Math" w:hAnsi="Cambria Math"/>
                    </w:rPr>
                    <ns8:t>o</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ns8:t>
              </ns8:r>
              <ns8:r>
                <w:rPr>
                  <w:rFonts w:ascii="Cambria Math" w:hAnsi="Cambria Math"/>
                </w:rPr>
                <ns8:t>β </ns8:t>
              </ns8:r>
              <ns8:sSub>
                <ns8:sSubPr>
                  <ns8:ctrlPr>
                    <w:rPr>
                      <w:rFonts w:ascii="Cambria Math" w:hAnsi="Cambria Math"/>
                    </w:rPr>
                  </ns8:ctrlPr>
                </ns8:sSubPr>
                <ns8:e>
                  <ns8:r>
                    <ns8:rPr>
                      <ns8:sty ns8:val="p"/>
                    </ns8:rPr>
                    <w:rPr>
                      <w:rFonts w:ascii="Cambria Math" w:hAnsi="Cambria Math"/>
                    </w:rPr>
                    <ns8:t>Restrict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HS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RestrictHS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e>
            <ns8:e>
              <ns8:r>
                <ns8:rPr>
                  <ns8:sty ns8:val="p"/>
                </ns8:rPr>
                <w:rPr>
                  <w:rFonts w:ascii="Cambria Math" w:hAnsi="Cambria Math"/>
                </w:rPr>
                <ns8:t>+</ns8:t>
              </ns8:r>
              <ns8:sSub>
                <ns8:sSubPr>
                  <ns8:ctrlPr>
                    <w:rPr>
                      <w:rFonts w:ascii="Cambria Math" w:hAnsi="Cambria Math"/>
                    </w:rPr>
                  </ns8:ctrlPr>
                </ns8:sSubPr>
                <ns8:e>
                  <ns8:r>
                    <w:rPr>
                      <w:rFonts w:ascii="Cambria Math" w:hAnsi="Cambria Math"/>
                    </w:rPr>
                    <ns8:t>θ</ns8:t>
                  </ns8:r>
                </ns8:e>
                <ns8:sub>
                  <ns8:r>
                    <w:rPr>
                      <w:rFonts w:ascii="Cambria Math" w:hAnsi="Cambria Math"/>
                    </w:rPr>
                    <ns8:t>LS</ns8:t>
                  </ns8:r>
                </ns8:sub>
              </ns8:sSub>
              <ns8:r>
                <w:rPr>
                  <w:rFonts w:ascii="Cambria Math" w:hAnsi="Cambria Math"/>
                </w:rPr>
                <ns8:t> </ns8:t>
              </ns8:r>
              <ns8:sSub>
                <ns8:sSubPr>
                  <ns8:ctrlPr>
                    <w:rPr>
                      <w:rFonts w:ascii="Cambria Math" w:hAnsi="Cambria Math"/>
                    </w:rPr>
                  </ns8:ctrlPr>
                </ns8:sSubPr>
                <ns8:e>
                  <ns8:r>
                    <ns8:rPr>
                      <ns8:sty ns8:val="p"/>
                    </ns8:rPr>
                    <w:rPr>
                      <w:rFonts w:ascii="Cambria Math" w:hAnsi="Cambria Math"/>
                    </w:rPr>
                    <ns8:t>RestrictLS</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δ </ns8:t>
              </ns8:r>
              <ns8:sSub>
                <ns8:sSubPr>
                  <ns8:ctrlPr>
                    <w:rPr>
                      <w:rFonts w:ascii="Cambria Math" w:hAnsi="Cambria Math"/>
                    </w:rPr>
                  </ns8:ctrlPr>
                </ns8:sSubPr>
                <ns8:e>
                  <ns8:r>
                    <ns8:rPr>
                      <ns8:sty ns8:val="p"/>
                    </ns8:rPr>
                    <w:rPr>
                      <w:rFonts w:ascii="Cambria Math" w:hAnsi="Cambria Math"/>
                    </w:rPr>
                    <ns8:t>Unemployment</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r>
                <w:rPr>
                  <w:rFonts w:ascii="Cambria Math" w:hAnsi="Cambria Math"/>
                </w:rPr>
                <ns8:t>φ </ns8:t>
              </ns8:r>
              <ns8:sSub>
                <ns8:sSubPr>
                  <ns8:ctrlPr>
                    <w:rPr>
                      <w:rFonts w:ascii="Cambria Math" w:hAnsi="Cambria Math"/>
                    </w:rPr>
                  </ns8:ctrlPr>
                </ns8:sSubPr>
                <ns8:e>
                  <ns8:r>
                    <ns8:rPr>
                      <ns8:sty ns8:val="p"/>
                    </ns8:rPr>
                    <w:rPr>
                      <w:rFonts w:ascii="Cambria Math" w:hAnsi="Cambria Math"/>
                    </w:rPr>
                    <ns8:t>GDPGrowth</ns8:t>
                  </ns8:r>
                </ns8:e>
                <ns8:sub>
                  <ns8:r>
                    <w:rPr>
                      <w:rFonts w:ascii="Cambria Math" w:hAnsi="Cambria Math"/>
                    </w:rPr>
                    <ns8:t>d</ns8:t>
                  </ns8:r>
                  <ns8:r>
                    <ns8:rPr>
                      <ns8:sty ns8:val="p"/>
                    </ns8:rPr>
                    <w:rPr>
                      <w:rFonts w:ascii="Cambria Math" w:hAnsi="Cambria Math"/>
                    </w:rPr>
                    <ns8:t>,</ns8:t>
                  </ns8:r>
                  <ns8:r>
                    <w:rPr>
                      <w:rFonts w:ascii="Cambria Math" w:hAnsi="Cambria Math"/>
                    </w:rPr>
                    <ns8:t>t</ns8:t>
                  </ns8:r>
                  <ns8:r>
                    <ns8:rPr>
                      <ns8:sty ns8:val="p"/>
                    </ns8:rPr>
                    <w:rPr>
                      <w:rFonts w:ascii="Cambria Math" w:hAnsi="Cambria Math"/>
                    </w:rPr>
                    <ns8:t>-</ns8:t>
                  </ns8:r>
                  <ns8:r>
                    <w:rPr>
                      <w:rFonts w:ascii="Cambria Math" w:hAnsi="Cambria Math"/>
                    </w:rPr>
                    <ns8:t>1</ns8:t>
                  </ns8:r>
                </ns8:sub>
              </ns8:sSub>
              <ns8:r>
                <ns8:rPr>
                  <ns8:sty ns8:val="p"/>
                </ns8:rPr>
                <w:rPr>
                  <w:rFonts w:ascii="Cambria Math" w:hAnsi="Cambria Math"/>
                </w:rPr>
                <ns8:t>)</ns8:t>
              </ns8:r>
            </ns8:e>
            <ns8:e>
              <ns8:r>
                <ns8:rPr>
                  <ns8:sty ns8:val="p"/>
                </ns8:rPr>
                <w:rPr>
                  <w:rFonts w:ascii="Cambria Math" w:hAnsi="Cambria Math"/>
                </w:rPr>
                <ns8:t xml:space="preserve">where </ns8:t>
              </ns8:r>
              <ns8:sSub>
                <ns8:sSubPr>
                  <ns8:ctrlPr>
                    <w:rPr>
                      <w:rFonts w:ascii="Cambria Math" w:hAnsi="Cambria Math"/>
                    </w:rPr>
                  </ns8:ctrlPr>
                </ns8:sSubPr>
                <ns8:e>
                  <ns8:r>
                    <w:rPr>
                      <w:rFonts w:ascii="Cambria Math" w:hAnsi="Cambria Math"/>
                    </w:rPr>
                    <ns8:t>Y</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 xml:space="preserve"> ∈ </ns8:t>
              </ns8:r>
              <ns8:d>
                <ns8:dPr>
                  <ns8:begChr ns8:val="{"/>
                  <ns8:endChr ns8:val="}"/>
                  <ns8:ctrlPr>
                    <w:rPr>
                      <w:rFonts w:ascii="Cambria Math" w:hAnsi="Cambria Math"/>
                    </w:rPr>
                  </ns8:ctrlPr>
                </ns8:dPr>
                <ns8:e>
                  <ns8:sSub>
                    <ns8:sSubPr>
                      <ns8:ctrlPr>
                        <w:rPr>
                          <w:rFonts w:ascii="Cambria Math" w:hAnsi="Cambria Math"/>
                        </w:rPr>
                      </ns8:ctrlPr>
                    </ns8:sSubPr>
                    <ns8:e>
                      <ns8:r>
                        <w:rPr>
                          <w:rFonts w:ascii="Cambria Math" w:hAnsi="Cambria Math"/>
                        </w:rPr>
                        <ns8:t>HSNumber</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r>
                    <ns8:rPr>
                      <ns8:sty ns8:val="p"/>
                    </ns8:rPr>
                    <w:rPr>
                      <w:rFonts w:ascii="Cambria Math" w:hAnsi="Cambria Math"/>
                    </w:rPr>
                    <ns8:t xml:space="preserve">, </ns8:t>
                  </ns8:r>
                  <ns8:sSub>
                    <ns8:sSubPr>
                      <ns8:ctrlPr>
                        <w:rPr>
                          <w:rFonts w:ascii="Cambria Math" w:hAnsi="Cambria Math"/>
                        </w:rPr>
                      </ns8:ctrlPr>
                    </ns8:sSubPr>
                    <ns8:e>
                      <ns8:r>
                        <w:rPr>
                          <w:rFonts w:ascii="Cambria Math" w:hAnsi="Cambria Math"/>
                        </w:rPr>
                        <ns8:t>EMP</ns8:t>
                      </ns8:r>
                    </ns8:e>
                    <ns8:sub>
                      <ns8:r>
                        <w:rPr>
                          <w:rFonts w:ascii="Cambria Math" w:hAnsi="Cambria Math"/>
                        </w:rPr>
                        <ns8:t>o</ns8:t>
                      </ns8:r>
                      <ns8:r>
                        <ns8:rPr>
                          <ns8:sty ns8:val="p"/>
                        </ns8:rPr>
                        <w:rPr>
                          <w:rFonts w:ascii="Cambria Math" w:hAnsi="Cambria Math"/>
                        </w:rPr>
                        <ns8:t>,</ns8:t>
                      </ns8:r>
                      <ns8:r>
                        <w:rPr>
                          <w:rFonts w:ascii="Cambria Math" w:hAnsi="Cambria Math"/>
                        </w:rPr>
                        <ns8:t>d</ns8:t>
                      </ns8:r>
                      <ns8:r>
                        <ns8:rPr>
                          <ns8:sty ns8:val="p"/>
                        </ns8:rPr>
                        <w:rPr>
                          <w:rFonts w:ascii="Cambria Math" w:hAnsi="Cambria Math"/>
                        </w:rPr>
                        <ns8:t>,</ns8:t>
                      </ns8:r>
                      <ns8:r>
                        <w:rPr>
                          <w:rFonts w:ascii="Cambria Math" w:hAnsi="Cambria Math"/>
                        </w:rPr>
                        <ns8:t>t</ns8:t>
                      </ns8:r>
                    </ns8:sub>
                  </ns8:sSub>
                </ns8:e>
              </ns8:d>
            </ns8:e>
          </ns8:eqArr>
        </ns8:oMath>
      </ns8:oMathPara>
    </w:p>
    <w:p ns2:paraId="163563D2" ns2:textId="77777777" w:rsidR="00162473" w:rsidRDefault="00A36F18" w:rsidP="00316B19">
      <w:pPr>
        <w:jc w:val="both"/>
      </w:pPr>
      <w:r>
        <w:t>Equation (4) takes a different form from Equation (3) because it models a count rather than a share. The left-hand side is the expected number of permits in a cell given the covariates, and the exponential function guarantees that this expected number is always positive, which a linear model cannot promise for a count outcome. The exponential form also makes the coefficients proportional rather than additive: a one-unit policy change shifts the expected permit count by a percentage, which carries the same meaning in a corridor of fifty permits and in a corridor of fifty thousand.</w:t>
      </w:r>
    </w:p>
    <w:p ns2:paraId="19433E0B" ns2:textId="77777777" w:rsidR="00C70AE2" w:rsidRPr="00316B19" w:rsidRDefault="00A36F18" w:rsidP="00316B19">
      <w:pPr>
        <w:spacing w:after="0"/>
        <w:jc w:val="both"/>
      </w:pPr>
      <w:r>
        <w:rPr>
          <w:rFonts w:ascii="Times New Roman" w:eastAsia="Times New Roman" w:hAnsi="Times New Roman"/>
          <w:sz w:val="24"/>
        </w:rPr>
        <w:t xml:space="preserve">Equation (4) is therefore estimated twice. In the high-skilled-count version, Y is HSNumber, which tests whether the lagged cumulative all-migrant-worker policy score is associated with the absolute number of high-skilled permits. In the total-count version, Y is EMP, the total employment-permit count, which tests whether the denominator of HSRate changes. Both PPML models include the all-migrant-worker policy measure, the high-skilled and low-skilled </w:t>
        <w:lastRenderedPageBreak/>
        <w:t>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The exact percentage change associated with a one-unit increase in the cumulative score is 100[exp(β)-1], which is approximately 100β for a small coefficient. Within the retained positive-denominator analysis corridors, PPML retains zero HSNumber cells and avoids the log-of-zero problem that would affect an OLS-on-log specification.</w:t>
      </w:r>
    </w:p>
    <w:p ns2:paraId="43AFDBCD" ns2:textId="77777777" w:rsidR="00C70AE2" w:rsidRPr="00316B19" w:rsidRDefault="00A36F18" w:rsidP="00316B19">
      <w:pPr>
        <w:pStyle w:val="BodyText"/>
        <w:jc w:val="both"/>
      </w:pPr>
      <w:r>
        <w:t>Specifications 1 and 2 are aggregate benchmarks, Specification 3 is the preferred compositional model, and Specification 4 is the supporting volume test. Section 5.3 sets out the identification assumptions before Section 7 reports the results.</w:t>
      </w:r>
    </w:p>
    <w:p ns2:paraId="4C901CF7" ns2:textId="77777777" w:rsidR="00C70AE2" w:rsidRDefault="00A36F18">
      <w:pPr>
        <w:pStyle w:val="Heading2"/>
      </w:pPr>
      <w:bookmarkStart w:id="2" w:name="identification-and-inference"/>
      <w:bookmarkEnd w:id="1"/>
      <w:r>
        <w:t>5.3 Identification and inference</w:t>
      </w:r>
    </w:p>
    <w:p ns2:paraId="4FB4133C" ns2:textId="77777777" w:rsidR="008F026E" w:rsidRDefault="00A36F18" w:rsidP="00316B19">
      <w:pPr>
        <w:jc w:val="both"/>
      </w:pPr>
      <w:r>
        <w:t>The main identification problem is that migration policy is endogenous to economic conditions, and the empirical strategy addresses this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ns2:paraId="4A52C707" ns2:textId="77777777" w:rsidR="008F026E" w:rsidRDefault="00A36F18" w:rsidP="00316B19">
      <w:pPr>
        <w:jc w:val="both"/>
      </w:pPr>
      <w:r>
        <w:t>Common EU labor-migration directives create a separate identification concern. Origin-year fixed effects absorb EU-level shocks common to every sampled destination for a given origin and year, but they do not absorb differences caused by national opt-outs or Croatia's 2013 accession. The coefficient on the cumulative all-migrant-worker score is therefore identified from differences in national policy paths within each origin-year. R9 additionally controls for directive windows that applied to participating destinations.</w:t>
      </w:r>
    </w:p>
    <w:p ns2:paraId="64AA3666" ns2:textId="77777777" w:rsidR="00C70AE2" w:rsidRDefault="00A36F18" w:rsidP="00316B19">
      <w:pPr>
        <w:pStyle w:val="BodyText"/>
        <w:jc w:val="both"/>
      </w:pPr>
      <w:r>
        <w:t xml:space="preserve">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composition, and no credible harmonized instrument exists for the full panel. The fixed-effects design is therefore chosen as the most </w:t>
        <w:lastRenderedPageBreak/>
        <w:t>transparent way to use the annual policy-event variation while making the identifying assumptions explicit, not because it proves causality.</w:t>
      </w:r>
    </w:p>
    <w:p ns2:paraId="70F5E59B" ns2:textId="77777777" w:rsidR="00C70AE2" w:rsidRDefault="00A36F18" w:rsidP="00316B19">
      <w:pPr>
        <w:pStyle w:val="BodyText"/>
        <w:jc w:val="both"/>
      </w:pPr>
      <w:r>
        <w:t>Standard errors are clustered by destination country. The number of clusters is about 30, so the thesis treats marginal results cautiously and does not describe 10-percent findings as main evidence. The caution is consistent with the cluster-robust inference literature, where few-cluster settings require especially careful interpretation (Liang and Zeger 1986; Cameron, Gelbach and Miller 2008; MacKinnon and Webb 2018).</w:t>
      </w:r>
    </w:p>
    <w:p ns2:paraId="2476637F" ns2:textId="77777777" w:rsidR="00C70AE2" w:rsidRDefault="00A36F18" w:rsidP="00316B19">
      <w:pPr>
        <w:pStyle w:val="BodyText"/>
        <w:jc w:val="both"/>
      </w:pPr>
      <w:r>
        <w:t>To address the few-cluster concern directly, the preferred bilateral model is also evaluated with a wild-cluster bootstrap following Cameron, Gelbach and Miller (2008). The bootstrap imposes the null of β = 0, draws Rademacher weights at the destination-cluster level, constructs bootstrap outcomes, and re-estimates the preferred bilateral model in each replication. The resulting bootstrap p-value is reported with the preferred estimate in Section 7.2.</w:t>
      </w:r>
    </w:p>
    <w:p ns2:paraId="6CD3C019" ns2:textId="77777777" w:rsidR="00C70AE2" w:rsidRDefault="00A36F18" w:rsidP="00316B19">
      <w:pPr>
        <w:pStyle w:val="BodyText"/>
        <w:jc w:val="both"/>
      </w:pPr>
      <w:r>
        <w:t>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therefore comes from keeping the all-migrant-worker-only score as the focal policy measure and adding the skilled/high-skilled and low-skilled target-group measures as controls.</w:t>
      </w:r>
    </w:p>
    <w:p ns2:paraId="127D6B6E" ns2:textId="77777777" w:rsidR="00C70AE2" w:rsidRDefault="00A36F18" w:rsidP="00316B19">
      <w:pPr>
        <w:pStyle w:val="BodyText"/>
        <w:jc w:val="both"/>
      </w:pPr>
      <w:r>
        <w:t>With the estimating equations and identifying assumptions established, the next section documents the data sources, operational definitions, and sample filters used to implement them.</w:t>
      </w:r>
    </w:p>
    <w:bookmarkEnd w:id="2"/>
    <w:p ns2:paraId="708F2776" ns2:textId="77777777" w:rsidR="00961C7F" w:rsidRDefault="008A042F">
      <w:pPr>
        <w:pStyle w:val="Heading1"/>
      </w:pPr>
      <w:r>
        <w:t>6. Data</w:t>
      </w:r>
    </w:p>
    <w:p ns2:paraId="3EE9C52A" ns2:textId="77777777" w:rsidR="00961C7F" w:rsidRDefault="008A042F">
      <w:pPr>
        <w:pStyle w:val="Heading2"/>
      </w:pPr>
      <w:r>
        <w:t>6.1 Outcome data: Eurostat residence-permit statistics</w:t>
      </w:r>
    </w:p>
    <w:p ns2:paraId="293DBA4B" ns2:textId="77777777" w:rsidR="0078507D" w:rsidRPr="0078507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outcome data come from Eurostat's harmonized residence-permit statistics on first permits issued for remunerated activities. The dataset reports annual permit counts by reason for entry, length of validity, citizenship, destination country, and year. The baseline analysis covers 2008-2019, keeps observations measured as persons, and restricts the sample to permits valid for at least twelve months.</w:t>
      </w:r>
    </w:p>
    <w:p ns2:paraId="4020A783" ns2:textId="77777777" w:rsidR="008F026E" w:rsidRPr="00F36226" w:rsidRDefault="00A36F18" w:rsidP="00F36226">
      <w:pPr>
        <w:pStyle w:val="NormalWeb"/>
        <w:spacing w:line="360" w:lineRule="auto"/>
        <w:jc w:val="both"/>
        <w:rPr>
          <w:rFonts w:asciiTheme="minorHAnsi" w:hAnsiTheme="minorHAnsi"/>
          <w:sz w:val="22"/>
          <w:szCs w:val="22"/>
        </w:rPr>
      </w:pPr>
      <w:r>
        <w:rPr>
          <w:rFonts w:asciiTheme="minorHAnsi" w:hAnsiTheme="minorHAnsi"/>
          <w:sz w:val="22"/>
          <w:szCs w:val="22"/>
        </w:rPr>
        <w:t xml:space="preserve">The baseline excludes 2020 because the worldwide COVID-19 pandemic affected migration through several channels at once: border and travel restrictions, administrative delays, abrupt changes in employer demand, and uneven sectoral shutdowns. Year fixed effects absorb a shock </w:t>
        <w:lastRenderedPageBreak/>
        <w:t>shared uniformly across destinations, but they cannot remove country-specific differences in the timing and severity of these disruptions or in permit-processing backlogs. Including 2020 in the main sample could therefore make temporary pandemic conditions look like a response to ordinary labor-migration policy. Section 8 reintroduces 2020 under the same specification; the coefficient remains positive and significant, showing that the exclusion strengthens but does not create the result.</w:t>
      </w:r>
    </w:p>
    <w:p ns2:paraId="3FC72561" ns2:textId="77777777" w:rsidR="0078507D" w:rsidRPr="00F36226"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ns2:paraId="55F1DD71"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“Employment” here refers to Eurostat's reason category for first permits issued for employment or remunerated activities, not to total employment or a stock of employed people. The denominator is a permit flow: first employment-reason permits issued to the relevant citizenship group in a destination-year. The high-skilled numerator counts highly skilled worker and researcher permits from the same universe.</w:t>
      </w:r>
    </w:p>
    <w:p ns2:paraId="3AC924C6"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 interpreting the count results in Section 7.3.</w:t>
      </w:r>
    </w:p>
    <w:p ns2:paraId="519488E9" ns2: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This first-permit classification matches the point at which the policies operate: initial admission. It therefore measures the margin most directly affected by the policy changes recorded in DEMIG-QuantMig.</w:t>
      </w:r>
    </w:p>
    <w:p ns2:paraId="4A552956"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main dependent variable is the high-skilled share of employment-related first residence permits: high-skilled permits divided by all employment-related permits. It is not the high-skilled share of all workers in the destination economy. The supporting PPML outcome in Section 7.3 is the number of high-skilled permits, labelled HSNumber.</w:t>
      </w:r>
    </w:p>
    <w:p ns2:paraId="401FA827"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and EU27 aggregates, so the code sums citizenship rows using a fixed EU27-2020 classification: the Non-EU group contains citizenships outside those 27 members, and the EU27 group contains them while excluding the reporting country. Membership is constant over time, which places UK citizenship outside and Croatia inside the EU27 group throughout the panel - a measurement choice, not a time-varying rule for legal exposure.</w:t>
      </w:r>
    </w:p>
    <w:p ns2:paraId="1982A6D4" ns2:textId="77777777" w:rsidR="00961C7F" w:rsidRDefault="008A042F">
      <w:pPr>
        <w:pStyle w:val="Heading2"/>
      </w:pPr>
      <w:r>
        <w:t>6.2 Policy regressor: DEMIG-QuantMig</w:t>
      </w:r>
    </w:p>
    <w:p ns2:paraId="4446D182" ns2:textId="77777777" w:rsidR="00961C7F" w:rsidRDefault="008A042F" w:rsidP="00C36469">
      <w:pPr>
        <w:jc w:val="both"/>
      </w:pPr>
      <w:r>
        <w:t>The restrictiveness measure used in this thesis is not a ready-made numerical score supplied in the dataset. It is constructed from the event-level DEMIG-QuantMig Migration Policy Database (Schreier, Skrabal, and Czaika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w:t>
      </w:r>
    </w:p>
    <w:p ns2:paraId="6BE02E6F" ns2:textId="77777777" w:rsidR="008F026E" w:rsidRDefault="00A36F18">
      <w:pPr>
        <w:jc w:val="both"/>
      </w:pPr>
      <w:r>
        <w:t>These event-level fields make it possible to build a country-year measure of policy tightening and liberalization that can be matched to Eurostat's annual permit outcomes. The result is the Restrict measure used in the Section 5 specifications. Each event's signed direction is multiplied by its magnitude weight, so fine-tuning reforms receive a weight of one and major reforms a weight of four.</w:t>
      </w:r>
    </w:p>
    <w:p ns2:paraId="126239BC" ns2:textId="77777777" w:rsidR="00961C7F" w:rsidRDefault="008A042F" w:rsidP="00C36469">
      <w:pPr>
        <w:jc w:val="both"/>
      </w:pPr>
      <w:r>
        <w:t xml:space="preserve">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In the extended-window robustness check, the 2020 outcome is matched to the cumulative policy score through 2019. Policy events adopted in 2020 are not used because no 2021 outcome is analyzed.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w:t>
        <w:lastRenderedPageBreak/>
        <w:t>definitions enter as policy controls. Events aimed only at EU citizens are not relevant to the Non-EU outcome, while events aimed at specific nationalities are excluded because assigning them to every bilateral origin would misclassify exposure.</w:t>
      </w:r>
    </w:p>
    <w:p ns2:paraId="5D4D99DE" ns2: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ns2:paraId="0514B8D0" ns2: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ns2:paraId="0702AAE7" ns2:textId="77777777" w:rsidR="00943A63" w:rsidRDefault="00943A63" w:rsidP="00C36469">
      <w:pPr>
        <w:jc w:val="both"/>
      </w:pPr>
      <w:r>
        <w:t xml:space="preserve">Let i index a recorded DEMIG-QuantMig event with assigned restrictiveness-direction code </w:t>
      </w:r>
      <ns8:oMath>
        <ns8:sSub>
          <ns8:sSubPr>
            <ns8:ctrlPr>
              <w:rPr>
                <w:rFonts w:ascii="Cambria Math" w:hAnsi="Cambria Math"/>
              </w:rPr>
            </ns8:ctrlPr>
          </ns8:sSubPr>
          <ns8:e>
            <ns8:r>
              <w:rPr>
                <w:rFonts w:ascii="Cambria Math" w:hAnsi="Cambria Math"/>
              </w:rPr>
              <ns8:t>r</ns8:t>
            </ns8:r>
          </ns8:e>
          <ns8:sub>
            <ns8:r>
              <w:rPr>
                <w:rFonts w:ascii="Cambria Math" w:hAnsi="Cambria Math"/>
              </w:rPr>
              <ns8:t>i</ns8:t>
            </ns8:r>
          </ns8:sub>
        </ns8:sSub>
      </ns8:oMath>
      <w:r>
        <w:t xml:space="preserve"> in {+1, 0, -1}, and magnitude weight </w:t>
      </w:r>
      <ns8:oMath>
        <ns8:sSub>
          <ns8:sSubPr>
            <ns8:ctrlPr>
              <w:rPr>
                <w:rFonts w:ascii="Cambria Math" w:hAnsi="Cambria Math"/>
              </w:rPr>
            </ns8:ctrlPr>
          </ns8:sSubPr>
          <ns8:e>
            <ns8:r>
              <w:rPr>
                <w:rFonts w:ascii="Cambria Math" w:hAnsi="Cambria Math"/>
              </w:rPr>
              <ns8:t>m</ns8:t>
            </ns8:r>
          </ns8:e>
          <ns8:sub>
            <ns8:r>
              <w:rPr>
                <w:rFonts w:ascii="Cambria Math" w:hAnsi="Cambria Math"/>
              </w:rPr>
              <ns8:t>i</ns8:t>
            </ns8:r>
          </ns8:sub>
        </ns8:sSub>
      </ns8:oMath>
      <w:r>
        <w:t xml:space="preserve"> in {1, 2, 3, 4}. 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ns2:paraId="0C632142" ns2:textId="77777777" w:rsidR="007830C2" w:rsidRDefault="008A042F">
      <w:r>
        <w:rPr>
          <w:b/>
        </w:rPr>
        <w:t>Magnitude weight assignment used to build the Restrict measure:</w:t>
      </w:r>
    </w:p>
    <w:p ns2:paraId="51FFA370"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e</ns8:t>
              </ns8:r>
            </ns8:e>
            <ns8:sub>
              <ns8:r>
                <w:rPr>
                  <w:rFonts w:ascii="Cambria Math" w:hAnsi="Cambria Math"/>
                </w:rPr>
                <ns8:t>i</ns8:t>
              </ns8:r>
            </ns8:sub>
          </ns8:sSub>
          <ns8:r>
            <w:rPr>
              <w:rFonts w:ascii="Cambria Math" w:hAnsi="Cambria Math"/>
            </w:rPr>
            <ns8:t xml:space="preserve"> = </ns8:t>
          </ns8:r>
          <ns8:sSub>
            <ns8:sSubPr>
              <ns8:ctrlPr>
                <w:rPr>
                  <w:rFonts w:ascii="Cambria Math" w:hAnsi="Cambria Math"/>
                </w:rPr>
              </ns8:ctrlPr>
            </ns8:sSubPr>
            <ns8:e>
              <ns8:r>
                <w:rPr>
                  <w:rFonts w:ascii="Cambria Math" w:hAnsi="Cambria Math"/>
                </w:rPr>
                <ns8:t>r</ns8:t>
              </ns8:r>
            </ns8:e>
            <ns8:sub>
              <ns8:r>
                <w:rPr>
                  <w:rFonts w:ascii="Cambria Math" w:hAnsi="Cambria Math"/>
                </w:rPr>
                <ns8:t>i</ns8:t>
              </ns8:r>
            </ns8:sub>
          </ns8:sSub>
          <ns8:r>
            <w:rPr>
              <w:rFonts w:ascii="Cambria Math" w:hAnsi="Cambria Math"/>
            </w:rPr>
            <ns8:t>·</ns8:t>
          </ns8:r>
          <ns8:sSub>
            <ns8:sSubPr>
              <ns8:ctrlPr>
                <w:rPr>
                  <w:rFonts w:ascii="Cambria Math" w:hAnsi="Cambria Math"/>
                </w:rPr>
              </ns8:ctrlPr>
            </ns8:sSubPr>
            <ns8:e>
              <ns8:r>
                <w:rPr>
                  <w:rFonts w:ascii="Cambria Math" w:hAnsi="Cambria Math"/>
                </w:rPr>
                <ns8:t>m</ns8:t>
              </ns8:r>
            </ns8:e>
            <ns8:sub>
              <ns8:r>
                <w:rPr>
                  <w:rFonts w:ascii="Cambria Math" w:hAnsi="Cambria Math"/>
                </w:rPr>
                <ns8:t>i</ns8:t>
              </ns8:r>
            </ns8:sub>
          </ns8:sSub>
        </ns8:oMath>
      </ns8:oMathPara>
    </w:p>
    <w:p ns2:paraId="572DDDF2" ns2:textId="77777777" w:rsidR="007830C2" w:rsidRDefault="008A042F" w:rsidP="001B5A82">
      <w:pPr>
        <w:jc w:val="both"/>
      </w:pPr>
      <w:r>
        <w:t>For destination d and year t, E(d,t) denotes the set of retained events in that destination-year. The annual policy-flow score is the sum of their signed event scores:</w:t>
      </w:r>
    </w:p>
    <w:p ns2:paraId="15A87A16"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PolicyFlow</ns8:t>
              </ns8:r>
            </ns8:e>
            <ns8:sub>
              <ns8:r>
                <w:rPr>
                  <w:rFonts w:ascii="Cambria Math" w:hAnsi="Cambria Math"/>
                </w:rPr>
                <ns8:t>d,t</ns8:t>
              </ns8:r>
            </ns8:sub>
          </ns8:sSub>
          <ns8:r>
            <w:rPr>
              <w:rFonts w:ascii="Cambria Math" w:hAnsi="Cambria Math"/>
            </w:rPr>
            <ns8:t xml:space="preserve"> =</ns8:t>
          </ns8:r>
          <ns8:nary>
            <ns8:naryPr>
              <ns8:chr ns8:val="∑"/>
              <ns8:limLoc ns8:val="undOvr"/>
              <ns8:supHide ns8:val="1"/>
              <ns8:ctrlPr>
                <w:rPr>
                  <w:rFonts w:ascii="Cambria Math" w:hAnsi="Cambria Math"/>
                  <w:i/>
                </w:rPr>
              </ns8:ctrlPr>
            </ns8:naryPr>
            <ns8:sub>
              <ns8:r>
                <w:rPr>
                  <w:rFonts w:ascii="Cambria Math" w:hAnsi="Cambria Math"/>
                </w:rPr>
                <ns8:t>i∈E(d,t)</ns8:t>
              </ns8:r>
            </ns8:sub>
            <ns8:sup/>
            <ns8:e>
              <ns8:sSub>
                <ns8:sSubPr>
                  <ns8:ctrlPr>
                    <w:rPr>
                      <w:rFonts w:ascii="Cambria Math" w:hAnsi="Cambria Math"/>
                    </w:rPr>
                  </ns8:ctrlPr>
                </ns8:sSubPr>
                <ns8:e>
                  <ns8:r>
                    <w:rPr>
                      <w:rFonts w:ascii="Cambria Math" w:hAnsi="Cambria Math"/>
                    </w:rPr>
                    <ns8:t>e</ns8:t>
                  </ns8:r>
                </ns8:e>
                <ns8:sub>
                  <ns8:r>
                    <w:rPr>
                      <w:rFonts w:ascii="Cambria Math" w:hAnsi="Cambria Math"/>
                    </w:rPr>
                    <ns8:t>i</ns8:t>
                  </ns8:r>
                </ns8:sub>
              </ns8:sSub>
            </ns8:e>
          </ns8:nary>
        </ns8:oMath>
      </ns8:oMathPara>
    </w:p>
    <w:p ns2:paraId="7B606A6A" ns2:textId="77777777" w:rsidR="007830C2" w:rsidRDefault="008A042F" w:rsidP="001B5A82">
      <w:pPr>
        <w:jc w:val="both"/>
      </w:pPr>
      <w:r>
        <w:t xml:space="preserve">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 The fully controlled aggregate and bilateral regressions </w:t>
        <w:lastRenderedPageBreak/>
        <w:t>nevertheless begin in 2009, because Eurostat's first-permit series begins in 2008 and cannot supply the lagged PermitScale required for a 2008 full-control observation.</w:t>
      </w:r>
    </w:p>
    <w:p ns2:paraId="3CDF6F33" ns2:textId="77777777" w:rsidR="007830C2" w:rsidRDefault="00000000">
      <w:pPr>
        <w:jc w:val="center"/>
      </w:pPr>
      <ns8:oMathPara>
        <ns8:oMathParaPr>
          <ns8:jc ns8:val="center"/>
        </ns8:oMathParaPr>
        <ns8:oMath>
          <ns8:sSub>
            <ns8:sSubPr>
              <ns8:ctrlPr>
                <w:rPr>
                  <w:rFonts w:ascii="Cambria Math" w:hAnsi="Cambria Math"/>
                </w:rPr>
              </ns8:ctrlPr>
            </ns8:sSubPr>
            <ns8:e>
              <ns8:r>
                <w:rPr>
                  <w:rFonts w:ascii="Cambria Math" w:hAnsi="Cambria Math"/>
                </w:rPr>
                <ns8:t>Restrict</ns8:t>
              </ns8:r>
            </ns8:e>
            <ns8:sub>
              <ns8:r>
                <w:rPr>
                  <w:rFonts w:ascii="Cambria Math" w:hAnsi="Cambria Math"/>
                </w:rPr>
                <ns8:t>d,t</ns8:t>
              </ns8:r>
            </ns8:sub>
          </ns8:sSub>
          <ns8:r>
            <w:rPr>
              <w:rFonts w:ascii="Cambria Math" w:hAnsi="Cambria Math"/>
            </w:rPr>
            <ns8:t xml:space="preserve"> = </ns8:t>
          </ns8:r>
          <ns8:nary>
            <ns8:naryPr>
              <ns8:chr ns8:val="∑"/>
              <ns8:limLoc ns8:val="undOvr"/>
              <ns8:ctrlPr>
                <w:rPr>
                  <w:rFonts w:ascii="Cambria Math" w:hAnsi="Cambria Math"/>
                </w:rPr>
              </ns8:ctrlPr>
            </ns8:naryPr>
            <ns8:sub>
              <ns8:r>
                <w:rPr>
                  <w:rFonts w:ascii="Cambria Math" w:hAnsi="Cambria Math"/>
                </w:rPr>
                <ns8:t>s=2007</ns8:t>
              </ns8:r>
            </ns8:sub>
            <ns8:sup>
              <ns8:r>
                <w:rPr>
                  <w:rFonts w:ascii="Cambria Math" w:hAnsi="Cambria Math"/>
                </w:rPr>
                <ns8:t>t</ns8:t>
              </ns8:r>
            </ns8:sup>
            <ns8:e>
              <ns8:sSub>
                <ns8:sSubPr>
                  <ns8:ctrlPr>
                    <w:rPr>
                      <w:rFonts w:ascii="Cambria Math" w:hAnsi="Cambria Math"/>
                    </w:rPr>
                  </ns8:ctrlPr>
                </ns8:sSubPr>
                <ns8:e>
                  <ns8:r>
                    <w:rPr>
                      <w:rFonts w:ascii="Cambria Math" w:hAnsi="Cambria Math"/>
                    </w:rPr>
                    <ns8:t>PolicyFlow</ns8:t>
                  </ns8:r>
                </ns8:e>
                <ns8:sub>
                  <ns8:r>
                    <w:rPr>
                      <w:rFonts w:ascii="Cambria Math" w:hAnsi="Cambria Math"/>
                    </w:rPr>
                    <ns8:t>d,s</ns8:t>
                  </ns8:r>
                </ns8:sub>
              </ns8:sSub>
            </ns8:e>
          </ns8:nary>
        </ns8:oMath>
      </ns8:oMathPara>
    </w:p>
    <w:p ns2:paraId="62B9D9C2" ns2:textId="77777777" w:rsidR="007830C2" w:rsidRDefault="008A042F" w:rsidP="001B5A82">
      <w:pPr>
        <w:jc w:val="both"/>
      </w:pPr>
      <w:r>
        <w:t>The empirical specifications use the one-year lag of this cumulative score, Restrict</w:t>
      </w:r>
      <w:r>
        <w:rPr>
          <w:vertAlign w:val="subscript"/>
        </w:rPr>
        <w:t>d,t-1</w:t>
      </w:r>
      <w:r>
        <w:t>, and the annual-flow regressor is the one-year lag of the annual policy-flow score, PolicyFlow</w:t>
      </w:r>
      <w:r>
        <w:rPr>
          <w:vertAlign w:val="subscript"/>
        </w:rPr>
        <w:t>d,t-1</w:t>
      </w:r>
      <w:r>
        <w:t>. By construction, positive values of Restrict</w:t>
      </w:r>
      <w:r>
        <w:rPr>
          <w:vertAlign w:val="subscript"/>
        </w:rPr>
        <w:t>d,t</w:t>
      </w:r>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ns2:paraId="0EE3C657" ns2:textId="77777777" w:rsidR="00FD065E" w:rsidRPr="0038122C" w:rsidRDefault="00FD065E" w:rsidP="0038122C">
      <w:pPr>
        <w:jc w:val="center"/>
        <w:rPr>
          <w:b/>
          <w:i/>
          <w:iCs/>
        </w:rPr>
      </w:pPr>
    </w:p>
    <w:p ns2:paraId="533CA96F" ns2:textId="77777777" w:rsidR="00961C7F" w:rsidRPr="0038122C" w:rsidRDefault="008A042F" w:rsidP="0038122C">
      <w:pPr>
        <w:spacing w:before="120" w:after="80"/>
        <w:jc w:val="center"/>
        <w:rPr>
          <w:b/>
          <w:i/>
          <w:iCs/>
        </w:rPr>
      </w:pPr>
      <w:r>
        <w:rPr>
          <w:rFonts w:eastAsia="Times New Roman"/>
          <w:b/>
          <w:i/>
          <w:iCs/>
        </w:rPr>
        <w:t>Table 1. Construction of the cumulative net policy-change measure, step by step.</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04"/>
        <w:gridCol w:w="4408"/>
        <w:gridCol w:w="2714"/>
      </w:tblGrid>
      <w:tr w:rsidR="00961C7F" ns2:paraId="50FEEBB9" ns2:textId="77777777" w:rsidTr="00A65EA8">
        <w:trPr>
          <w:cantSplit/>
          <w:tblHeader/>
          <w:jc w:val="center"/>
        </w:trPr>
        <w:tc>
          <w:tcPr>
            <w:tcW w:w="1904" w:type="dxa"/>
            <w:tcBorders>
              <w:top w:val="single" w:sz="12" w:space="0" w:color="000000"/>
              <w:left w:val="nil"/>
              <w:bottom w:val="single" w:sz="8" w:space="0" w:color="000000"/>
              <w:right w:val="nil"/>
            </w:tcBorders>
            <w:tcMar>
              <w:top w:w="70" w:type="dxa"/>
              <w:left w:w="70" w:type="dxa"/>
              <w:bottom w:w="70" w:type="dxa"/>
              <w:right w:w="70" w:type="dxa"/>
            </w:tcMar>
          </w:tcPr>
          <w:p ns2:paraId="593CD925" ns2:textId="77777777" w:rsidR="00961C7F" w:rsidRDefault="008A042F">
            <w:pPr>
              <w:spacing w:after="0" w:line="240" w:lineRule="auto"/>
            </w:pPr>
            <w:r>
              <w:rPr>
                <w:rFonts w:ascii="Times New Roman" w:eastAsia="Times New Roman" w:hAnsi="Times New Roman"/>
                <w:b/>
                <w:sz w:val="21"/>
                <w:szCs w:val="20"/>
              </w:rPr>
              <w:t>Construction step</w:t>
            </w:r>
          </w:p>
        </w:tc>
        <w:tc>
          <w:tcPr>
            <w:tcW w:w="4408" w:type="dxa"/>
            <w:tcBorders>
              <w:top w:val="single" w:sz="12" w:space="0" w:color="000000"/>
              <w:left w:val="nil"/>
              <w:bottom w:val="single" w:sz="8" w:space="0" w:color="000000"/>
              <w:right w:val="nil"/>
            </w:tcBorders>
            <w:tcMar>
              <w:top w:w="70" w:type="dxa"/>
              <w:left w:w="70" w:type="dxa"/>
              <w:bottom w:w="70" w:type="dxa"/>
              <w:right w:w="70" w:type="dxa"/>
            </w:tcMar>
          </w:tcPr>
          <w:p ns2:paraId="0E6347C5" ns2:textId="77777777" w:rsidR="00961C7F" w:rsidRDefault="008A042F">
            <w:pPr>
              <w:spacing w:after="0" w:line="240" w:lineRule="auto"/>
            </w:pPr>
            <w:r>
              <w:rPr>
                <w:rFonts w:ascii="Times New Roman" w:eastAsia="Times New Roman" w:hAnsi="Times New Roman"/>
                <w:b/>
                <w:sz w:val="21"/>
                <w:szCs w:val="20"/>
              </w:rPr>
              <w:t>Information taken from DEMIG-QuantMig</w:t>
            </w:r>
          </w:p>
        </w:tc>
        <w:tc>
          <w:tcPr>
            <w:tcW w:w="2714" w:type="dxa"/>
            <w:tcBorders>
              <w:top w:val="single" w:sz="12" w:space="0" w:color="000000"/>
              <w:left w:val="nil"/>
              <w:bottom w:val="single" w:sz="8" w:space="0" w:color="000000"/>
              <w:right w:val="nil"/>
            </w:tcBorders>
            <w:tcMar>
              <w:top w:w="70" w:type="dxa"/>
              <w:left w:w="70" w:type="dxa"/>
              <w:bottom w:w="70" w:type="dxa"/>
              <w:right w:w="70" w:type="dxa"/>
            </w:tcMar>
          </w:tcPr>
          <w:p ns2:paraId="11C5168D" ns2:textId="77777777" w:rsidR="00961C7F" w:rsidRDefault="008A042F">
            <w:pPr>
              <w:spacing w:after="0" w:line="240" w:lineRule="auto"/>
            </w:pPr>
            <w:r>
              <w:rPr>
                <w:rFonts w:ascii="Times New Roman" w:eastAsia="Times New Roman" w:hAnsi="Times New Roman"/>
                <w:b/>
                <w:sz w:val="21"/>
                <w:szCs w:val="20"/>
              </w:rPr>
              <w:t>Measure created in this thesis</w:t>
            </w:r>
          </w:p>
        </w:tc>
      </w:tr>
      <w:tr w:rsidR="00961C7F" ns2:paraId="64DD5514" ns2: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ns2:paraId="5EA60381" ns2:textId="77777777" w:rsidR="00961C7F" w:rsidRDefault="008A042F">
            <w:pPr>
              <w:spacing w:after="0" w:line="240" w:lineRule="auto"/>
            </w:pPr>
            <w:r>
              <w:rPr>
                <w:rFonts w:ascii="Times New Roman" w:eastAsia="Times New Roman" w:hAnsi="Times New Roman"/>
                <w:sz w:val="21"/>
                <w:szCs w:val="20"/>
              </w:rPr>
              <w:t>Raw event source</w:t>
            </w:r>
          </w:p>
        </w:tc>
        <w:tc>
          <w:tcPr>
            <w:tcW w:w="4408" w:type="dxa"/>
            <w:tcBorders>
              <w:top w:val="nil"/>
              <w:left w:val="nil"/>
              <w:bottom w:val="nil"/>
              <w:right w:val="nil"/>
            </w:tcBorders>
            <w:tcMar>
              <w:top w:w="70" w:type="dxa"/>
              <w:left w:w="70" w:type="dxa"/>
              <w:bottom w:w="70" w:type="dxa"/>
              <w:right w:w="70" w:type="dxa"/>
            </w:tcMar>
          </w:tcPr>
          <w:p ns2:paraId="21E149E7" ns2:textId="77777777" w:rsidR="00961C7F" w:rsidRDefault="008A042F">
            <w:pPr>
              <w:spacing w:after="0" w:line="240" w:lineRule="auto"/>
            </w:pPr>
            <w:r>
              <w:rPr>
                <w:rFonts w:ascii="Times New Roman" w:eastAsia="Times New Roman" w:hAnsi="Times New Roman"/>
                <w:sz w:val="21"/>
                <w:szCs w:val="20"/>
              </w:rPr>
              <w:t>Destination country, year, policy area, policy tool, target group, target origin, restrictiveness direction, and magnitude</w:t>
            </w:r>
          </w:p>
        </w:tc>
        <w:tc>
          <w:tcPr>
            <w:tcW w:w="2714" w:type="dxa"/>
            <w:tcBorders>
              <w:top w:val="nil"/>
              <w:left w:val="nil"/>
              <w:bottom w:val="nil"/>
              <w:right w:val="nil"/>
            </w:tcBorders>
            <w:tcMar>
              <w:top w:w="70" w:type="dxa"/>
              <w:left w:w="70" w:type="dxa"/>
              <w:bottom w:w="70" w:type="dxa"/>
              <w:right w:w="70" w:type="dxa"/>
            </w:tcMar>
          </w:tcPr>
          <w:p ns2:paraId="5ADCD4D2" ns2:textId="77777777" w:rsidR="00961C7F" w:rsidRDefault="008A042F">
            <w:pPr>
              <w:spacing w:after="0" w:line="240" w:lineRule="auto"/>
            </w:pPr>
            <w:r>
              <w:rPr>
                <w:rFonts w:ascii="Times New Roman" w:eastAsia="Times New Roman" w:hAnsi="Times New Roman"/>
                <w:sz w:val="21"/>
                <w:szCs w:val="20"/>
              </w:rPr>
              <w:t>Event-level policy reform file</w:t>
            </w:r>
          </w:p>
        </w:tc>
      </w:tr>
      <w:tr w:rsidR="00961C7F" ns2:paraId="16831F7A" ns2: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ns2:paraId="1A15C379" ns2:textId="77777777" w:rsidR="00961C7F" w:rsidRDefault="008A042F">
            <w:pPr>
              <w:spacing w:after="0" w:line="240" w:lineRule="auto"/>
            </w:pPr>
            <w:r>
              <w:rPr>
                <w:rFonts w:ascii="Times New Roman" w:eastAsia="Times New Roman" w:hAnsi="Times New Roman"/>
                <w:sz w:val="21"/>
                <w:szCs w:val="20"/>
              </w:rPr>
              <w:t>Sample filter</w:t>
            </w:r>
          </w:p>
        </w:tc>
        <w:tc>
          <w:tcPr>
            <w:tcW w:w="4408" w:type="dxa"/>
            <w:tcBorders>
              <w:top w:val="nil"/>
              <w:left w:val="nil"/>
              <w:bottom w:val="nil"/>
              <w:right w:val="nil"/>
            </w:tcBorders>
            <w:tcMar>
              <w:top w:w="70" w:type="dxa"/>
              <w:left w:w="70" w:type="dxa"/>
              <w:bottom w:w="70" w:type="dxa"/>
              <w:right w:w="70" w:type="dxa"/>
            </w:tcMar>
          </w:tcPr>
          <w:p ns2:paraId="4FF8BF50" ns2:textId="77777777" w:rsidR="00961C7F" w:rsidRDefault="008A042F">
            <w:pPr>
              <w:spacing w:after="0" w:line="240" w:lineRule="auto"/>
            </w:pPr>
            <w:r>
              <w:rPr>
                <w:rFonts w:ascii="Times New Roman" w:eastAsia="Times New Roman" w:hAnsi="Times New Roman"/>
                <w:sz w:val="21"/>
                <w:szCs w:val="20"/>
              </w:rPr>
              <w:t>2007-2019 policy events; Legal entry and stay; relevant labor-migration target group; target origin All foreign nationalities (baseline permit outcomes: 2008-2019; 2020 added only in robustness)</w:t>
            </w:r>
          </w:p>
        </w:tc>
        <w:tc>
          <w:tcPr>
            <w:tcW w:w="2714" w:type="dxa"/>
            <w:tcBorders>
              <w:top w:val="nil"/>
              <w:left w:val="nil"/>
              <w:bottom w:val="nil"/>
              <w:right w:val="nil"/>
            </w:tcBorders>
            <w:tcMar>
              <w:top w:w="70" w:type="dxa"/>
              <w:left w:w="70" w:type="dxa"/>
              <w:bottom w:w="70" w:type="dxa"/>
              <w:right w:w="70" w:type="dxa"/>
            </w:tcMar>
          </w:tcPr>
          <w:p ns2:paraId="14D04F69" ns2:textId="77777777" w:rsidR="00961C7F" w:rsidRDefault="008A042F">
            <w:pPr>
              <w:spacing w:after="0" w:line="240" w:lineRule="auto"/>
            </w:pPr>
            <w:r>
              <w:rPr>
                <w:rFonts w:ascii="Times New Roman" w:eastAsia="Times New Roman" w:hAnsi="Times New Roman"/>
                <w:sz w:val="21"/>
                <w:szCs w:val="20"/>
              </w:rPr>
              <w:t>Retained policy events</w:t>
            </w:r>
          </w:p>
        </w:tc>
      </w:tr>
      <w:tr w:rsidR="00961C7F" ns2:paraId="394E3602" ns2: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ns2:paraId="3F5B44DE" ns2:textId="77777777" w:rsidR="00961C7F" w:rsidRDefault="008A042F">
            <w:pPr>
              <w:spacing w:after="0" w:line="240" w:lineRule="auto"/>
            </w:pPr>
            <w:r>
              <w:rPr>
                <w:rFonts w:ascii="Times New Roman" w:eastAsia="Times New Roman" w:hAnsi="Times New Roman"/>
                <w:sz w:val="21"/>
                <w:szCs w:val="20"/>
              </w:rPr>
              <w:t>Direction coding</w:t>
            </w:r>
          </w:p>
        </w:tc>
        <w:tc>
          <w:tcPr>
            <w:tcW w:w="4408" w:type="dxa"/>
            <w:tcBorders>
              <w:top w:val="nil"/>
              <w:left w:val="nil"/>
              <w:bottom w:val="nil"/>
              <w:right w:val="nil"/>
            </w:tcBorders>
            <w:tcMar>
              <w:top w:w="70" w:type="dxa"/>
              <w:left w:w="70" w:type="dxa"/>
              <w:bottom w:w="70" w:type="dxa"/>
              <w:right w:w="70" w:type="dxa"/>
            </w:tcMar>
          </w:tcPr>
          <w:p ns2:paraId="2B6DBF4F" ns2:textId="77777777" w:rsidR="00961C7F" w:rsidRDefault="008A042F">
            <w:pPr>
              <w:spacing w:after="0" w:line="240" w:lineRule="auto"/>
            </w:pPr>
            <w:r>
              <w:rPr>
                <w:rFonts w:ascii="Times New Roman" w:eastAsia="Times New Roman" w:hAnsi="Times New Roman"/>
                <w:sz w:val="21"/>
                <w:szCs w:val="20"/>
              </w:rPr>
              <w:t>More restrictive, Less restrictive, No change</w:t>
            </w:r>
          </w:p>
        </w:tc>
        <w:tc>
          <w:tcPr>
            <w:tcW w:w="2714" w:type="dxa"/>
            <w:tcBorders>
              <w:top w:val="nil"/>
              <w:left w:val="nil"/>
              <w:bottom w:val="nil"/>
              <w:right w:val="nil"/>
            </w:tcBorders>
            <w:tcMar>
              <w:top w:w="70" w:type="dxa"/>
              <w:left w:w="70" w:type="dxa"/>
              <w:bottom w:w="70" w:type="dxa"/>
              <w:right w:w="70" w:type="dxa"/>
            </w:tcMar>
          </w:tcPr>
          <w:p ns2:paraId="2C50F831" ns2:textId="77777777" w:rsidR="00961C7F" w:rsidRDefault="008A042F">
            <w:pPr>
              <w:spacing w:after="0" w:line="240" w:lineRule="auto"/>
            </w:pPr>
            <w:r>
              <w:rPr>
                <w:rFonts w:ascii="Times New Roman" w:eastAsia="Times New Roman" w:hAnsi="Times New Roman"/>
                <w:sz w:val="21"/>
                <w:szCs w:val="20"/>
              </w:rPr>
              <w:t>+1, -1, or 0</w:t>
            </w:r>
          </w:p>
        </w:tc>
      </w:tr>
      <w:tr w:rsidR="00961C7F" ns2:paraId="06C2FEEA" ns2: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ns2:paraId="087ACC23" ns2:textId="77777777" w:rsidR="00961C7F" w:rsidRDefault="008A042F">
            <w:pPr>
              <w:spacing w:after="0" w:line="240" w:lineRule="auto"/>
            </w:pPr>
            <w:r>
              <w:rPr>
                <w:rFonts w:ascii="Times New Roman" w:eastAsia="Times New Roman" w:hAnsi="Times New Roman"/>
                <w:sz w:val="21"/>
                <w:szCs w:val="20"/>
              </w:rPr>
              <w:t>Magnitude coding</w:t>
            </w:r>
          </w:p>
        </w:tc>
        <w:tc>
          <w:tcPr>
            <w:tcW w:w="4408" w:type="dxa"/>
            <w:tcBorders>
              <w:top w:val="nil"/>
              <w:left w:val="nil"/>
              <w:bottom w:val="nil"/>
              <w:right w:val="nil"/>
            </w:tcBorders>
            <w:tcMar>
              <w:top w:w="70" w:type="dxa"/>
              <w:left w:w="70" w:type="dxa"/>
              <w:bottom w:w="70" w:type="dxa"/>
              <w:right w:w="70" w:type="dxa"/>
            </w:tcMar>
          </w:tcPr>
          <w:p ns2:paraId="69F61349" ns2:textId="77777777" w:rsidR="00961C7F" w:rsidRDefault="008A042F">
            <w:pPr>
              <w:spacing w:after="0" w:line="240" w:lineRule="auto"/>
            </w:pPr>
            <w:r>
              <w:rPr>
                <w:rFonts w:ascii="Times New Roman" w:eastAsia="Times New Roman" w:hAnsi="Times New Roman"/>
                <w:sz w:val="21"/>
                <w:szCs w:val="20"/>
              </w:rPr>
              <w:t>Fine-tuning, Minor, Mid-level, Major, or N/A</w:t>
            </w:r>
          </w:p>
        </w:tc>
        <w:tc>
          <w:tcPr>
            <w:tcW w:w="2714" w:type="dxa"/>
            <w:tcBorders>
              <w:top w:val="nil"/>
              <w:left w:val="nil"/>
              <w:bottom w:val="nil"/>
              <w:right w:val="nil"/>
            </w:tcBorders>
            <w:tcMar>
              <w:top w:w="70" w:type="dxa"/>
              <w:left w:w="70" w:type="dxa"/>
              <w:bottom w:w="70" w:type="dxa"/>
              <w:right w:w="70" w:type="dxa"/>
            </w:tcMar>
          </w:tcPr>
          <w:p ns2:paraId="204EB6AE" ns2:textId="77777777" w:rsidR="00961C7F" w:rsidRDefault="008A042F">
            <w:pPr>
              <w:spacing w:after="0" w:line="240" w:lineRule="auto"/>
            </w:pPr>
            <w:r>
              <w:rPr>
                <w:rFonts w:ascii="Times New Roman" w:eastAsia="Times New Roman" w:hAnsi="Times New Roman"/>
                <w:sz w:val="21"/>
                <w:szCs w:val="20"/>
              </w:rPr>
              <w:t>1, 2, 3, 4, or retained weight 1</w:t>
            </w:r>
          </w:p>
        </w:tc>
      </w:tr>
      <w:tr w:rsidR="00961C7F" ns2:paraId="0D5A5C8A" ns2: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ns2:paraId="01BA1859" ns2:textId="77777777" w:rsidR="00961C7F" w:rsidRDefault="008A042F">
            <w:pPr>
              <w:spacing w:after="0" w:line="240" w:lineRule="auto"/>
            </w:pPr>
            <w:r>
              <w:rPr>
                <w:rFonts w:ascii="Times New Roman" w:eastAsia="Times New Roman" w:hAnsi="Times New Roman"/>
                <w:sz w:val="21"/>
                <w:szCs w:val="20"/>
              </w:rPr>
              <w:t>Annual policy flow</w:t>
            </w:r>
          </w:p>
        </w:tc>
        <w:tc>
          <w:tcPr>
            <w:tcW w:w="4408" w:type="dxa"/>
            <w:tcBorders>
              <w:top w:val="nil"/>
              <w:left w:val="nil"/>
              <w:bottom w:val="nil"/>
              <w:right w:val="nil"/>
            </w:tcBorders>
            <w:tcMar>
              <w:top w:w="70" w:type="dxa"/>
              <w:left w:w="70" w:type="dxa"/>
              <w:bottom w:w="70" w:type="dxa"/>
              <w:right w:w="70" w:type="dxa"/>
            </w:tcMar>
          </w:tcPr>
          <w:p ns2:paraId="5B44D0CB" ns2:textId="77777777" w:rsidR="00961C7F" w:rsidRDefault="008A042F">
            <w:pPr>
              <w:spacing w:after="0" w:line="240" w:lineRule="auto"/>
            </w:pPr>
            <w:r>
              <w:rPr>
                <w:rFonts w:ascii="Times New Roman" w:eastAsia="Times New Roman" w:hAnsi="Times New Roman"/>
                <w:sz w:val="21"/>
                <w:szCs w:val="20"/>
              </w:rPr>
              <w:t>All retained events in a country-year</w:t>
            </w:r>
          </w:p>
        </w:tc>
        <w:tc>
          <w:tcPr>
            <w:tcW w:w="2714" w:type="dxa"/>
            <w:tcBorders>
              <w:top w:val="nil"/>
              <w:left w:val="nil"/>
              <w:bottom w:val="nil"/>
              <w:right w:val="nil"/>
            </w:tcBorders>
            <w:tcMar>
              <w:top w:w="70" w:type="dxa"/>
              <w:left w:w="70" w:type="dxa"/>
              <w:bottom w:w="70" w:type="dxa"/>
              <w:right w:w="70" w:type="dxa"/>
            </w:tcMar>
          </w:tcPr>
          <w:p ns2:paraId="7A0ADA01" ns2:textId="77777777" w:rsidR="00961C7F" w:rsidRDefault="008A042F">
            <w:pPr>
              <w:spacing w:after="0" w:line="240" w:lineRule="auto"/>
            </w:pPr>
            <w:r>
              <w:rPr>
                <w:rFonts w:ascii="Times New Roman" w:eastAsia="Times New Roman" w:hAnsi="Times New Roman"/>
                <w:sz w:val="21"/>
                <w:szCs w:val="20"/>
              </w:rPr>
              <w:t>Sum of signed event scores</w:t>
            </w:r>
          </w:p>
        </w:tc>
      </w:tr>
      <w:tr w:rsidR="00961C7F" ns2:paraId="32A58AA2" ns2:textId="77777777" w:rsidTr="00A65EA8">
        <w:trPr>
          <w:cantSplit/>
          <w:jc w:val="center"/>
        </w:trPr>
        <w:tc>
          <w:tcPr>
            <w:tcW w:w="1904" w:type="dxa"/>
            <w:tcBorders>
              <w:top w:val="nil"/>
              <w:left w:val="nil"/>
              <w:bottom w:val="single" w:sz="12" w:space="0" w:color="000000"/>
              <w:right w:val="nil"/>
            </w:tcBorders>
            <w:tcMar>
              <w:top w:w="70" w:type="dxa"/>
              <w:left w:w="70" w:type="dxa"/>
              <w:bottom w:w="70" w:type="dxa"/>
              <w:right w:w="70" w:type="dxa"/>
            </w:tcMar>
          </w:tcPr>
          <w:p ns2:paraId="5E9CDD7E" ns2:textId="77777777" w:rsidR="00961C7F" w:rsidRDefault="008A042F">
            <w:pPr>
              <w:spacing w:after="0" w:line="240" w:lineRule="auto"/>
            </w:pPr>
            <w:r>
              <w:rPr>
                <w:rFonts w:ascii="Times New Roman" w:eastAsia="Times New Roman" w:hAnsi="Times New Roman"/>
                <w:sz w:val="21"/>
                <w:szCs w:val="20"/>
              </w:rPr>
              <w:t>Cumulative measure</w:t>
            </w:r>
          </w:p>
        </w:tc>
        <w:tc>
          <w:tcPr>
            <w:tcW w:w="4408" w:type="dxa"/>
            <w:tcBorders>
              <w:top w:val="nil"/>
              <w:left w:val="nil"/>
              <w:bottom w:val="single" w:sz="12" w:space="0" w:color="000000"/>
              <w:right w:val="nil"/>
            </w:tcBorders>
            <w:tcMar>
              <w:top w:w="70" w:type="dxa"/>
              <w:left w:w="70" w:type="dxa"/>
              <w:bottom w:w="70" w:type="dxa"/>
              <w:right w:w="70" w:type="dxa"/>
            </w:tcMar>
          </w:tcPr>
          <w:p ns2:paraId="42EA0FED" ns2:textId="77777777" w:rsidR="00961C7F" w:rsidRDefault="008A042F">
            <w:pPr>
              <w:spacing w:after="0" w:line="240" w:lineRule="auto"/>
            </w:pPr>
            <w:r>
              <w:rPr>
                <w:rFonts w:ascii="Times New Roman" w:eastAsia="Times New Roman" w:hAnsi="Times New Roman"/>
                <w:sz w:val="21"/>
                <w:szCs w:val="20"/>
              </w:rPr>
              <w:t>Country-year running total of annual policy-flow scores</w:t>
            </w:r>
          </w:p>
        </w:tc>
        <w:tc>
          <w:tcPr>
            <w:tcW w:w="2714" w:type="dxa"/>
            <w:tcBorders>
              <w:top w:val="nil"/>
              <w:left w:val="nil"/>
              <w:bottom w:val="single" w:sz="12" w:space="0" w:color="000000"/>
              <w:right w:val="nil"/>
            </w:tcBorders>
            <w:tcMar>
              <w:top w:w="70" w:type="dxa"/>
              <w:left w:w="70" w:type="dxa"/>
              <w:bottom w:w="70" w:type="dxa"/>
              <w:right w:w="70" w:type="dxa"/>
            </w:tcMar>
          </w:tcPr>
          <w:p ns2:paraId="2871D92E" ns2:textId="77777777" w:rsidR="00961C7F" w:rsidRDefault="008A042F">
            <w:pPr>
              <w:spacing w:after="0" w:line="240" w:lineRule="auto"/>
            </w:pPr>
            <w:r>
              <w:rPr>
                <w:rFonts w:ascii="Times New Roman" w:eastAsia="Times New Roman" w:hAnsi="Times New Roman"/>
                <w:sz w:val="21"/>
                <w:szCs w:val="20"/>
              </w:rPr>
              <w:t>Cumulative net policy change</w:t>
            </w:r>
          </w:p>
        </w:tc>
      </w:tr>
    </w:tbl>
    <w:p ns2:paraId="13C4494A" ns2:textId="77777777" w:rsidR="00B754C4" w:rsidRDefault="00B754C4" w:rsidP="001B5A82">
      <w:pPr>
        <w:jc w:val="both"/>
      </w:pPr>
    </w:p>
    <w:p ns2:paraId="6C3C4697" ns2:textId="77777777" w:rsidR="00961C7F" w:rsidRDefault="008A042F" w:rsidP="001B5A82">
      <w:pPr>
        <w:jc w:val="both"/>
      </w:pPr>
      <w:r>
        <w:t>This is a thesis-specific, magnitude-weighted summary of DEMIG-QuantMig policy events, not an official DEMIG score.</w:t>
      </w:r>
    </w:p>
    <w:p ns2:paraId="5F6CFD39" ns2:textId="77777777" w:rsidR="00961C7F" w:rsidRDefault="008A042F" w:rsidP="001B5A82">
      <w:pPr>
        <w:jc w:val="both"/>
      </w:pPr>
      <w:r>
        <w:t>The retained events comprise 245 skilled/high-skilled reforms, 59 low-skilled reforms, and 178 all-migrant-worker reforms. The all-migrant-worker score is the main measure; the two skill-targeted scores enter as controls.</w:t>
      </w:r>
    </w:p>
    <w:p ns2:paraId="733B62F9" ns2:textId="77777777" w:rsidR="009C3434" w:rsidRDefault="009C3434">
      <w:pPr>
        <w:jc w:val="center"/>
      </w:pPr>
    </w:p>
    <w:p ns2:paraId="4850E08B" ns2:textId="77777777" w:rsidR="009C3434" w:rsidRDefault="009C3434">
      <w:pPr>
        <w:jc w:val="center"/>
      </w:pPr>
    </w:p>
    <w:p ns2:paraId="61C31886" ns2:textId="77777777" w:rsidR="009C3434" w:rsidRDefault="009C3434">
      <w:pPr>
        <w:jc w:val="center"/>
      </w:pPr>
    </w:p>
    <w:p ns2:paraId="1490B954" ns2:textId="77777777" w:rsidR="00961C7F" w:rsidRPr="0038122C" w:rsidRDefault="008A042F" w:rsidP="0038122C">
      <w:pPr>
        <w:spacing w:before="120" w:after="80"/>
        <w:jc w:val="center"/>
        <w:rPr>
          <w:b/>
          <w:i/>
          <w:iCs/>
        </w:rPr>
      </w:pPr>
      <w:r>
        <w:rPr>
          <w:rFonts w:eastAsia="Times New Roman"/>
          <w:b/>
          <w:i/>
          <w:iCs/>
        </w:rPr>
        <w:t>Table 2. Policy event counts under three target-group definitions, target origin All foreign nationalities, 2007-2019.</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2"/>
        <w:gridCol w:w="1459"/>
      </w:tblGrid>
      <w:tr w:rsidR="00961C7F" ns2:paraId="550F6D04" ns2:textId="77777777" w:rsidTr="00937886">
        <w:trPr>
          <w:cantSplit/>
          <w:tblHeader/>
          <w:jc w:val="center"/>
        </w:trPr>
        <w:tc>
          <w:tcPr>
            <w:tcW w:w="2522" w:type="dxa"/>
            <w:tcBorders>
              <w:top w:val="single" w:sz="12" w:space="0" w:color="000000"/>
              <w:left w:val="nil"/>
              <w:bottom w:val="single" w:sz="8" w:space="0" w:color="000000"/>
              <w:right w:val="nil"/>
            </w:tcBorders>
            <w:tcMar>
              <w:top w:w="70" w:type="dxa"/>
              <w:left w:w="70" w:type="dxa"/>
              <w:bottom w:w="70" w:type="dxa"/>
              <w:right w:w="70" w:type="dxa"/>
            </w:tcMar>
          </w:tcPr>
          <w:p ns2:paraId="0F228D88" ns2:textId="77777777" w:rsidR="00961C7F" w:rsidRDefault="008A042F">
            <w:pPr>
              <w:spacing w:after="0" w:line="240" w:lineRule="auto"/>
            </w:pPr>
            <w:r>
              <w:rPr>
                <w:rFonts w:ascii="Times New Roman" w:eastAsia="Times New Roman" w:hAnsi="Times New Roman"/>
                <w:b/>
                <w:sz w:val="21"/>
                <w:szCs w:val="20"/>
              </w:rPr>
              <w:t>Policy definition</w:t>
            </w:r>
          </w:p>
        </w:tc>
        <w:tc>
          <w:tcPr>
            <w:tcW w:w="971" w:type="dxa"/>
            <w:tcBorders>
              <w:top w:val="single" w:sz="12" w:space="0" w:color="000000"/>
              <w:left w:val="nil"/>
              <w:bottom w:val="single" w:sz="8" w:space="0" w:color="000000"/>
              <w:right w:val="nil"/>
            </w:tcBorders>
            <w:tcMar>
              <w:top w:w="70" w:type="dxa"/>
              <w:left w:w="70" w:type="dxa"/>
              <w:bottom w:w="70" w:type="dxa"/>
              <w:right w:w="70" w:type="dxa"/>
            </w:tcMar>
          </w:tcPr>
          <w:p ns2:paraId="3B9C4EDB" ns2:textId="77777777" w:rsidR="00961C7F" w:rsidRDefault="008A042F">
            <w:pPr>
              <w:spacing w:after="0" w:line="240" w:lineRule="auto"/>
            </w:pPr>
            <w:r>
              <w:rPr>
                <w:rFonts w:ascii="Times New Roman" w:eastAsia="Times New Roman" w:hAnsi="Times New Roman"/>
                <w:b/>
                <w:sz w:val="21"/>
                <w:szCs w:val="20"/>
              </w:rPr>
              <w:t>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ns2:paraId="768A0717" ns2:textId="77777777" w:rsidR="00961C7F" w:rsidRDefault="008A042F">
            <w:pPr>
              <w:spacing w:after="0" w:line="240" w:lineRule="auto"/>
            </w:pPr>
            <w:r>
              <w:rPr>
                <w:rFonts w:ascii="Times New Roman" w:eastAsia="Times New Roman" w:hAnsi="Times New Roman"/>
                <w:b/>
                <w:sz w:val="21"/>
                <w:szCs w:val="20"/>
              </w:rPr>
              <w:t>Work-visa 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ns2:paraId="283EEDE6" ns2:textId="77777777" w:rsidR="00961C7F" w:rsidRDefault="008A042F">
            <w:pPr>
              <w:spacing w:after="0" w:line="240" w:lineRule="auto"/>
            </w:pPr>
            <w:r>
              <w:rPr>
                <w:rFonts w:ascii="Times New Roman" w:eastAsia="Times New Roman" w:hAnsi="Times New Roman"/>
                <w:b/>
                <w:sz w:val="21"/>
                <w:szCs w:val="20"/>
              </w:rPr>
              <w:t>Less restrictive</w:t>
            </w:r>
          </w:p>
        </w:tc>
        <w:tc>
          <w:tcPr>
            <w:tcW w:w="1162" w:type="dxa"/>
            <w:tcBorders>
              <w:top w:val="single" w:sz="12" w:space="0" w:color="000000"/>
              <w:left w:val="nil"/>
              <w:bottom w:val="single" w:sz="8" w:space="0" w:color="000000"/>
              <w:right w:val="nil"/>
            </w:tcBorders>
            <w:tcMar>
              <w:top w:w="70" w:type="dxa"/>
              <w:left w:w="70" w:type="dxa"/>
              <w:bottom w:w="70" w:type="dxa"/>
              <w:right w:w="70" w:type="dxa"/>
            </w:tcMar>
          </w:tcPr>
          <w:p ns2:paraId="113963A7" ns2:textId="77777777" w:rsidR="00961C7F" w:rsidRDefault="008A042F">
            <w:pPr>
              <w:spacing w:after="0" w:line="240" w:lineRule="auto"/>
            </w:pPr>
            <w:r>
              <w:rPr>
                <w:rFonts w:ascii="Times New Roman" w:eastAsia="Times New Roman" w:hAnsi="Times New Roman"/>
                <w:b/>
                <w:sz w:val="21"/>
                <w:szCs w:val="20"/>
              </w:rPr>
              <w:t>No change</w:t>
            </w:r>
          </w:p>
        </w:tc>
        <w:tc>
          <w:tcPr>
            <w:tcW w:w="1459" w:type="dxa"/>
            <w:tcBorders>
              <w:top w:val="single" w:sz="12" w:space="0" w:color="000000"/>
              <w:left w:val="nil"/>
              <w:bottom w:val="single" w:sz="8" w:space="0" w:color="000000"/>
              <w:right w:val="nil"/>
            </w:tcBorders>
            <w:tcMar>
              <w:top w:w="70" w:type="dxa"/>
              <w:left w:w="70" w:type="dxa"/>
              <w:bottom w:w="70" w:type="dxa"/>
              <w:right w:w="70" w:type="dxa"/>
            </w:tcMar>
          </w:tcPr>
          <w:p ns2:paraId="61B0C200" ns2:textId="77777777" w:rsidR="00961C7F" w:rsidRDefault="008A042F">
            <w:pPr>
              <w:spacing w:after="0" w:line="240" w:lineRule="auto"/>
            </w:pPr>
            <w:r>
              <w:rPr>
                <w:rFonts w:ascii="Times New Roman" w:eastAsia="Times New Roman" w:hAnsi="Times New Roman"/>
                <w:b/>
                <w:sz w:val="21"/>
                <w:szCs w:val="20"/>
              </w:rPr>
              <w:t>More restrictive</w:t>
            </w:r>
          </w:p>
        </w:tc>
      </w:tr>
      <w:tr w:rsidR="00961C7F" ns2:paraId="5C6DA70A" ns2: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ns2:paraId="4BD60553" ns2:textId="77777777" w:rsidR="00961C7F" w:rsidRDefault="008A042F">
            <w:pPr>
              <w:spacing w:after="0" w:line="240" w:lineRule="auto"/>
            </w:pPr>
            <w:r>
              <w:rPr>
                <w:rFonts w:ascii="Times New Roman" w:eastAsia="Times New Roman" w:hAnsi="Times New Roman"/>
                <w:sz w:val="21"/>
                <w:szCs w:val="20"/>
              </w:rPr>
              <w:t>Skilled/high-skilled targeted only</w:t>
            </w:r>
          </w:p>
        </w:tc>
        <w:tc>
          <w:tcPr>
            <w:tcW w:w="971" w:type="dxa"/>
            <w:tcBorders>
              <w:top w:val="nil"/>
              <w:left w:val="nil"/>
              <w:bottom w:val="nil"/>
              <w:right w:val="nil"/>
            </w:tcBorders>
            <w:tcMar>
              <w:top w:w="70" w:type="dxa"/>
              <w:left w:w="70" w:type="dxa"/>
              <w:bottom w:w="70" w:type="dxa"/>
              <w:right w:w="70" w:type="dxa"/>
            </w:tcMar>
          </w:tcPr>
          <w:p ns2:paraId="6C9716F1" ns2:textId="77777777" w:rsidR="00961C7F" w:rsidRDefault="008A042F">
            <w:pPr>
              <w:spacing w:after="0" w:line="240" w:lineRule="auto"/>
              <w:jc w:val="right"/>
            </w:pPr>
            <w:r>
              <w:rPr>
                <w:rFonts w:ascii="Times New Roman" w:eastAsia="Times New Roman" w:hAnsi="Times New Roman"/>
                <w:sz w:val="21"/>
                <w:szCs w:val="20"/>
              </w:rPr>
              <w:t>245</w:t>
            </w:r>
          </w:p>
        </w:tc>
        <w:tc>
          <w:tcPr>
            <w:tcW w:w="1456" w:type="dxa"/>
            <w:tcBorders>
              <w:top w:val="nil"/>
              <w:left w:val="nil"/>
              <w:bottom w:val="nil"/>
              <w:right w:val="nil"/>
            </w:tcBorders>
            <w:tcMar>
              <w:top w:w="70" w:type="dxa"/>
              <w:left w:w="70" w:type="dxa"/>
              <w:bottom w:w="70" w:type="dxa"/>
              <w:right w:w="70" w:type="dxa"/>
            </w:tcMar>
          </w:tcPr>
          <w:p ns2:paraId="7B581AED" ns2:textId="77777777" w:rsidR="00961C7F" w:rsidRDefault="008A042F">
            <w:pPr>
              <w:spacing w:after="0" w:line="240" w:lineRule="auto"/>
              <w:jc w:val="right"/>
            </w:pPr>
            <w:r>
              <w:rPr>
                <w:rFonts w:ascii="Times New Roman" w:eastAsia="Times New Roman" w:hAnsi="Times New Roman"/>
                <w:sz w:val="21"/>
                <w:szCs w:val="20"/>
              </w:rPr>
              <w:t>150</w:t>
            </w:r>
          </w:p>
        </w:tc>
        <w:tc>
          <w:tcPr>
            <w:tcW w:w="1456" w:type="dxa"/>
            <w:tcBorders>
              <w:top w:val="nil"/>
              <w:left w:val="nil"/>
              <w:bottom w:val="nil"/>
              <w:right w:val="nil"/>
            </w:tcBorders>
            <w:tcMar>
              <w:top w:w="70" w:type="dxa"/>
              <w:left w:w="70" w:type="dxa"/>
              <w:bottom w:w="70" w:type="dxa"/>
              <w:right w:w="70" w:type="dxa"/>
            </w:tcMar>
          </w:tcPr>
          <w:p ns2:paraId="7E0DEE34" ns2:textId="77777777" w:rsidR="00961C7F" w:rsidRDefault="008A042F">
            <w:pPr>
              <w:spacing w:after="0" w:line="240" w:lineRule="auto"/>
              <w:jc w:val="right"/>
            </w:pPr>
            <w:r>
              <w:rPr>
                <w:rFonts w:ascii="Times New Roman" w:eastAsia="Times New Roman" w:hAnsi="Times New Roman"/>
                <w:sz w:val="21"/>
                <w:szCs w:val="20"/>
              </w:rPr>
              <w:t>225</w:t>
            </w:r>
          </w:p>
        </w:tc>
        <w:tc>
          <w:tcPr>
            <w:tcW w:w="1162" w:type="dxa"/>
            <w:tcBorders>
              <w:top w:val="nil"/>
              <w:left w:val="nil"/>
              <w:bottom w:val="nil"/>
              <w:right w:val="nil"/>
            </w:tcBorders>
            <w:tcMar>
              <w:top w:w="70" w:type="dxa"/>
              <w:left w:w="70" w:type="dxa"/>
              <w:bottom w:w="70" w:type="dxa"/>
              <w:right w:w="70" w:type="dxa"/>
            </w:tcMar>
          </w:tcPr>
          <w:p ns2:paraId="777847AF" ns2:textId="77777777" w:rsidR="00961C7F" w:rsidRDefault="008A042F">
            <w:pPr>
              <w:spacing w:after="0" w:line="240" w:lineRule="auto"/>
              <w:jc w:val="right"/>
            </w:pPr>
            <w:r>
              <w:rPr>
                <w:rFonts w:ascii="Times New Roman" w:eastAsia="Times New Roman" w:hAnsi="Times New Roman"/>
                <w:sz w:val="21"/>
                <w:szCs w:val="20"/>
              </w:rPr>
              <w:t>1</w:t>
            </w:r>
          </w:p>
        </w:tc>
        <w:tc>
          <w:tcPr>
            <w:tcW w:w="1459" w:type="dxa"/>
            <w:tcBorders>
              <w:top w:val="nil"/>
              <w:left w:val="nil"/>
              <w:bottom w:val="nil"/>
              <w:right w:val="nil"/>
            </w:tcBorders>
            <w:tcMar>
              <w:top w:w="70" w:type="dxa"/>
              <w:left w:w="70" w:type="dxa"/>
              <w:bottom w:w="70" w:type="dxa"/>
              <w:right w:w="70" w:type="dxa"/>
            </w:tcMar>
          </w:tcPr>
          <w:p ns2:paraId="5C62FC15" ns2:textId="77777777" w:rsidR="00961C7F" w:rsidRDefault="008A042F">
            <w:pPr>
              <w:spacing w:after="0" w:line="240" w:lineRule="auto"/>
              <w:jc w:val="right"/>
            </w:pPr>
            <w:r>
              <w:rPr>
                <w:rFonts w:ascii="Times New Roman" w:eastAsia="Times New Roman" w:hAnsi="Times New Roman"/>
                <w:sz w:val="21"/>
                <w:szCs w:val="20"/>
              </w:rPr>
              <w:t>19</w:t>
            </w:r>
          </w:p>
        </w:tc>
      </w:tr>
      <w:tr w:rsidR="00961C7F" ns2:paraId="1E201153" ns2: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ns2:paraId="75AE1CAC" ns2:textId="77777777" w:rsidR="00961C7F" w:rsidRDefault="008A042F">
            <w:pPr>
              <w:spacing w:after="0" w:line="240" w:lineRule="auto"/>
            </w:pPr>
            <w:r>
              <w:rPr>
                <w:rFonts w:ascii="Times New Roman" w:eastAsia="Times New Roman" w:hAnsi="Times New Roman"/>
                <w:sz w:val="21"/>
                <w:szCs w:val="20"/>
              </w:rPr>
              <w:t>Low-skilled targeted only</w:t>
            </w:r>
          </w:p>
        </w:tc>
        <w:tc>
          <w:tcPr>
            <w:tcW w:w="971" w:type="dxa"/>
            <w:tcBorders>
              <w:top w:val="nil"/>
              <w:left w:val="nil"/>
              <w:bottom w:val="nil"/>
              <w:right w:val="nil"/>
            </w:tcBorders>
            <w:tcMar>
              <w:top w:w="70" w:type="dxa"/>
              <w:left w:w="70" w:type="dxa"/>
              <w:bottom w:w="70" w:type="dxa"/>
              <w:right w:w="70" w:type="dxa"/>
            </w:tcMar>
          </w:tcPr>
          <w:p ns2:paraId="338EDDDC" ns2:textId="77777777" w:rsidR="00961C7F" w:rsidRDefault="008A042F">
            <w:pPr>
              <w:spacing w:after="0" w:line="240" w:lineRule="auto"/>
              <w:jc w:val="right"/>
            </w:pPr>
            <w:r>
              <w:rPr>
                <w:rFonts w:ascii="Times New Roman" w:eastAsia="Times New Roman" w:hAnsi="Times New Roman"/>
                <w:sz w:val="21"/>
                <w:szCs w:val="20"/>
              </w:rPr>
              <w:t>59</w:t>
            </w:r>
          </w:p>
        </w:tc>
        <w:tc>
          <w:tcPr>
            <w:tcW w:w="1456" w:type="dxa"/>
            <w:tcBorders>
              <w:top w:val="nil"/>
              <w:left w:val="nil"/>
              <w:bottom w:val="nil"/>
              <w:right w:val="nil"/>
            </w:tcBorders>
            <w:tcMar>
              <w:top w:w="70" w:type="dxa"/>
              <w:left w:w="70" w:type="dxa"/>
              <w:bottom w:w="70" w:type="dxa"/>
              <w:right w:w="70" w:type="dxa"/>
            </w:tcMar>
          </w:tcPr>
          <w:p ns2:paraId="0AE1FFA4" ns2:textId="77777777" w:rsidR="00961C7F" w:rsidRDefault="008A042F">
            <w:pPr>
              <w:spacing w:after="0" w:line="240" w:lineRule="auto"/>
              <w:jc w:val="right"/>
            </w:pPr>
            <w:r>
              <w:rPr>
                <w:rFonts w:ascii="Times New Roman" w:eastAsia="Times New Roman" w:hAnsi="Times New Roman"/>
                <w:sz w:val="21"/>
                <w:szCs w:val="20"/>
              </w:rPr>
              <w:t>36</w:t>
            </w:r>
          </w:p>
        </w:tc>
        <w:tc>
          <w:tcPr>
            <w:tcW w:w="1456" w:type="dxa"/>
            <w:tcBorders>
              <w:top w:val="nil"/>
              <w:left w:val="nil"/>
              <w:bottom w:val="nil"/>
              <w:right w:val="nil"/>
            </w:tcBorders>
            <w:tcMar>
              <w:top w:w="70" w:type="dxa"/>
              <w:left w:w="70" w:type="dxa"/>
              <w:bottom w:w="70" w:type="dxa"/>
              <w:right w:w="70" w:type="dxa"/>
            </w:tcMar>
          </w:tcPr>
          <w:p ns2:paraId="1B18EB55" ns2:textId="77777777" w:rsidR="00961C7F" w:rsidRDefault="008A042F">
            <w:pPr>
              <w:spacing w:after="0" w:line="240" w:lineRule="auto"/>
              <w:jc w:val="right"/>
            </w:pPr>
            <w:r>
              <w:rPr>
                <w:rFonts w:ascii="Times New Roman" w:eastAsia="Times New Roman" w:hAnsi="Times New Roman"/>
                <w:sz w:val="21"/>
                <w:szCs w:val="20"/>
              </w:rPr>
              <w:t>37</w:t>
            </w:r>
          </w:p>
        </w:tc>
        <w:tc>
          <w:tcPr>
            <w:tcW w:w="1162" w:type="dxa"/>
            <w:tcBorders>
              <w:top w:val="nil"/>
              <w:left w:val="nil"/>
              <w:bottom w:val="nil"/>
              <w:right w:val="nil"/>
            </w:tcBorders>
            <w:tcMar>
              <w:top w:w="70" w:type="dxa"/>
              <w:left w:w="70" w:type="dxa"/>
              <w:bottom w:w="70" w:type="dxa"/>
              <w:right w:w="70" w:type="dxa"/>
            </w:tcMar>
          </w:tcPr>
          <w:p ns2:paraId="2608CA90" ns2:textId="77777777" w:rsidR="00961C7F" w:rsidRDefault="008A042F">
            <w:pPr>
              <w:spacing w:after="0" w:line="240" w:lineRule="auto"/>
              <w:jc w:val="right"/>
            </w:pPr>
            <w:r>
              <w:rPr>
                <w:rFonts w:ascii="Times New Roman" w:eastAsia="Times New Roman" w:hAnsi="Times New Roman"/>
                <w:sz w:val="21"/>
                <w:szCs w:val="20"/>
              </w:rPr>
              <w:t>0</w:t>
            </w:r>
          </w:p>
        </w:tc>
        <w:tc>
          <w:tcPr>
            <w:tcW w:w="1459" w:type="dxa"/>
            <w:tcBorders>
              <w:top w:val="nil"/>
              <w:left w:val="nil"/>
              <w:bottom w:val="nil"/>
              <w:right w:val="nil"/>
            </w:tcBorders>
            <w:tcMar>
              <w:top w:w="70" w:type="dxa"/>
              <w:left w:w="70" w:type="dxa"/>
              <w:bottom w:w="70" w:type="dxa"/>
              <w:right w:w="70" w:type="dxa"/>
            </w:tcMar>
          </w:tcPr>
          <w:p ns2:paraId="3A4FB002" ns2:textId="77777777" w:rsidR="00961C7F" w:rsidRDefault="008A042F">
            <w:pPr>
              <w:spacing w:after="0" w:line="240" w:lineRule="auto"/>
              <w:jc w:val="right"/>
            </w:pPr>
            <w:r>
              <w:rPr>
                <w:rFonts w:ascii="Times New Roman" w:eastAsia="Times New Roman" w:hAnsi="Times New Roman"/>
                <w:sz w:val="21"/>
                <w:szCs w:val="20"/>
              </w:rPr>
              <w:t>22</w:t>
            </w:r>
          </w:p>
        </w:tc>
      </w:tr>
      <w:tr w:rsidR="00961C7F" ns2:paraId="2305E793" ns2:textId="77777777" w:rsidTr="00937886">
        <w:trPr>
          <w:cantSplit/>
          <w:jc w:val="center"/>
        </w:trPr>
        <w:tc>
          <w:tcPr>
            <w:tcW w:w="2522" w:type="dxa"/>
            <w:tcBorders>
              <w:top w:val="nil"/>
              <w:left w:val="nil"/>
              <w:bottom w:val="single" w:sz="12" w:space="0" w:color="000000"/>
              <w:right w:val="nil"/>
            </w:tcBorders>
            <w:tcMar>
              <w:top w:w="70" w:type="dxa"/>
              <w:left w:w="70" w:type="dxa"/>
              <w:bottom w:w="70" w:type="dxa"/>
              <w:right w:w="70" w:type="dxa"/>
            </w:tcMar>
          </w:tcPr>
          <w:p ns2:paraId="4F455366" ns2:textId="77777777" w:rsidR="00961C7F" w:rsidRDefault="008A042F">
            <w:pPr>
              <w:spacing w:after="0" w:line="240" w:lineRule="auto"/>
            </w:pPr>
            <w:r>
              <w:rPr>
                <w:rFonts w:ascii="Times New Roman" w:eastAsia="Times New Roman" w:hAnsi="Times New Roman"/>
                <w:sz w:val="21"/>
                <w:szCs w:val="20"/>
              </w:rPr>
              <w:t>All-migrant-worker-only</w:t>
            </w:r>
          </w:p>
        </w:tc>
        <w:tc>
          <w:tcPr>
            <w:tcW w:w="971" w:type="dxa"/>
            <w:tcBorders>
              <w:top w:val="nil"/>
              <w:left w:val="nil"/>
              <w:bottom w:val="single" w:sz="12" w:space="0" w:color="000000"/>
              <w:right w:val="nil"/>
            </w:tcBorders>
            <w:tcMar>
              <w:top w:w="70" w:type="dxa"/>
              <w:left w:w="70" w:type="dxa"/>
              <w:bottom w:w="70" w:type="dxa"/>
              <w:right w:w="70" w:type="dxa"/>
            </w:tcMar>
          </w:tcPr>
          <w:p ns2:paraId="319D5D60" ns2:textId="77777777" w:rsidR="00961C7F" w:rsidRDefault="008A042F">
            <w:pPr>
              <w:spacing w:after="0" w:line="240" w:lineRule="auto"/>
              <w:jc w:val="right"/>
            </w:pPr>
            <w:r>
              <w:rPr>
                <w:rFonts w:ascii="Times New Roman" w:eastAsia="Times New Roman" w:hAnsi="Times New Roman"/>
                <w:sz w:val="21"/>
                <w:szCs w:val="20"/>
              </w:rPr>
              <w:t>178</w:t>
            </w:r>
          </w:p>
        </w:tc>
        <w:tc>
          <w:tcPr>
            <w:tcW w:w="1456" w:type="dxa"/>
            <w:tcBorders>
              <w:top w:val="nil"/>
              <w:left w:val="nil"/>
              <w:bottom w:val="single" w:sz="12" w:space="0" w:color="000000"/>
              <w:right w:val="nil"/>
            </w:tcBorders>
            <w:tcMar>
              <w:top w:w="70" w:type="dxa"/>
              <w:left w:w="70" w:type="dxa"/>
              <w:bottom w:w="70" w:type="dxa"/>
              <w:right w:w="70" w:type="dxa"/>
            </w:tcMar>
          </w:tcPr>
          <w:p ns2:paraId="7D14063C" ns2:textId="77777777" w:rsidR="00961C7F" w:rsidRDefault="008A042F">
            <w:pPr>
              <w:spacing w:after="0" w:line="240" w:lineRule="auto"/>
              <w:jc w:val="right"/>
            </w:pPr>
            <w:r>
              <w:rPr>
                <w:rFonts w:ascii="Times New Roman" w:eastAsia="Times New Roman" w:hAnsi="Times New Roman"/>
                <w:sz w:val="21"/>
                <w:szCs w:val="20"/>
              </w:rPr>
              <w:t>91</w:t>
            </w:r>
          </w:p>
        </w:tc>
        <w:tc>
          <w:tcPr>
            <w:tcW w:w="1456" w:type="dxa"/>
            <w:tcBorders>
              <w:top w:val="nil"/>
              <w:left w:val="nil"/>
              <w:bottom w:val="single" w:sz="12" w:space="0" w:color="000000"/>
              <w:right w:val="nil"/>
            </w:tcBorders>
            <w:tcMar>
              <w:top w:w="70" w:type="dxa"/>
              <w:left w:w="70" w:type="dxa"/>
              <w:bottom w:w="70" w:type="dxa"/>
              <w:right w:w="70" w:type="dxa"/>
            </w:tcMar>
          </w:tcPr>
          <w:p ns2:paraId="04402E40" ns2:textId="77777777" w:rsidR="00961C7F" w:rsidRDefault="008A042F">
            <w:pPr>
              <w:spacing w:after="0" w:line="240" w:lineRule="auto"/>
              <w:jc w:val="right"/>
            </w:pPr>
            <w:r>
              <w:rPr>
                <w:rFonts w:ascii="Times New Roman" w:eastAsia="Times New Roman" w:hAnsi="Times New Roman"/>
                <w:sz w:val="21"/>
                <w:szCs w:val="20"/>
              </w:rPr>
              <w:t>111</w:t>
            </w:r>
          </w:p>
        </w:tc>
        <w:tc>
          <w:tcPr>
            <w:tcW w:w="1162" w:type="dxa"/>
            <w:tcBorders>
              <w:top w:val="nil"/>
              <w:left w:val="nil"/>
              <w:bottom w:val="single" w:sz="12" w:space="0" w:color="000000"/>
              <w:right w:val="nil"/>
            </w:tcBorders>
            <w:tcMar>
              <w:top w:w="70" w:type="dxa"/>
              <w:left w:w="70" w:type="dxa"/>
              <w:bottom w:w="70" w:type="dxa"/>
              <w:right w:w="70" w:type="dxa"/>
            </w:tcMar>
          </w:tcPr>
          <w:p ns2:paraId="2D3B09DE" ns2:textId="77777777" w:rsidR="00961C7F" w:rsidRDefault="008A042F">
            <w:pPr>
              <w:spacing w:after="0" w:line="240" w:lineRule="auto"/>
              <w:jc w:val="right"/>
            </w:pPr>
            <w:r>
              <w:rPr>
                <w:rFonts w:ascii="Times New Roman" w:eastAsia="Times New Roman" w:hAnsi="Times New Roman"/>
                <w:sz w:val="21"/>
                <w:szCs w:val="20"/>
              </w:rPr>
              <w:t>3</w:t>
            </w:r>
          </w:p>
        </w:tc>
        <w:tc>
          <w:tcPr>
            <w:tcW w:w="1459" w:type="dxa"/>
            <w:tcBorders>
              <w:top w:val="nil"/>
              <w:left w:val="nil"/>
              <w:bottom w:val="single" w:sz="12" w:space="0" w:color="000000"/>
              <w:right w:val="nil"/>
            </w:tcBorders>
            <w:tcMar>
              <w:top w:w="70" w:type="dxa"/>
              <w:left w:w="70" w:type="dxa"/>
              <w:bottom w:w="70" w:type="dxa"/>
              <w:right w:w="70" w:type="dxa"/>
            </w:tcMar>
          </w:tcPr>
          <w:p ns2:paraId="4CF66177" ns2:textId="77777777" w:rsidR="00961C7F" w:rsidRDefault="008A042F">
            <w:pPr>
              <w:spacing w:after="0" w:line="240" w:lineRule="auto"/>
              <w:jc w:val="right"/>
            </w:pPr>
            <w:r>
              <w:rPr>
                <w:rFonts w:ascii="Times New Roman" w:eastAsia="Times New Roman" w:hAnsi="Times New Roman"/>
                <w:sz w:val="21"/>
                <w:szCs w:val="20"/>
              </w:rPr>
              <w:t>64</w:t>
            </w:r>
          </w:p>
        </w:tc>
      </w:tr>
    </w:tbl>
    <w:p ns2:paraId="3491C7F9" ns2:textId="77777777" w:rsidR="00333C79" w:rsidRDefault="00333C79" w:rsidP="001B5A82">
      <w:pPr>
        <w:jc w:val="both"/>
      </w:pPr>
    </w:p>
    <w:p ns2:paraId="57B15F91" ns2:textId="77777777" w:rsidR="009401EE"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ns2:paraId="4AAC1BC9" ns2:textId="77777777" w:rsidR="007830C2" w:rsidRDefault="008A042F" w:rsidP="001B5A82">
      <w:pPr>
        <w:jc w:val="both"/>
      </w:pPr>
      <w:r>
        <w:t>Work visa/permit is the largest category (91 events), covering permit issuance, employer-sponsored procedures, fast-track routes, and related labor-entry rules. Quota/target (24 events) covers numerical caps and related adjustments, while entry-visa/stay rules (20 events, including one event recorded under the near-duplicate source label 'Entry visa and stay') cover residence and entry conditions. Table 3 reports every policy-tool category with at least one event in the preferred all-migrant-worker score. The three smallest categories together account for four events: action plans/strategy/reports (2), a points-based-system event (1), and a language, housing and cultural integration programme event (1).</w:t>
      </w:r>
    </w:p>
    <w:p ns2:paraId="47B2CD41" ns2: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ns2:paraId="31790B49" ns2:textId="77777777" w:rsidR="00961C7F" w:rsidRPr="0038122C" w:rsidRDefault="008A042F" w:rsidP="0038122C">
      <w:pPr>
        <w:spacing w:before="120" w:after="80"/>
        <w:jc w:val="center"/>
        <w:rPr>
          <w:b/>
          <w:i/>
          <w:iCs/>
        </w:rPr>
      </w:pPr>
      <w:r>
        <w:rPr>
          <w:rFonts w:eastAsia="Times New Roman"/>
          <w:b/>
          <w:i/>
          <w:iCs/>
        </w:rPr>
        <w:t>Table 3. Preferred all-migrant-worker cumulative policy measure by policy tool, target origin All foreign nationalities.</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676"/>
        <w:gridCol w:w="1099"/>
        <w:gridCol w:w="1122"/>
        <w:gridCol w:w="4129"/>
      </w:tblGrid>
      <w:tr w:rsidR="00961C7F" ns2:paraId="31CD57DA" ns2:textId="77777777" w:rsidTr="001F1C47">
        <w:trPr>
          <w:cantSplit/>
          <w:tblHeader/>
          <w:jc w:val="center"/>
        </w:trPr>
        <w:tc>
          <w:tcPr>
            <w:tcW w:w="2676" w:type="dxa"/>
            <w:tcBorders>
              <w:top w:val="single" w:sz="12" w:space="0" w:color="000000"/>
              <w:left w:val="nil"/>
              <w:bottom w:val="single" w:sz="8" w:space="0" w:color="000000"/>
              <w:right w:val="nil"/>
            </w:tcBorders>
            <w:tcMar>
              <w:top w:w="70" w:type="dxa"/>
              <w:left w:w="70" w:type="dxa"/>
              <w:bottom w:w="70" w:type="dxa"/>
              <w:right w:w="70" w:type="dxa"/>
            </w:tcMar>
          </w:tcPr>
          <w:p ns2:paraId="0BB2ACBD" ns2:textId="77777777" w:rsidR="00961C7F" w:rsidRDefault="008A042F">
            <w:pPr>
              <w:spacing w:after="0" w:line="240" w:lineRule="auto"/>
            </w:pPr>
            <w:r>
              <w:rPr>
                <w:rFonts w:ascii="Times New Roman" w:eastAsia="Times New Roman" w:hAnsi="Times New Roman"/>
                <w:b/>
                <w:sz w:val="20"/>
                <w:szCs w:val="20"/>
              </w:rPr>
              <w:t>Policy tool in preferred all-migrant-worker measure</w:t>
            </w:r>
          </w:p>
        </w:tc>
        <w:tc>
          <w:tcPr>
            <w:tcW w:w="1099" w:type="dxa"/>
            <w:tcBorders>
              <w:top w:val="single" w:sz="12" w:space="0" w:color="000000"/>
              <w:left w:val="nil"/>
              <w:bottom w:val="single" w:sz="8" w:space="0" w:color="000000"/>
              <w:right w:val="nil"/>
            </w:tcBorders>
            <w:tcMar>
              <w:top w:w="70" w:type="dxa"/>
              <w:left w:w="70" w:type="dxa"/>
              <w:bottom w:w="70" w:type="dxa"/>
              <w:right w:w="70" w:type="dxa"/>
            </w:tcMar>
          </w:tcPr>
          <w:p ns2:paraId="6099917F" ns2:textId="77777777" w:rsidR="00961C7F" w:rsidRDefault="008A042F">
            <w:pPr>
              <w:spacing w:after="0" w:line="240" w:lineRule="auto"/>
            </w:pPr>
            <w:r>
              <w:rPr>
                <w:rFonts w:ascii="Times New Roman" w:eastAsia="Times New Roman" w:hAnsi="Times New Roman"/>
                <w:b/>
                <w:sz w:val="20"/>
                <w:szCs w:val="20"/>
              </w:rPr>
              <w:t>All events</w:t>
            </w:r>
          </w:p>
        </w:tc>
        <w:tc>
          <w:tcPr>
            <w:tcW w:w="1122" w:type="dxa"/>
            <w:tcBorders>
              <w:top w:val="single" w:sz="12" w:space="0" w:color="000000"/>
              <w:left w:val="nil"/>
              <w:bottom w:val="single" w:sz="8" w:space="0" w:color="000000"/>
              <w:right w:val="nil"/>
            </w:tcBorders>
            <w:tcMar>
              <w:top w:w="70" w:type="dxa"/>
              <w:left w:w="70" w:type="dxa"/>
              <w:bottom w:w="70" w:type="dxa"/>
              <w:right w:w="70" w:type="dxa"/>
            </w:tcMar>
          </w:tcPr>
          <w:p ns2:paraId="7E6F8FDF" ns2:textId="77777777" w:rsidR="00961C7F" w:rsidRDefault="008A042F">
            <w:pPr>
              <w:spacing w:after="0" w:line="240" w:lineRule="auto"/>
            </w:pPr>
            <w:r>
              <w:rPr>
                <w:rFonts w:ascii="Times New Roman" w:eastAsia="Times New Roman" w:hAnsi="Times New Roman"/>
                <w:b/>
                <w:sz w:val="20"/>
                <w:szCs w:val="20"/>
              </w:rPr>
              <w:t>More restrictive events</w:t>
            </w:r>
          </w:p>
        </w:tc>
        <w:tc>
          <w:tcPr>
            <w:tcW w:w="4129" w:type="dxa"/>
            <w:tcBorders>
              <w:top w:val="single" w:sz="12" w:space="0" w:color="000000"/>
              <w:left w:val="nil"/>
              <w:bottom w:val="single" w:sz="8" w:space="0" w:color="000000"/>
              <w:right w:val="nil"/>
            </w:tcBorders>
            <w:tcMar>
              <w:top w:w="70" w:type="dxa"/>
              <w:left w:w="70" w:type="dxa"/>
              <w:bottom w:w="70" w:type="dxa"/>
              <w:right w:w="70" w:type="dxa"/>
            </w:tcMar>
          </w:tcPr>
          <w:p ns2:paraId="18EF5CF1" ns2:textId="77777777" w:rsidR="00961C7F" w:rsidRDefault="008A042F">
            <w:pPr>
              <w:spacing w:after="0" w:line="240" w:lineRule="auto"/>
            </w:pPr>
            <w:r>
              <w:rPr>
                <w:rFonts w:ascii="Times New Roman" w:eastAsia="Times New Roman" w:hAnsi="Times New Roman"/>
                <w:b/>
                <w:sz w:val="20"/>
                <w:szCs w:val="20"/>
              </w:rPr>
              <w:t>Role in the measure</w:t>
            </w:r>
          </w:p>
        </w:tc>
      </w:tr>
      <w:tr w:rsidR="00961C7F" ns2:paraId="31F228FE"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2DB018EB" ns2:textId="77777777" w:rsidR="00961C7F" w:rsidRDefault="008A042F">
            <w:pPr>
              <w:spacing w:after="0" w:line="240" w:lineRule="auto"/>
            </w:pPr>
            <w:r>
              <w:rPr>
                <w:rFonts w:ascii="Times New Roman" w:eastAsia="Times New Roman" w:hAnsi="Times New Roman"/>
                <w:sz w:val="20"/>
                <w:szCs w:val="20"/>
              </w:rPr>
              <w:t>Work visa/permit</w:t>
            </w:r>
          </w:p>
        </w:tc>
        <w:tc>
          <w:tcPr>
            <w:tcW w:w="1099" w:type="dxa"/>
            <w:tcBorders>
              <w:top w:val="nil"/>
              <w:left w:val="nil"/>
              <w:bottom w:val="nil"/>
              <w:right w:val="nil"/>
            </w:tcBorders>
            <w:tcMar>
              <w:top w:w="70" w:type="dxa"/>
              <w:left w:w="70" w:type="dxa"/>
              <w:bottom w:w="70" w:type="dxa"/>
              <w:right w:w="70" w:type="dxa"/>
            </w:tcMar>
          </w:tcPr>
          <w:p ns2:paraId="57B8B73A" ns2:textId="77777777" w:rsidR="00961C7F" w:rsidRDefault="008A042F">
            <w:pPr>
              <w:spacing w:after="0" w:line="240" w:lineRule="auto"/>
              <w:jc w:val="right"/>
            </w:pPr>
            <w:r>
              <w:rPr>
                <w:rFonts w:ascii="Times New Roman" w:eastAsia="Times New Roman" w:hAnsi="Times New Roman"/>
                <w:sz w:val="20"/>
                <w:szCs w:val="20"/>
              </w:rPr>
              <w:t>91</w:t>
            </w:r>
          </w:p>
        </w:tc>
        <w:tc>
          <w:tcPr>
            <w:tcW w:w="1122" w:type="dxa"/>
            <w:tcBorders>
              <w:top w:val="nil"/>
              <w:left w:val="nil"/>
              <w:bottom w:val="nil"/>
              <w:right w:val="nil"/>
            </w:tcBorders>
            <w:tcMar>
              <w:top w:w="70" w:type="dxa"/>
              <w:left w:w="70" w:type="dxa"/>
              <w:bottom w:w="70" w:type="dxa"/>
              <w:right w:w="70" w:type="dxa"/>
            </w:tcMar>
          </w:tcPr>
          <w:p ns2:paraId="645A0D53" ns2:textId="77777777" w:rsidR="00961C7F" w:rsidRDefault="008A042F">
            <w:pPr>
              <w:spacing w:after="0" w:line="240" w:lineRule="auto"/>
              <w:jc w:val="right"/>
            </w:pPr>
            <w:r>
              <w:rPr>
                <w:rFonts w:ascii="Times New Roman" w:eastAsia="Times New Roman" w:hAnsi="Times New Roman"/>
                <w:sz w:val="20"/>
                <w:szCs w:val="20"/>
              </w:rPr>
              <w:t>24</w:t>
            </w:r>
          </w:p>
        </w:tc>
        <w:tc>
          <w:tcPr>
            <w:tcW w:w="4129" w:type="dxa"/>
            <w:tcBorders>
              <w:top w:val="nil"/>
              <w:left w:val="nil"/>
              <w:bottom w:val="nil"/>
              <w:right w:val="nil"/>
            </w:tcBorders>
            <w:tcMar>
              <w:top w:w="70" w:type="dxa"/>
              <w:left w:w="70" w:type="dxa"/>
              <w:bottom w:w="70" w:type="dxa"/>
              <w:right w:w="70" w:type="dxa"/>
            </w:tcMar>
          </w:tcPr>
          <w:p ns2:paraId="6DBE2083" ns2:textId="77777777" w:rsidR="00961C7F" w:rsidRDefault="008A042F">
            <w:pPr>
              <w:spacing w:after="0" w:line="240" w:lineRule="auto"/>
            </w:pPr>
            <w:r>
              <w:rPr>
                <w:rFonts w:ascii="Times New Roman" w:eastAsia="Times New Roman" w:hAnsi="Times New Roman"/>
                <w:sz w:val="20"/>
                <w:szCs w:val="20"/>
              </w:rPr>
              <w:t>Core channel for legal labor entry and work authorization</w:t>
            </w:r>
          </w:p>
        </w:tc>
      </w:tr>
      <w:tr w:rsidR="00961C7F" ns2:paraId="29B56FE8"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321B653A" ns2:textId="77777777" w:rsidR="00961C7F" w:rsidRDefault="008A042F">
            <w:pPr>
              <w:spacing w:after="0" w:line="240" w:lineRule="auto"/>
            </w:pPr>
            <w:r>
              <w:rPr>
                <w:rFonts w:ascii="Times New Roman" w:eastAsia="Times New Roman" w:hAnsi="Times New Roman"/>
                <w:sz w:val="20"/>
                <w:szCs w:val="20"/>
              </w:rPr>
              <w:t>Employer liabilities</w:t>
            </w:r>
          </w:p>
        </w:tc>
        <w:tc>
          <w:tcPr>
            <w:tcW w:w="1099" w:type="dxa"/>
            <w:tcBorders>
              <w:top w:val="nil"/>
              <w:left w:val="nil"/>
              <w:bottom w:val="nil"/>
              <w:right w:val="nil"/>
            </w:tcBorders>
            <w:tcMar>
              <w:top w:w="70" w:type="dxa"/>
              <w:left w:w="70" w:type="dxa"/>
              <w:bottom w:w="70" w:type="dxa"/>
              <w:right w:w="70" w:type="dxa"/>
            </w:tcMar>
          </w:tcPr>
          <w:p ns2:paraId="60072A73" ns2:textId="77777777" w:rsidR="00961C7F" w:rsidRDefault="008A042F">
            <w:pPr>
              <w:spacing w:after="0" w:line="240" w:lineRule="auto"/>
              <w:jc w:val="right"/>
            </w:pPr>
            <w:r>
              <w:rPr>
                <w:rFonts w:ascii="Times New Roman" w:eastAsia="Times New Roman" w:hAnsi="Times New Roman"/>
                <w:sz w:val="20"/>
                <w:szCs w:val="20"/>
              </w:rPr>
              <w:t>19</w:t>
            </w:r>
          </w:p>
        </w:tc>
        <w:tc>
          <w:tcPr>
            <w:tcW w:w="1122" w:type="dxa"/>
            <w:tcBorders>
              <w:top w:val="nil"/>
              <w:left w:val="nil"/>
              <w:bottom w:val="nil"/>
              <w:right w:val="nil"/>
            </w:tcBorders>
            <w:tcMar>
              <w:top w:w="70" w:type="dxa"/>
              <w:left w:w="70" w:type="dxa"/>
              <w:bottom w:w="70" w:type="dxa"/>
              <w:right w:w="70" w:type="dxa"/>
            </w:tcMar>
          </w:tcPr>
          <w:p ns2:paraId="0DF46974" ns2:textId="77777777" w:rsidR="00961C7F" w:rsidRDefault="008A042F">
            <w:pPr>
              <w:spacing w:after="0" w:line="240" w:lineRule="auto"/>
              <w:jc w:val="right"/>
            </w:pPr>
            <w:r>
              <w:rPr>
                <w:rFonts w:ascii="Times New Roman" w:eastAsia="Times New Roman" w:hAnsi="Times New Roman"/>
                <w:sz w:val="20"/>
                <w:szCs w:val="20"/>
              </w:rPr>
              <w:t>17</w:t>
            </w:r>
          </w:p>
        </w:tc>
        <w:tc>
          <w:tcPr>
            <w:tcW w:w="4129" w:type="dxa"/>
            <w:tcBorders>
              <w:top w:val="nil"/>
              <w:left w:val="nil"/>
              <w:bottom w:val="nil"/>
              <w:right w:val="nil"/>
            </w:tcBorders>
            <w:tcMar>
              <w:top w:w="70" w:type="dxa"/>
              <w:left w:w="70" w:type="dxa"/>
              <w:bottom w:w="70" w:type="dxa"/>
              <w:right w:w="70" w:type="dxa"/>
            </w:tcMar>
          </w:tcPr>
          <w:p ns2:paraId="747E3B4A" ns2:textId="77777777" w:rsidR="00961C7F" w:rsidRDefault="008A042F">
            <w:pPr>
              <w:spacing w:after="0" w:line="240" w:lineRule="auto"/>
            </w:pPr>
            <w:r>
              <w:rPr>
                <w:rFonts w:ascii="Times New Roman" w:eastAsia="Times New Roman" w:hAnsi="Times New Roman"/>
                <w:sz w:val="20"/>
                <w:szCs w:val="20"/>
              </w:rPr>
              <w:t>Employer duties, sanctions, or sponsorship obligations</w:t>
            </w:r>
          </w:p>
        </w:tc>
      </w:tr>
      <w:tr w:rsidR="00961C7F" ns2:paraId="5238BA6F"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3092F205" ns2:textId="77777777" w:rsidR="00961C7F" w:rsidRDefault="008A042F">
            <w:pPr>
              <w:spacing w:after="0" w:line="240" w:lineRule="auto"/>
            </w:pPr>
            <w:r>
              <w:rPr>
                <w:rFonts w:ascii="Times New Roman" w:eastAsia="Times New Roman" w:hAnsi="Times New Roman"/>
                <w:sz w:val="20"/>
                <w:szCs w:val="20"/>
              </w:rPr>
              <w:t>Quota/target</w:t>
            </w:r>
          </w:p>
        </w:tc>
        <w:tc>
          <w:tcPr>
            <w:tcW w:w="1099" w:type="dxa"/>
            <w:tcBorders>
              <w:top w:val="nil"/>
              <w:left w:val="nil"/>
              <w:bottom w:val="nil"/>
              <w:right w:val="nil"/>
            </w:tcBorders>
            <w:tcMar>
              <w:top w:w="70" w:type="dxa"/>
              <w:left w:w="70" w:type="dxa"/>
              <w:bottom w:w="70" w:type="dxa"/>
              <w:right w:w="70" w:type="dxa"/>
            </w:tcMar>
          </w:tcPr>
          <w:p ns2:paraId="105B8263" ns2:textId="77777777" w:rsidR="00961C7F" w:rsidRDefault="008A042F">
            <w:pPr>
              <w:spacing w:after="0" w:line="240" w:lineRule="auto"/>
              <w:jc w:val="right"/>
            </w:pPr>
            <w:r>
              <w:rPr>
                <w:rFonts w:ascii="Times New Roman" w:eastAsia="Times New Roman" w:hAnsi="Times New Roman"/>
                <w:sz w:val="20"/>
                <w:szCs w:val="20"/>
              </w:rPr>
              <w:t>24</w:t>
            </w:r>
          </w:p>
        </w:tc>
        <w:tc>
          <w:tcPr>
            <w:tcW w:w="1122" w:type="dxa"/>
            <w:tcBorders>
              <w:top w:val="nil"/>
              <w:left w:val="nil"/>
              <w:bottom w:val="nil"/>
              <w:right w:val="nil"/>
            </w:tcBorders>
            <w:tcMar>
              <w:top w:w="70" w:type="dxa"/>
              <w:left w:w="70" w:type="dxa"/>
              <w:bottom w:w="70" w:type="dxa"/>
              <w:right w:w="70" w:type="dxa"/>
            </w:tcMar>
          </w:tcPr>
          <w:p ns2:paraId="21A5B7E7" ns2:textId="77777777" w:rsidR="00961C7F" w:rsidRDefault="008A042F">
            <w:pPr>
              <w:spacing w:after="0" w:line="240" w:lineRule="auto"/>
              <w:jc w:val="right"/>
            </w:pPr>
            <w:r>
              <w:rPr>
                <w:rFonts w:ascii="Times New Roman" w:eastAsia="Times New Roman" w:hAnsi="Times New Roman"/>
                <w:sz w:val="20"/>
                <w:szCs w:val="20"/>
              </w:rPr>
              <w:t>11</w:t>
            </w:r>
          </w:p>
        </w:tc>
        <w:tc>
          <w:tcPr>
            <w:tcW w:w="4129" w:type="dxa"/>
            <w:tcBorders>
              <w:top w:val="nil"/>
              <w:left w:val="nil"/>
              <w:bottom w:val="nil"/>
              <w:right w:val="nil"/>
            </w:tcBorders>
            <w:tcMar>
              <w:top w:w="70" w:type="dxa"/>
              <w:left w:w="70" w:type="dxa"/>
              <w:bottom w:w="70" w:type="dxa"/>
              <w:right w:w="70" w:type="dxa"/>
            </w:tcMar>
          </w:tcPr>
          <w:p ns2:paraId="6D8CEBA3" ns2:textId="77777777" w:rsidR="00961C7F" w:rsidRDefault="008A042F">
            <w:pPr>
              <w:spacing w:after="0" w:line="240" w:lineRule="auto"/>
            </w:pPr>
            <w:r>
              <w:rPr>
                <w:rFonts w:ascii="Times New Roman" w:eastAsia="Times New Roman" w:hAnsi="Times New Roman"/>
                <w:sz w:val="20"/>
                <w:szCs w:val="20"/>
              </w:rPr>
              <w:t>Numerical caps, targets, or quota rules</w:t>
            </w:r>
          </w:p>
        </w:tc>
      </w:tr>
      <w:tr w:rsidR="00961C7F" ns2:paraId="748BE5E2"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655515A7" ns2:textId="77777777" w:rsidR="00961C7F" w:rsidRDefault="008A042F">
            <w:pPr>
              <w:spacing w:after="0" w:line="240" w:lineRule="auto"/>
            </w:pPr>
            <w:r>
              <w:rPr>
                <w:rFonts w:ascii="Times New Roman" w:eastAsia="Times New Roman" w:hAnsi="Times New Roman"/>
                <w:sz w:val="20"/>
                <w:szCs w:val="20"/>
              </w:rPr>
              <w:t>Other sanctions</w:t>
            </w:r>
          </w:p>
        </w:tc>
        <w:tc>
          <w:tcPr>
            <w:tcW w:w="1099" w:type="dxa"/>
            <w:tcBorders>
              <w:top w:val="nil"/>
              <w:left w:val="nil"/>
              <w:bottom w:val="nil"/>
              <w:right w:val="nil"/>
            </w:tcBorders>
            <w:tcMar>
              <w:top w:w="70" w:type="dxa"/>
              <w:left w:w="70" w:type="dxa"/>
              <w:bottom w:w="70" w:type="dxa"/>
              <w:right w:w="70" w:type="dxa"/>
            </w:tcMar>
          </w:tcPr>
          <w:p ns2:paraId="0C2CA600" ns2:textId="77777777" w:rsidR="00961C7F" w:rsidRDefault="008A042F">
            <w:pPr>
              <w:spacing w:after="0" w:line="240" w:lineRule="auto"/>
              <w:jc w:val="right"/>
            </w:pPr>
            <w:r>
              <w:rPr>
                <w:rFonts w:ascii="Times New Roman" w:eastAsia="Times New Roman" w:hAnsi="Times New Roman"/>
                <w:sz w:val="20"/>
                <w:szCs w:val="20"/>
              </w:rPr>
              <w:t>4</w:t>
            </w:r>
          </w:p>
        </w:tc>
        <w:tc>
          <w:tcPr>
            <w:tcW w:w="1122" w:type="dxa"/>
            <w:tcBorders>
              <w:top w:val="nil"/>
              <w:left w:val="nil"/>
              <w:bottom w:val="nil"/>
              <w:right w:val="nil"/>
            </w:tcBorders>
            <w:tcMar>
              <w:top w:w="70" w:type="dxa"/>
              <w:left w:w="70" w:type="dxa"/>
              <w:bottom w:w="70" w:type="dxa"/>
              <w:right w:w="70" w:type="dxa"/>
            </w:tcMar>
          </w:tcPr>
          <w:p ns2:paraId="27E90AEB" ns2:textId="77777777" w:rsidR="00961C7F" w:rsidRDefault="008A042F">
            <w:pPr>
              <w:spacing w:after="0" w:line="240" w:lineRule="auto"/>
              <w:jc w:val="right"/>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ns2:paraId="3254A6B3" ns2:textId="77777777" w:rsidR="00961C7F" w:rsidRDefault="008A042F">
            <w:pPr>
              <w:spacing w:after="0" w:line="240" w:lineRule="auto"/>
            </w:pPr>
            <w:r>
              <w:rPr>
                <w:rFonts w:ascii="Times New Roman" w:eastAsia="Times New Roman" w:hAnsi="Times New Roman"/>
                <w:sz w:val="20"/>
                <w:szCs w:val="20"/>
              </w:rPr>
              <w:t>Penalties linked to non-compliance</w:t>
            </w:r>
          </w:p>
        </w:tc>
      </w:tr>
      <w:tr w:rsidR="00961C7F" ns2:paraId="40390EBA"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35FF0C88" ns2:textId="77777777" w:rsidR="00961C7F" w:rsidRDefault="008A042F">
            <w:pPr>
              <w:spacing w:after="0" w:line="240" w:lineRule="auto"/>
            </w:pPr>
            <w:r>
              <w:rPr>
                <w:rFonts w:ascii="Times New Roman" w:eastAsia="Times New Roman" w:hAnsi="Times New Roman"/>
                <w:sz w:val="20"/>
                <w:szCs w:val="20"/>
              </w:rPr>
              <w:lastRenderedPageBreak/>
              <w:t>Access to social and socio-economic rights</w:t>
            </w:r>
          </w:p>
        </w:tc>
        <w:tc>
          <w:tcPr>
            <w:tcW w:w="1099" w:type="dxa"/>
            <w:tcBorders>
              <w:top w:val="nil"/>
              <w:left w:val="nil"/>
              <w:bottom w:val="nil"/>
              <w:right w:val="nil"/>
            </w:tcBorders>
            <w:tcMar>
              <w:top w:w="70" w:type="dxa"/>
              <w:left w:w="70" w:type="dxa"/>
              <w:bottom w:w="70" w:type="dxa"/>
              <w:right w:w="70" w:type="dxa"/>
            </w:tcMar>
          </w:tcPr>
          <w:p ns2:paraId="149099CC" ns2:textId="77777777" w:rsidR="00961C7F" w:rsidRDefault="008A042F">
            <w:pPr>
              <w:spacing w:after="0" w:line="240" w:lineRule="auto"/>
              <w:jc w:val="right"/>
            </w:pPr>
            <w:r>
              <w:rPr>
                <w:rFonts w:ascii="Times New Roman" w:eastAsia="Times New Roman" w:hAnsi="Times New Roman"/>
                <w:sz w:val="20"/>
                <w:szCs w:val="20"/>
              </w:rPr>
              <w:t>10</w:t>
            </w:r>
          </w:p>
        </w:tc>
        <w:tc>
          <w:tcPr>
            <w:tcW w:w="1122" w:type="dxa"/>
            <w:tcBorders>
              <w:top w:val="nil"/>
              <w:left w:val="nil"/>
              <w:bottom w:val="nil"/>
              <w:right w:val="nil"/>
            </w:tcBorders>
            <w:tcMar>
              <w:top w:w="70" w:type="dxa"/>
              <w:left w:w="70" w:type="dxa"/>
              <w:bottom w:w="70" w:type="dxa"/>
              <w:right w:w="70" w:type="dxa"/>
            </w:tcMar>
          </w:tcPr>
          <w:p ns2:paraId="0A68D92A" ns2:textId="77777777" w:rsidR="00961C7F" w:rsidRDefault="008A042F">
            <w:pPr>
              <w:spacing w:after="0" w:line="240" w:lineRule="auto"/>
              <w:jc w:val="right"/>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ns2:paraId="735FE09E" ns2:textId="77777777" w:rsidR="00961C7F" w:rsidRDefault="008A042F">
            <w:pPr>
              <w:spacing w:after="0" w:line="240" w:lineRule="auto"/>
            </w:pPr>
            <w:r>
              <w:rPr>
                <w:rFonts w:ascii="Times New Roman" w:eastAsia="Times New Roman" w:hAnsi="Times New Roman"/>
                <w:sz w:val="20"/>
                <w:szCs w:val="20"/>
              </w:rPr>
              <w:t>Rights attached to legal stay or work</w:t>
            </w:r>
          </w:p>
        </w:tc>
      </w:tr>
      <w:tr w:rsidR="00961C7F" ns2:paraId="4ED7700B"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67F6BCAD" ns2:textId="77777777" w:rsidR="00961C7F" w:rsidRDefault="008A042F">
            <w:pPr>
              <w:spacing w:after="0" w:line="240" w:lineRule="auto"/>
            </w:pPr>
            <w:r>
              <w:rPr>
                <w:rFonts w:ascii="Times New Roman" w:eastAsia="Times New Roman" w:hAnsi="Times New Roman"/>
                <w:sz w:val="20"/>
                <w:szCs w:val="20"/>
              </w:rPr>
              <w:t>Entry visa/stay permit (including source label ‘Entry visa and stay’)</w:t>
            </w:r>
          </w:p>
        </w:tc>
        <w:tc>
          <w:tcPr>
            <w:tcW w:w="1099" w:type="dxa"/>
            <w:tcBorders>
              <w:top w:val="nil"/>
              <w:left w:val="nil"/>
              <w:bottom w:val="nil"/>
              <w:right w:val="nil"/>
            </w:tcBorders>
            <w:tcMar>
              <w:top w:w="70" w:type="dxa"/>
              <w:left w:w="70" w:type="dxa"/>
              <w:bottom w:w="70" w:type="dxa"/>
              <w:right w:w="70" w:type="dxa"/>
            </w:tcMar>
          </w:tcPr>
          <w:p ns2:paraId="7FB12125" ns2:textId="77777777" w:rsidR="00961C7F" w:rsidRDefault="008A042F">
            <w:pPr>
              <w:spacing w:after="0" w:line="240" w:lineRule="auto"/>
              <w:jc w:val="right"/>
            </w:pPr>
            <w:r>
              <w:rPr>
                <w:rFonts w:ascii="Times New Roman" w:eastAsia="Times New Roman" w:hAnsi="Times New Roman"/>
                <w:sz w:val="20"/>
                <w:szCs w:val="20"/>
              </w:rPr>
              <w:t>20</w:t>
            </w:r>
          </w:p>
        </w:tc>
        <w:tc>
          <w:tcPr>
            <w:tcW w:w="1122" w:type="dxa"/>
            <w:tcBorders>
              <w:top w:val="nil"/>
              <w:left w:val="nil"/>
              <w:bottom w:val="nil"/>
              <w:right w:val="nil"/>
            </w:tcBorders>
            <w:tcMar>
              <w:top w:w="70" w:type="dxa"/>
              <w:left w:w="70" w:type="dxa"/>
              <w:bottom w:w="70" w:type="dxa"/>
              <w:right w:w="70" w:type="dxa"/>
            </w:tcMar>
          </w:tcPr>
          <w:p ns2:paraId="495182A6" ns2:textId="77777777" w:rsidR="00961C7F" w:rsidRDefault="008A042F">
            <w:pPr>
              <w:spacing w:after="0" w:line="240" w:lineRule="auto"/>
              <w:jc w:val="right"/>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ns2:paraId="570DFE08" ns2:textId="77777777" w:rsidR="00961C7F" w:rsidRDefault="008A042F">
            <w:pPr>
              <w:spacing w:after="0" w:line="240" w:lineRule="auto"/>
            </w:pPr>
            <w:r>
              <w:rPr>
                <w:rFonts w:ascii="Times New Roman" w:eastAsia="Times New Roman" w:hAnsi="Times New Roman"/>
                <w:sz w:val="20"/>
                <w:szCs w:val="20"/>
              </w:rPr>
              <w:t>Residence, entry, or stay-permit conditions; includes one near-duplicate source tool label</w:t>
            </w:r>
          </w:p>
        </w:tc>
      </w:tr>
      <w:tr w:rsidR="00961C7F" ns2:paraId="4C7A043F"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39F2287E" ns2:textId="77777777" w:rsidR="00961C7F" w:rsidRDefault="008A042F">
            <w:pPr>
              <w:spacing w:after="0" w:line="240" w:lineRule="auto"/>
            </w:pPr>
            <w:r>
              <w:rPr>
                <w:rFonts w:ascii="Times New Roman" w:eastAsia="Times New Roman" w:hAnsi="Times New Roman"/>
                <w:sz w:val="20"/>
                <w:szCs w:val="20"/>
              </w:rPr>
              <w:t>Institutional capacities</w:t>
            </w:r>
          </w:p>
        </w:tc>
        <w:tc>
          <w:tcPr>
            <w:tcW w:w="1099" w:type="dxa"/>
            <w:tcBorders>
              <w:top w:val="nil"/>
              <w:left w:val="nil"/>
              <w:bottom w:val="nil"/>
              <w:right w:val="nil"/>
            </w:tcBorders>
            <w:tcMar>
              <w:top w:w="70" w:type="dxa"/>
              <w:left w:w="70" w:type="dxa"/>
              <w:bottom w:w="70" w:type="dxa"/>
              <w:right w:w="70" w:type="dxa"/>
            </w:tcMar>
          </w:tcPr>
          <w:p ns2:paraId="1A084317" ns2:textId="77777777" w:rsidR="00961C7F" w:rsidRDefault="008A042F">
            <w:pPr>
              <w:spacing w:after="0" w:line="240" w:lineRule="auto"/>
              <w:jc w:val="right"/>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ns2:paraId="4A02909D" ns2:textId="77777777" w:rsidR="00961C7F" w:rsidRDefault="008A042F">
            <w:pPr>
              <w:spacing w:after="0" w:line="240" w:lineRule="auto"/>
              <w:jc w:val="right"/>
            </w:pPr>
            <w:r>
              <w:rPr>
                <w:rFonts w:ascii="Times New Roman" w:eastAsia="Times New Roman" w:hAnsi="Times New Roman"/>
                <w:sz w:val="20"/>
                <w:szCs w:val="20"/>
              </w:rPr>
              <w:t>2</w:t>
            </w:r>
          </w:p>
        </w:tc>
        <w:tc>
          <w:tcPr>
            <w:tcW w:w="4129" w:type="dxa"/>
            <w:tcBorders>
              <w:top w:val="nil"/>
              <w:left w:val="nil"/>
              <w:bottom w:val="nil"/>
              <w:right w:val="nil"/>
            </w:tcBorders>
            <w:tcMar>
              <w:top w:w="70" w:type="dxa"/>
              <w:left w:w="70" w:type="dxa"/>
              <w:bottom w:w="70" w:type="dxa"/>
              <w:right w:w="70" w:type="dxa"/>
            </w:tcMar>
          </w:tcPr>
          <w:p ns2:paraId="5F72A6E8" ns2:textId="77777777" w:rsidR="00961C7F" w:rsidRDefault="008A042F">
            <w:pPr>
              <w:spacing w:after="0" w:line="240" w:lineRule="auto"/>
            </w:pPr>
            <w:r>
              <w:rPr>
                <w:rFonts w:ascii="Times New Roman" w:eastAsia="Times New Roman" w:hAnsi="Times New Roman"/>
                <w:sz w:val="20"/>
                <w:szCs w:val="20"/>
              </w:rPr>
              <w:t>Administrative implementation capacity</w:t>
            </w:r>
          </w:p>
        </w:tc>
      </w:tr>
      <w:tr w:rsidR="00961C7F" ns2:paraId="226841A8"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0001C94B" ns2:textId="77777777" w:rsidR="00961C7F" w:rsidRDefault="008A042F">
            <w:pPr>
              <w:spacing w:after="0" w:line="240" w:lineRule="auto"/>
            </w:pPr>
            <w:r>
              <w:rPr>
                <w:rFonts w:ascii="Times New Roman" w:eastAsia="Times New Roman" w:hAnsi="Times New Roman"/>
                <w:sz w:val="20"/>
                <w:szCs w:val="20"/>
              </w:rPr>
              <w:t>Points-based system</w:t>
            </w:r>
          </w:p>
        </w:tc>
        <w:tc>
          <w:tcPr>
            <w:tcW w:w="1099" w:type="dxa"/>
            <w:tcBorders>
              <w:top w:val="nil"/>
              <w:left w:val="nil"/>
              <w:bottom w:val="nil"/>
              <w:right w:val="nil"/>
            </w:tcBorders>
            <w:tcMar>
              <w:top w:w="70" w:type="dxa"/>
              <w:left w:w="70" w:type="dxa"/>
              <w:bottom w:w="70" w:type="dxa"/>
              <w:right w:w="70" w:type="dxa"/>
            </w:tcMar>
          </w:tcPr>
          <w:p ns2:paraId="5F940501" ns2:textId="77777777" w:rsidR="00961C7F" w:rsidRDefault="008A042F">
            <w:pPr>
              <w:spacing w:after="0" w:line="240" w:lineRule="auto"/>
              <w:jc w:val="right"/>
            </w:pPr>
            <w:r>
              <w:rPr>
                <w:rFonts w:ascii="Times New Roman" w:eastAsia="Times New Roman" w:hAnsi="Times New Roman"/>
                <w:sz w:val="20"/>
                <w:szCs w:val="20"/>
              </w:rPr>
              <w:t>1</w:t>
            </w:r>
          </w:p>
        </w:tc>
        <w:tc>
          <w:tcPr>
            <w:tcW w:w="1122" w:type="dxa"/>
            <w:tcBorders>
              <w:top w:val="nil"/>
              <w:left w:val="nil"/>
              <w:bottom w:val="nil"/>
              <w:right w:val="nil"/>
            </w:tcBorders>
            <w:tcMar>
              <w:top w:w="70" w:type="dxa"/>
              <w:left w:w="70" w:type="dxa"/>
              <w:bottom w:w="70" w:type="dxa"/>
              <w:right w:w="70" w:type="dxa"/>
            </w:tcMar>
          </w:tcPr>
          <w:p ns2:paraId="4C90F17F" ns2:textId="77777777" w:rsidR="00961C7F" w:rsidRDefault="008A042F">
            <w:pPr>
              <w:spacing w:after="0" w:line="240" w:lineRule="auto"/>
              <w:jc w:val="right"/>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ns2:paraId="6F8D7FAF" ns2:textId="77777777" w:rsidR="00961C7F" w:rsidRDefault="008A042F">
            <w:pPr>
              <w:spacing w:after="0" w:line="240" w:lineRule="auto"/>
            </w:pPr>
            <w:r>
              <w:rPr>
                <w:rFonts w:ascii="Times New Roman" w:eastAsia="Times New Roman" w:hAnsi="Times New Roman"/>
                <w:sz w:val="20"/>
                <w:szCs w:val="20"/>
              </w:rPr>
              <w:t>Selection rules based on points or criteria</w:t>
            </w:r>
          </w:p>
        </w:tc>
      </w:tr>
      <w:tr w:rsidR="00961C7F" ns2:paraId="1864387A"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14AB7EDC" ns2:textId="77777777" w:rsidR="00961C7F" w:rsidRDefault="008A042F">
            <w:pPr>
              <w:spacing w:after="0" w:line="240" w:lineRule="auto"/>
            </w:pPr>
            <w:r>
              <w:rPr>
                <w:rFonts w:ascii="Times New Roman" w:eastAsia="Times New Roman" w:hAnsi="Times New Roman"/>
                <w:sz w:val="20"/>
                <w:szCs w:val="20"/>
              </w:rPr>
              <w:t>Access to justice and political rights</w:t>
            </w:r>
          </w:p>
        </w:tc>
        <w:tc>
          <w:tcPr>
            <w:tcW w:w="1099" w:type="dxa"/>
            <w:tcBorders>
              <w:top w:val="nil"/>
              <w:left w:val="nil"/>
              <w:bottom w:val="nil"/>
              <w:right w:val="nil"/>
            </w:tcBorders>
            <w:tcMar>
              <w:top w:w="70" w:type="dxa"/>
              <w:left w:w="70" w:type="dxa"/>
              <w:bottom w:w="70" w:type="dxa"/>
              <w:right w:w="70" w:type="dxa"/>
            </w:tcMar>
          </w:tcPr>
          <w:p ns2:paraId="122E7393" ns2:textId="77777777" w:rsidR="00961C7F" w:rsidRDefault="008A042F">
            <w:pPr>
              <w:spacing w:after="0" w:line="240" w:lineRule="auto"/>
              <w:jc w:val="right"/>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ns2:paraId="1B1483FB" ns2: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ns2:paraId="7D17E2C9" ns2:textId="77777777" w:rsidR="00961C7F" w:rsidRDefault="008A042F">
            <w:pPr>
              <w:spacing w:after="0" w:line="240" w:lineRule="auto"/>
            </w:pPr>
            <w:r>
              <w:rPr>
                <w:rFonts w:ascii="Times New Roman" w:eastAsia="Times New Roman" w:hAnsi="Times New Roman"/>
                <w:sz w:val="20"/>
                <w:szCs w:val="20"/>
              </w:rPr>
              <w:t>Rights and legal-access reforms associated with legal residence or work</w:t>
            </w:r>
          </w:p>
        </w:tc>
      </w:tr>
      <w:tr w:rsidR="00961C7F" ns2:paraId="1C8DE4F4" ns2: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ns2:paraId="57D752BF" ns2:textId="77777777" w:rsidR="00961C7F" w:rsidRDefault="008A042F">
            <w:pPr>
              <w:spacing w:after="0" w:line="240" w:lineRule="auto"/>
            </w:pPr>
            <w:r>
              <w:rPr>
                <w:rFonts w:ascii="Times New Roman" w:eastAsia="Times New Roman" w:hAnsi="Times New Roman"/>
                <w:sz w:val="20"/>
                <w:szCs w:val="20"/>
              </w:rPr>
              <w:t>Action Plan, Strategy, Report</w:t>
            </w:r>
          </w:p>
        </w:tc>
        <w:tc>
          <w:tcPr>
            <w:tcW w:w="1099" w:type="dxa"/>
            <w:tcBorders>
              <w:top w:val="nil"/>
              <w:left w:val="nil"/>
              <w:bottom w:val="nil"/>
              <w:right w:val="nil"/>
            </w:tcBorders>
            <w:tcMar>
              <w:top w:w="70" w:type="dxa"/>
              <w:left w:w="70" w:type="dxa"/>
              <w:bottom w:w="70" w:type="dxa"/>
              <w:right w:w="70" w:type="dxa"/>
            </w:tcMar>
          </w:tcPr>
          <w:p ns2:paraId="7A8E4C97" ns2:textId="77777777" w:rsidR="00961C7F" w:rsidRDefault="008A042F">
            <w:pPr>
              <w:spacing w:after="0" w:line="240" w:lineRule="auto"/>
              <w:jc w:val="right"/>
            </w:pPr>
            <w:r>
              <w:rPr>
                <w:rFonts w:ascii="Times New Roman" w:eastAsia="Times New Roman" w:hAnsi="Times New Roman"/>
                <w:sz w:val="20"/>
                <w:szCs w:val="20"/>
              </w:rPr>
              <w:t>2</w:t>
            </w:r>
          </w:p>
        </w:tc>
        <w:tc>
          <w:tcPr>
            <w:tcW w:w="1122" w:type="dxa"/>
            <w:tcBorders>
              <w:top w:val="nil"/>
              <w:left w:val="nil"/>
              <w:bottom w:val="nil"/>
              <w:right w:val="nil"/>
            </w:tcBorders>
            <w:tcMar>
              <w:top w:w="70" w:type="dxa"/>
              <w:left w:w="70" w:type="dxa"/>
              <w:bottom w:w="70" w:type="dxa"/>
              <w:right w:w="70" w:type="dxa"/>
            </w:tcMar>
          </w:tcPr>
          <w:p ns2:paraId="401D2994" ns2: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ns2:paraId="39D0DBD2" ns2:textId="77777777" w:rsidR="00961C7F" w:rsidRDefault="008A042F">
            <w:pPr>
              <w:spacing w:after="0" w:line="240" w:lineRule="auto"/>
            </w:pPr>
            <w:r>
              <w:rPr>
                <w:rFonts w:ascii="Times New Roman" w:eastAsia="Times New Roman" w:hAnsi="Times New Roman"/>
                <w:sz w:val="20"/>
                <w:szCs w:val="20"/>
              </w:rPr>
              <w:t>Strategy or administrative framework; included in all-tools measure, excluded from core subset</w:t>
            </w:r>
          </w:p>
        </w:tc>
      </w:tr>
      <w:tr w:rsidR="00961C7F" ns2:paraId="4FD6F0C9" ns2:textId="77777777" w:rsidTr="001F1C47">
        <w:trPr>
          <w:cantSplit/>
          <w:jc w:val="center"/>
        </w:trPr>
        <w:tc>
          <w:tcPr>
            <w:tcW w:w="2676" w:type="dxa"/>
            <w:tcBorders>
              <w:top w:val="nil"/>
              <w:left w:val="nil"/>
              <w:bottom w:val="single" w:sz="12" w:space="0" w:color="000000"/>
              <w:right w:val="nil"/>
            </w:tcBorders>
            <w:tcMar>
              <w:top w:w="70" w:type="dxa"/>
              <w:left w:w="70" w:type="dxa"/>
              <w:bottom w:w="70" w:type="dxa"/>
              <w:right w:w="70" w:type="dxa"/>
            </w:tcMar>
          </w:tcPr>
          <w:p ns2:paraId="0A951A11" ns2:textId="77777777" w:rsidR="00961C7F" w:rsidRDefault="008A042F">
            <w:pPr>
              <w:spacing w:after="0" w:line="240" w:lineRule="auto"/>
            </w:pPr>
            <w:r>
              <w:rPr>
                <w:rFonts w:ascii="Times New Roman" w:eastAsia="Times New Roman" w:hAnsi="Times New Roman"/>
                <w:sz w:val="20"/>
                <w:szCs w:val="20"/>
              </w:rPr>
              <w:t>Language, housing and cultural integration programmes</w:t>
            </w:r>
          </w:p>
        </w:tc>
        <w:tc>
          <w:tcPr>
            <w:tcW w:w="1099" w:type="dxa"/>
            <w:tcBorders>
              <w:top w:val="nil"/>
              <w:left w:val="nil"/>
              <w:bottom w:val="single" w:sz="12" w:space="0" w:color="000000"/>
              <w:right w:val="nil"/>
            </w:tcBorders>
            <w:tcMar>
              <w:top w:w="70" w:type="dxa"/>
              <w:left w:w="70" w:type="dxa"/>
              <w:bottom w:w="70" w:type="dxa"/>
              <w:right w:w="70" w:type="dxa"/>
            </w:tcMar>
          </w:tcPr>
          <w:p ns2:paraId="1515C536" ns2:textId="77777777" w:rsidR="00961C7F" w:rsidRDefault="008A042F">
            <w:pPr>
              <w:spacing w:after="0" w:line="240" w:lineRule="auto"/>
              <w:jc w:val="right"/>
            </w:pPr>
            <w:r>
              <w:rPr>
                <w:rFonts w:ascii="Times New Roman" w:eastAsia="Times New Roman" w:hAnsi="Times New Roman"/>
                <w:sz w:val="20"/>
                <w:szCs w:val="20"/>
              </w:rPr>
              <w:t>1</w:t>
            </w:r>
          </w:p>
        </w:tc>
        <w:tc>
          <w:tcPr>
            <w:tcW w:w="1122" w:type="dxa"/>
            <w:tcBorders>
              <w:top w:val="nil"/>
              <w:left w:val="nil"/>
              <w:bottom w:val="single" w:sz="12" w:space="0" w:color="000000"/>
              <w:right w:val="nil"/>
            </w:tcBorders>
            <w:tcMar>
              <w:top w:w="70" w:type="dxa"/>
              <w:left w:w="70" w:type="dxa"/>
              <w:bottom w:w="70" w:type="dxa"/>
              <w:right w:w="70" w:type="dxa"/>
            </w:tcMar>
          </w:tcPr>
          <w:p ns2:paraId="7F3B6395" ns2: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single" w:sz="12" w:space="0" w:color="000000"/>
              <w:right w:val="nil"/>
            </w:tcBorders>
            <w:tcMar>
              <w:top w:w="70" w:type="dxa"/>
              <w:left w:w="70" w:type="dxa"/>
              <w:bottom w:w="70" w:type="dxa"/>
              <w:right w:w="70" w:type="dxa"/>
            </w:tcMar>
          </w:tcPr>
          <w:p ns2:paraId="24684976" ns2:textId="77777777" w:rsidR="00961C7F" w:rsidRDefault="008A042F">
            <w:pPr>
              <w:spacing w:after="0" w:line="240" w:lineRule="auto"/>
            </w:pPr>
            <w:r>
              <w:rPr>
                <w:rFonts w:ascii="Times New Roman" w:eastAsia="Times New Roman" w:hAnsi="Times New Roman"/>
                <w:sz w:val="20"/>
                <w:szCs w:val="20"/>
              </w:rPr>
              <w:t>Integration-related condition; included in all-tools measure, excluded from core subset</w:t>
            </w:r>
          </w:p>
        </w:tc>
      </w:tr>
    </w:tbl>
    <w:p ns2:paraId="03E01C59" ns2:textId="77777777" w:rsidR="00961C7F" w:rsidRDefault="008A042F">
      <w:pPr>
        <w:pStyle w:val="Heading2"/>
      </w:pPr>
      <w:r>
        <w:t>6.3 Controls and sample construction</w:t>
      </w:r>
    </w:p>
    <w:p ns2:paraId="47AC4731" ns2:textId="77777777" w:rsidR="00961C7F" w:rsidRDefault="008A042F" w:rsidP="00E9740F">
      <w:pPr>
        <w:ind w:firstLine="720"/>
        <w:jc w:val="both"/>
      </w:pPr>
      <w:r>
        <w:t>The destination-year controls are lagged unemployment and lagged real GDP growth. GDP growth is complete in the current panel, while unemployment has 37 missing country-year values and therefore reduces the full-control aggregate sample.</w:t>
      </w:r>
    </w:p>
    <w:p ns2:paraId="3733F9DE" ns2:textId="77777777" w:rsidR="00961C7F" w:rsidRDefault="008A042F" w:rsidP="00B201DE">
      <w:pPr>
        <w:jc w:val="both"/>
      </w:pPr>
      <w:r>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ns2:paraId="60059609" ns2:textId="77777777" w:rsidR="00961C7F" w:rsidRDefault="008A042F" w:rsidP="001B5A82">
      <w:pPr>
        <w:jc w:val="both"/>
      </w:pPr>
      <w:r>
        <w:t>The empirical base is sizeable. After the baseline Eurostat filters are applied, the residence-permit data contain 281,952 long-format rows before aggregation and 1,176 constructed outcome rows across citizenship groups. DEMIG-QuantMig contains more than 7,600 policy records before the thesis filters are applied. This coverage supports detailed descriptive measurement and multiple robustness checks. It does not, however, resolve policy endogeneity, so controls and cautious interpretation remain necessary.</w:t>
      </w:r>
    </w:p>
    <w:p ns2:paraId="5159AFAF" ns2:textId="77777777" w:rsidR="008F026E" w:rsidRDefault="00A36F18">
      <w:pPr>
        <w:jc w:val="both"/>
      </w:pPr>
      <w:r>
        <w:t>Destination-country economic conditions can shape both migration policy and permit inflows. A government facing high unemployment or weak growth may tighten work-permit conditions, expand labor-market tests, or impose stricter employer obligations. A government facing strong growth, labor shortages, or demographic pressure may instead liberalize entry or favor workers with scarce skills. The same conditions can also change the number and composition of permits issued.</w:t>
      </w:r>
    </w:p>
    <w:p ns2:paraId="78B5B34C" ns2:textId="77777777" w:rsidR="008F026E" w:rsidRDefault="00A36F18">
      <w:pPr>
        <w:jc w:val="both"/>
      </w:pPr>
      <w:r>
        <w:lastRenderedPageBreak/>
        <w:t>Lagged unemployment and GDP growth therefore help account for the economic environment in which policy decisions are made. They remain broad proxies, however, rather than complete measures of labor demand, vacancies, wages, or sector-specific shortages.</w:t>
      </w:r>
    </w:p>
    <w:p ns2:paraId="6DAC6BEF" ns2:textId="77777777" w:rsidR="00961C7F" w:rsidRDefault="008A042F" w:rsidP="001B5A82">
      <w:pPr>
        <w:jc w:val="both"/>
      </w:pPr>
      <w:r>
        <w:t>The bilateral model also includes origin-year fixed effects, which absorb time-varying conditions shared by migrants from the same origin in a given year. This is preferable to adding incomplete origin controls that are not measured consistently across the panel.</w:t>
      </w:r>
    </w:p>
    <w:p ns2:paraId="0AB59D4C" ns2:textId="77777777" w:rsidR="002C6307" w:rsidRPr="00F86F57" w:rsidRDefault="008A042F" w:rsidP="00F86F57">
      <w:pPr>
        <w:jc w:val="both"/>
      </w:pPr>
      <w:r>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ns2:paraId="74602E9E" ns2:textId="77777777" w:rsidR="00961C7F" w:rsidRPr="0038122C" w:rsidRDefault="008A042F" w:rsidP="0038122C">
      <w:pPr>
        <w:spacing w:before="120" w:after="80"/>
        <w:jc w:val="center"/>
        <w:rPr>
          <w:b/>
          <w:i/>
          <w:iCs/>
        </w:rPr>
      </w:pPr>
      <w:r>
        <w:rPr>
          <w:rFonts w:eastAsia="Times New Roman"/>
          <w:b/>
          <w:i/>
          <w:iCs/>
        </w:rPr>
        <w:t>Table 4. Variable definitions for the regression specifications.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92"/>
        <w:gridCol w:w="4931"/>
        <w:gridCol w:w="2103"/>
      </w:tblGrid>
      <w:tr w:rsidR="00961C7F" ns2:paraId="735A903E" ns2:textId="77777777" w:rsidTr="007F06D5">
        <w:trPr>
          <w:cantSplit/>
          <w:tblHeader/>
          <w:jc w:val="center"/>
        </w:trPr>
        <w:tc>
          <w:tcPr>
            <w:tcW w:w="1992" w:type="dxa"/>
            <w:tcBorders>
              <w:top w:val="single" w:sz="12" w:space="0" w:color="000000"/>
              <w:left w:val="nil"/>
              <w:bottom w:val="single" w:sz="8" w:space="0" w:color="000000"/>
              <w:right w:val="nil"/>
            </w:tcBorders>
            <w:tcMar>
              <w:top w:w="70" w:type="dxa"/>
              <w:left w:w="70" w:type="dxa"/>
              <w:bottom w:w="70" w:type="dxa"/>
              <w:right w:w="70" w:type="dxa"/>
            </w:tcMar>
          </w:tcPr>
          <w:p ns2:paraId="28E96494" ns2:textId="77777777" w:rsidR="00961C7F" w:rsidRDefault="007F06D5">
            <w:pPr>
              <w:spacing w:after="0" w:line="240" w:lineRule="auto"/>
              <w:rPr>
                <w:rFonts w:eastAsia="MS Mincho"/>
              </w:rPr>
            </w:pPr>
            <w:r>
              <w:rPr>
                <w:rFonts w:ascii="Times New Roman" w:eastAsia="Times New Roman" w:hAnsi="Times New Roman"/>
                <w:b/>
                <w:sz w:val="18"/>
                <w:szCs w:val="20"/>
              </w:rPr>
              <w:t>Variable (code name)</w:t>
            </w:r>
          </w:p>
        </w:tc>
        <w:tc>
          <w:tcPr>
            <w:tcW w:w="4931" w:type="dxa"/>
            <w:tcBorders>
              <w:top w:val="single" w:sz="12" w:space="0" w:color="000000"/>
              <w:left w:val="nil"/>
              <w:bottom w:val="single" w:sz="8" w:space="0" w:color="000000"/>
              <w:right w:val="nil"/>
            </w:tcBorders>
            <w:tcMar>
              <w:top w:w="70" w:type="dxa"/>
              <w:left w:w="70" w:type="dxa"/>
              <w:bottom w:w="70" w:type="dxa"/>
              <w:right w:w="70" w:type="dxa"/>
            </w:tcMar>
          </w:tcPr>
          <w:p ns2:paraId="1CC43AF0" ns2:textId="77777777" w:rsidR="00961C7F" w:rsidRDefault="008A042F">
            <w:pPr>
              <w:spacing w:after="0" w:line="240" w:lineRule="auto"/>
              <w:rPr>
                <w:rFonts w:eastAsia="MS Mincho"/>
              </w:rPr>
            </w:pPr>
            <w:r>
              <w:rPr>
                <w:rFonts w:ascii="Times New Roman" w:eastAsia="Times New Roman" w:hAnsi="Times New Roman"/>
                <w:b/>
                <w:sz w:val="18"/>
                <w:szCs w:val="20"/>
              </w:rPr>
              <w:t>Definition</w:t>
            </w:r>
          </w:p>
        </w:tc>
        <w:tc>
          <w:tcPr>
            <w:tcW w:w="2103" w:type="dxa"/>
            <w:tcBorders>
              <w:top w:val="single" w:sz="12" w:space="0" w:color="000000"/>
              <w:left w:val="nil"/>
              <w:bottom w:val="single" w:sz="8" w:space="0" w:color="000000"/>
              <w:right w:val="nil"/>
            </w:tcBorders>
            <w:tcMar>
              <w:top w:w="70" w:type="dxa"/>
              <w:left w:w="70" w:type="dxa"/>
              <w:bottom w:w="70" w:type="dxa"/>
              <w:right w:w="70" w:type="dxa"/>
            </w:tcMar>
          </w:tcPr>
          <w:p ns2:paraId="2F15D35E" ns2:textId="77777777" w:rsidR="00961C7F" w:rsidRDefault="008A042F">
            <w:pPr>
              <w:spacing w:after="0" w:line="240" w:lineRule="auto"/>
              <w:rPr>
                <w:rFonts w:eastAsia="MS Mincho"/>
              </w:rPr>
            </w:pPr>
            <w:r>
              <w:rPr>
                <w:rFonts w:ascii="Times New Roman" w:eastAsia="Times New Roman" w:hAnsi="Times New Roman"/>
                <w:b/>
                <w:sz w:val="18"/>
                <w:szCs w:val="20"/>
              </w:rPr>
              <w:t>Source</w:t>
            </w:r>
          </w:p>
        </w:tc>
      </w:tr>
      <w:tr w:rsidR="00961C7F" ns2:paraId="01A086EA"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745C8538" ns2:textId="77777777" w:rsidR="00961C7F" w:rsidRDefault="008A042F">
            <w:pPr>
              <w:spacing w:after="0" w:line="240" w:lineRule="auto"/>
              <w:rPr>
                <w:rFonts w:eastAsia="MS Mincho"/>
              </w:rPr>
            </w:pPr>
            <w:r>
              <w:rPr>
                <w:rFonts w:ascii="Times New Roman" w:eastAsia="Times New Roman" w:hAnsi="Times New Roman"/>
                <w:sz w:val="18"/>
                <w:szCs w:val="20"/>
              </w:rPr>
              <w:t>High-skilled permit share (HSRate)</w:t>
            </w:r>
          </w:p>
        </w:tc>
        <w:tc>
          <w:tcPr>
            <w:tcW w:w="4931" w:type="dxa"/>
            <w:tcBorders>
              <w:top w:val="nil"/>
              <w:left w:val="nil"/>
              <w:bottom w:val="nil"/>
              <w:right w:val="nil"/>
            </w:tcBorders>
            <w:tcMar>
              <w:top w:w="70" w:type="dxa"/>
              <w:left w:w="70" w:type="dxa"/>
              <w:bottom w:w="70" w:type="dxa"/>
              <w:right w:w="70" w:type="dxa"/>
            </w:tcMar>
          </w:tcPr>
          <w:p ns2:paraId="1C6FA85C" ns2:textId="77777777" w:rsidR="00961C7F" w:rsidRDefault="008A042F">
            <w:pPr>
              <w:spacing w:after="0" w:line="240" w:lineRule="auto"/>
              <w:rPr>
                <w:rFonts w:eastAsia="MS Mincho"/>
              </w:rPr>
            </w:pPr>
            <w:r>
              <w:rPr>
                <w:rFonts w:ascii="Times New Roman" w:eastAsia="Times New Roman" w:hAnsi="Times New Roman"/>
                <w:sz w:val="18"/>
                <w:szCs w:val="20"/>
              </w:rPr>
              <w:t>High-skilled share of employment-related first residence permits, computed as HSNumber divided by the total employment-related permit flow.</w:t>
            </w:r>
          </w:p>
        </w:tc>
        <w:tc>
          <w:tcPr>
            <w:tcW w:w="2103" w:type="dxa"/>
            <w:tcBorders>
              <w:top w:val="nil"/>
              <w:left w:val="nil"/>
              <w:bottom w:val="nil"/>
              <w:right w:val="nil"/>
            </w:tcBorders>
            <w:tcMar>
              <w:top w:w="70" w:type="dxa"/>
              <w:left w:w="70" w:type="dxa"/>
              <w:bottom w:w="70" w:type="dxa"/>
              <w:right w:w="70" w:type="dxa"/>
            </w:tcMar>
          </w:tcPr>
          <w:p ns2:paraId="029AA45F" ns2: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ns2:paraId="77EF3250"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06646D8B" ns2:textId="77777777" w:rsidR="00961C7F" w:rsidRDefault="008A042F">
            <w:pPr>
              <w:spacing w:after="0" w:line="240" w:lineRule="auto"/>
              <w:rPr>
                <w:rFonts w:eastAsia="MS Mincho"/>
              </w:rPr>
            </w:pPr>
            <w:r>
              <w:rPr>
                <w:rFonts w:ascii="Times New Roman" w:eastAsia="Times New Roman" w:hAnsi="Times New Roman"/>
                <w:sz w:val="18"/>
                <w:szCs w:val="20"/>
              </w:rPr>
              <w:t>All-first-permits high-skilled share</w:t>
            </w:r>
          </w:p>
        </w:tc>
        <w:tc>
          <w:tcPr>
            <w:tcW w:w="4931" w:type="dxa"/>
            <w:tcBorders>
              <w:top w:val="nil"/>
              <w:left w:val="nil"/>
              <w:bottom w:val="nil"/>
              <w:right w:val="nil"/>
            </w:tcBorders>
            <w:tcMar>
              <w:top w:w="70" w:type="dxa"/>
              <w:left w:w="70" w:type="dxa"/>
              <w:bottom w:w="70" w:type="dxa"/>
              <w:right w:w="70" w:type="dxa"/>
            </w:tcMar>
          </w:tcPr>
          <w:p ns2:paraId="55CB3040" ns2:textId="77777777" w:rsidR="00961C7F" w:rsidRDefault="008A042F">
            <w:pPr>
              <w:spacing w:after="0" w:line="240" w:lineRule="auto"/>
              <w:rPr>
                <w:rFonts w:eastAsia="MS Mincho"/>
              </w:rPr>
            </w:pPr>
            <w:r>
              <w:rPr>
                <w:rFonts w:ascii="Times New Roman" w:eastAsia="Times New Roman" w:hAnsi="Times New Roman"/>
                <w:sz w:val="18"/>
                <w:szCs w:val="20"/>
              </w:rPr>
              <w:t>Robustness outcome: high-skilled employment permits divided by all first residence permits across family, education, employment, and other reasons.</w:t>
            </w:r>
          </w:p>
        </w:tc>
        <w:tc>
          <w:tcPr>
            <w:tcW w:w="2103" w:type="dxa"/>
            <w:tcBorders>
              <w:top w:val="nil"/>
              <w:left w:val="nil"/>
              <w:bottom w:val="nil"/>
              <w:right w:val="nil"/>
            </w:tcBorders>
            <w:tcMar>
              <w:top w:w="70" w:type="dxa"/>
              <w:left w:w="70" w:type="dxa"/>
              <w:bottom w:w="70" w:type="dxa"/>
              <w:right w:w="70" w:type="dxa"/>
            </w:tcMar>
          </w:tcPr>
          <w:p ns2:paraId="6F06EE41" ns2:textId="77777777" w:rsidR="00961C7F" w:rsidRDefault="008A042F">
            <w:pPr>
              <w:spacing w:after="0" w:line="240" w:lineRule="auto"/>
              <w:rPr>
                <w:rFonts w:eastAsia="MS Mincho"/>
              </w:rPr>
            </w:pPr>
            <w:r>
              <w:rPr>
                <w:rFonts w:ascii="Times New Roman" w:eastAsia="Times New Roman" w:hAnsi="Times New Roman"/>
                <w:sz w:val="18"/>
                <w:szCs w:val="20"/>
              </w:rPr>
              <w:t>Eurostat migr_resfirst plus migr_resocc</w:t>
            </w:r>
          </w:p>
        </w:tc>
      </w:tr>
      <w:tr w:rsidR="00961C7F" ns2:paraId="30189A0B"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2E6A2D43" ns2:textId="77777777" w:rsidR="00961C7F" w:rsidRDefault="008A042F">
            <w:pPr>
              <w:spacing w:after="0" w:line="240" w:lineRule="auto"/>
              <w:rPr>
                <w:rFonts w:eastAsia="MS Mincho"/>
              </w:rPr>
            </w:pPr>
            <w:r>
              <w:rPr>
                <w:rFonts w:ascii="Times New Roman" w:eastAsia="Times New Roman" w:hAnsi="Times New Roman"/>
                <w:sz w:val="18"/>
                <w:szCs w:val="20"/>
              </w:rPr>
              <w:t>High-skilled permit count (HSNumber)</w:t>
            </w:r>
          </w:p>
        </w:tc>
        <w:tc>
          <w:tcPr>
            <w:tcW w:w="4931" w:type="dxa"/>
            <w:tcBorders>
              <w:top w:val="nil"/>
              <w:left w:val="nil"/>
              <w:bottom w:val="nil"/>
              <w:right w:val="nil"/>
            </w:tcBorders>
            <w:tcMar>
              <w:top w:w="70" w:type="dxa"/>
              <w:left w:w="70" w:type="dxa"/>
              <w:bottom w:w="70" w:type="dxa"/>
              <w:right w:w="70" w:type="dxa"/>
            </w:tcMar>
          </w:tcPr>
          <w:p ns2:paraId="3A57231B" ns2:textId="77777777" w:rsidR="00961C7F" w:rsidRDefault="008A042F">
            <w:pPr>
              <w:spacing w:after="0" w:line="240" w:lineRule="auto"/>
              <w:rPr>
                <w:rFonts w:eastAsia="MS Mincho"/>
              </w:rPr>
            </w:pPr>
            <w:r>
              <w:rPr>
                <w:rFonts w:ascii="Times New Roman" w:eastAsia="Times New Roman" w:hAnsi="Times New Roman"/>
                <w:sz w:val="18"/>
                <w:szCs w:val="20"/>
              </w:rPr>
              <w:t>Sum of permits issued to highly skilled workers and researchers; level/count outcome in the log-count column of Table 6 and PPML specifications.</w:t>
            </w:r>
          </w:p>
        </w:tc>
        <w:tc>
          <w:tcPr>
            <w:tcW w:w="2103" w:type="dxa"/>
            <w:tcBorders>
              <w:top w:val="nil"/>
              <w:left w:val="nil"/>
              <w:bottom w:val="nil"/>
              <w:right w:val="nil"/>
            </w:tcBorders>
            <w:tcMar>
              <w:top w:w="70" w:type="dxa"/>
              <w:left w:w="70" w:type="dxa"/>
              <w:bottom w:w="70" w:type="dxa"/>
              <w:right w:w="70" w:type="dxa"/>
            </w:tcMar>
          </w:tcPr>
          <w:p ns2:paraId="3BEA8C64" ns2: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ns2:paraId="60BE2BFC"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3ADA56F0" ns2:textId="77777777" w:rsidR="00961C7F" w:rsidRDefault="008A042F">
            <w:pPr>
              <w:spacing w:after="0" w:line="240" w:lineRule="auto"/>
              <w:rPr>
                <w:rFonts w:eastAsia="MS Mincho"/>
              </w:rPr>
            </w:pPr>
            <w:r>
              <w:rPr>
                <w:rFonts w:ascii="Times New Roman" w:eastAsia="Times New Roman" w:hAnsi="Times New Roman"/>
                <w:sz w:val="18"/>
                <w:szCs w:val="20"/>
              </w:rPr>
              <w:t>Lagged cumulative all-migrant-worker policy score (Restrict_lag1)</w:t>
            </w:r>
          </w:p>
        </w:tc>
        <w:tc>
          <w:tcPr>
            <w:tcW w:w="4931" w:type="dxa"/>
            <w:tcBorders>
              <w:top w:val="nil"/>
              <w:left w:val="nil"/>
              <w:bottom w:val="nil"/>
              <w:right w:val="nil"/>
            </w:tcBorders>
            <w:tcMar>
              <w:top w:w="70" w:type="dxa"/>
              <w:left w:w="70" w:type="dxa"/>
              <w:bottom w:w="70" w:type="dxa"/>
              <w:right w:w="70" w:type="dxa"/>
            </w:tcMar>
          </w:tcPr>
          <w:p ns2:paraId="6545FED7" ns2: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all-migrant-worker-only reforms coded for All foreign nationalities; coefficient of interest in the preferred model.</w:t>
            </w:r>
          </w:p>
        </w:tc>
        <w:tc>
          <w:tcPr>
            <w:tcW w:w="2103" w:type="dxa"/>
            <w:tcBorders>
              <w:top w:val="nil"/>
              <w:left w:val="nil"/>
              <w:bottom w:val="nil"/>
              <w:right w:val="nil"/>
            </w:tcBorders>
            <w:tcMar>
              <w:top w:w="70" w:type="dxa"/>
              <w:left w:w="70" w:type="dxa"/>
              <w:bottom w:w="70" w:type="dxa"/>
              <w:right w:w="70" w:type="dxa"/>
            </w:tcMar>
          </w:tcPr>
          <w:p ns2:paraId="494E6D26"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0503EE84"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7AAA52F0" ns2:textId="77777777" w:rsidR="00961C7F" w:rsidRDefault="008A042F">
            <w:pPr>
              <w:spacing w:after="0" w:line="240" w:lineRule="auto"/>
              <w:rPr>
                <w:rFonts w:eastAsia="MS Mincho"/>
              </w:rPr>
            </w:pPr>
            <w:r>
              <w:rPr>
                <w:rFonts w:ascii="Times New Roman" w:eastAsia="Times New Roman" w:hAnsi="Times New Roman"/>
                <w:sz w:val="18"/>
                <w:szCs w:val="20"/>
              </w:rPr>
              <w:t>Lagged cumulative high-skill-targeted policy score (Restrict_hs_lag1)</w:t>
            </w:r>
          </w:p>
        </w:tc>
        <w:tc>
          <w:tcPr>
            <w:tcW w:w="4931" w:type="dxa"/>
            <w:tcBorders>
              <w:top w:val="nil"/>
              <w:left w:val="nil"/>
              <w:bottom w:val="nil"/>
              <w:right w:val="nil"/>
            </w:tcBorders>
            <w:tcMar>
              <w:top w:w="70" w:type="dxa"/>
              <w:left w:w="70" w:type="dxa"/>
              <w:bottom w:w="70" w:type="dxa"/>
              <w:right w:w="70" w:type="dxa"/>
            </w:tcMar>
          </w:tcPr>
          <w:p ns2:paraId="733CACB5" ns2: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skilled/high-skilled workers; included as a policy control.</w:t>
            </w:r>
          </w:p>
        </w:tc>
        <w:tc>
          <w:tcPr>
            <w:tcW w:w="2103" w:type="dxa"/>
            <w:tcBorders>
              <w:top w:val="nil"/>
              <w:left w:val="nil"/>
              <w:bottom w:val="nil"/>
              <w:right w:val="nil"/>
            </w:tcBorders>
            <w:tcMar>
              <w:top w:w="70" w:type="dxa"/>
              <w:left w:w="70" w:type="dxa"/>
              <w:bottom w:w="70" w:type="dxa"/>
              <w:right w:w="70" w:type="dxa"/>
            </w:tcMar>
          </w:tcPr>
          <w:p ns2:paraId="79BA8EC4"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12CB81DE"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02E1F46E" ns2:textId="77777777" w:rsidR="00961C7F" w:rsidRDefault="008A042F">
            <w:pPr>
              <w:spacing w:after="0" w:line="240" w:lineRule="auto"/>
              <w:rPr>
                <w:rFonts w:eastAsia="MS Mincho"/>
              </w:rPr>
            </w:pPr>
            <w:r>
              <w:rPr>
                <w:rFonts w:ascii="Times New Roman" w:eastAsia="Times New Roman" w:hAnsi="Times New Roman"/>
                <w:sz w:val="18"/>
                <w:szCs w:val="20"/>
              </w:rPr>
              <w:t>Lagged cumulative low-skill-targeted policy score (Restrict_low_lag1)</w:t>
            </w:r>
          </w:p>
        </w:tc>
        <w:tc>
          <w:tcPr>
            <w:tcW w:w="4931" w:type="dxa"/>
            <w:tcBorders>
              <w:top w:val="nil"/>
              <w:left w:val="nil"/>
              <w:bottom w:val="nil"/>
              <w:right w:val="nil"/>
            </w:tcBorders>
            <w:tcMar>
              <w:top w:w="70" w:type="dxa"/>
              <w:left w:w="70" w:type="dxa"/>
              <w:bottom w:w="70" w:type="dxa"/>
              <w:right w:w="70" w:type="dxa"/>
            </w:tcMar>
          </w:tcPr>
          <w:p ns2:paraId="316AD576" ns2: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low-skilled workers; included as a policy control.</w:t>
            </w:r>
          </w:p>
        </w:tc>
        <w:tc>
          <w:tcPr>
            <w:tcW w:w="2103" w:type="dxa"/>
            <w:tcBorders>
              <w:top w:val="nil"/>
              <w:left w:val="nil"/>
              <w:bottom w:val="nil"/>
              <w:right w:val="nil"/>
            </w:tcBorders>
            <w:tcMar>
              <w:top w:w="70" w:type="dxa"/>
              <w:left w:w="70" w:type="dxa"/>
              <w:bottom w:w="70" w:type="dxa"/>
              <w:right w:w="70" w:type="dxa"/>
            </w:tcMar>
          </w:tcPr>
          <w:p ns2:paraId="6A8BDDDE"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524F38A2"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2441CA90" ns2:textId="77777777" w:rsidR="00961C7F" w:rsidRDefault="008A042F">
            <w:pPr>
              <w:spacing w:after="0" w:line="240" w:lineRule="auto"/>
              <w:rPr>
                <w:rFonts w:eastAsia="MS Mincho"/>
              </w:rPr>
            </w:pPr>
            <w:r>
              <w:rPr>
                <w:rFonts w:ascii="Times New Roman" w:eastAsia="Times New Roman" w:hAnsi="Times New Roman"/>
                <w:sz w:val="18"/>
                <w:szCs w:val="20"/>
              </w:rPr>
              <w:t>Lagged annual all-migrant-worker policy flow (restrict_event_lag1)</w:t>
            </w:r>
          </w:p>
        </w:tc>
        <w:tc>
          <w:tcPr>
            <w:tcW w:w="4931" w:type="dxa"/>
            <w:tcBorders>
              <w:top w:val="nil"/>
              <w:left w:val="nil"/>
              <w:bottom w:val="nil"/>
              <w:right w:val="nil"/>
            </w:tcBorders>
            <w:tcMar>
              <w:top w:w="70" w:type="dxa"/>
              <w:left w:w="70" w:type="dxa"/>
              <w:bottom w:w="70" w:type="dxa"/>
              <w:right w:w="70" w:type="dxa"/>
            </w:tcMar>
          </w:tcPr>
          <w:p ns2:paraId="0B04B089" ns2: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Restrict measure for all-migrant-worker-only reforms.</w:t>
            </w:r>
          </w:p>
        </w:tc>
        <w:tc>
          <w:tcPr>
            <w:tcW w:w="2103" w:type="dxa"/>
            <w:tcBorders>
              <w:top w:val="nil"/>
              <w:left w:val="nil"/>
              <w:bottom w:val="nil"/>
              <w:right w:val="nil"/>
            </w:tcBorders>
            <w:tcMar>
              <w:top w:w="70" w:type="dxa"/>
              <w:left w:w="70" w:type="dxa"/>
              <w:bottom w:w="70" w:type="dxa"/>
              <w:right w:w="70" w:type="dxa"/>
            </w:tcMar>
          </w:tcPr>
          <w:p ns2:paraId="4DF5306A"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7C794ADF"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443C8ECB" ns2:textId="77777777" w:rsidR="00961C7F" w:rsidRDefault="008A042F">
            <w:pPr>
              <w:spacing w:after="0" w:line="240" w:lineRule="auto"/>
              <w:rPr>
                <w:rFonts w:eastAsia="MS Mincho"/>
              </w:rPr>
            </w:pPr>
            <w:r>
              <w:rPr>
                <w:rFonts w:ascii="Times New Roman" w:eastAsia="Times New Roman" w:hAnsi="Times New Roman"/>
                <w:sz w:val="18"/>
                <w:szCs w:val="20"/>
              </w:rPr>
              <w:t>Lagged annual high-skill-targeted policy flow (restrict_event_hs_lag1)</w:t>
            </w:r>
          </w:p>
        </w:tc>
        <w:tc>
          <w:tcPr>
            <w:tcW w:w="4931" w:type="dxa"/>
            <w:tcBorders>
              <w:top w:val="nil"/>
              <w:left w:val="nil"/>
              <w:bottom w:val="nil"/>
              <w:right w:val="nil"/>
            </w:tcBorders>
            <w:tcMar>
              <w:top w:w="70" w:type="dxa"/>
              <w:left w:w="70" w:type="dxa"/>
              <w:bottom w:w="70" w:type="dxa"/>
              <w:right w:w="70" w:type="dxa"/>
            </w:tcMar>
          </w:tcPr>
          <w:p ns2:paraId="623EE9D2" ns2: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skilled/high-skilled-targeted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ns2:paraId="229D0298"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4CB4F73E"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543A3C0E" ns2:textId="77777777" w:rsidR="00961C7F" w:rsidRDefault="008A042F">
            <w:pPr>
              <w:spacing w:after="0" w:line="240" w:lineRule="auto"/>
              <w:rPr>
                <w:rFonts w:eastAsia="MS Mincho"/>
              </w:rPr>
            </w:pPr>
            <w:r>
              <w:rPr>
                <w:rFonts w:ascii="Times New Roman" w:eastAsia="Times New Roman" w:hAnsi="Times New Roman"/>
                <w:sz w:val="18"/>
                <w:szCs w:val="20"/>
              </w:rPr>
              <w:t>Lagged annual low-skill-targeted policy flow (restrict_event_low_lag1)</w:t>
            </w:r>
          </w:p>
        </w:tc>
        <w:tc>
          <w:tcPr>
            <w:tcW w:w="4931" w:type="dxa"/>
            <w:tcBorders>
              <w:top w:val="nil"/>
              <w:left w:val="nil"/>
              <w:bottom w:val="nil"/>
              <w:right w:val="nil"/>
            </w:tcBorders>
            <w:tcMar>
              <w:top w:w="70" w:type="dxa"/>
              <w:left w:w="70" w:type="dxa"/>
              <w:bottom w:w="70" w:type="dxa"/>
              <w:right w:w="70" w:type="dxa"/>
            </w:tcMar>
          </w:tcPr>
          <w:p ns2:paraId="591EC644" ns2: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low-skilled-targeted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ns2:paraId="0CA90F19" ns2: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ns2:paraId="0606CC88"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557DD219" ns2:textId="77777777" w:rsidR="00961C7F" w:rsidRDefault="008A042F">
            <w:pPr>
              <w:spacing w:after="0" w:line="240" w:lineRule="auto"/>
              <w:rPr>
                <w:rFonts w:eastAsia="MS Mincho"/>
              </w:rPr>
            </w:pPr>
            <w:r>
              <w:rPr>
                <w:rFonts w:ascii="Times New Roman" w:eastAsia="Times New Roman" w:hAnsi="Times New Roman"/>
                <w:sz w:val="18"/>
                <w:szCs w:val="20"/>
              </w:rPr>
              <w:t>Lagged destination permit scale (lnEMP_lag)</w:t>
            </w:r>
          </w:p>
        </w:tc>
        <w:tc>
          <w:tcPr>
            <w:tcW w:w="4931" w:type="dxa"/>
            <w:tcBorders>
              <w:top w:val="nil"/>
              <w:left w:val="nil"/>
              <w:bottom w:val="nil"/>
              <w:right w:val="nil"/>
            </w:tcBorders>
            <w:tcMar>
              <w:top w:w="70" w:type="dxa"/>
              <w:left w:w="70" w:type="dxa"/>
              <w:bottom w:w="70" w:type="dxa"/>
              <w:right w:w="70" w:type="dxa"/>
            </w:tcMar>
          </w:tcPr>
          <w:p ns2:paraId="56F1FB59" ns2: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destination-year cell.</w:t>
            </w:r>
          </w:p>
        </w:tc>
        <w:tc>
          <w:tcPr>
            <w:tcW w:w="2103" w:type="dxa"/>
            <w:tcBorders>
              <w:top w:val="nil"/>
              <w:left w:val="nil"/>
              <w:bottom w:val="nil"/>
              <w:right w:val="nil"/>
            </w:tcBorders>
            <w:tcMar>
              <w:top w:w="70" w:type="dxa"/>
              <w:left w:w="70" w:type="dxa"/>
              <w:bottom w:w="70" w:type="dxa"/>
              <w:right w:w="70" w:type="dxa"/>
            </w:tcMar>
          </w:tcPr>
          <w:p ns2:paraId="1C445F40" ns2: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ns2:paraId="62DAA3A5"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4DE12C50" ns2:textId="77777777" w:rsidR="00961C7F" w:rsidRDefault="008A042F">
            <w:pPr>
              <w:spacing w:after="0" w:line="240" w:lineRule="auto"/>
              <w:rPr>
                <w:rFonts w:eastAsia="MS Mincho"/>
              </w:rPr>
            </w:pPr>
            <w:r>
              <w:rPr>
                <w:rFonts w:ascii="Times New Roman" w:eastAsia="Times New Roman" w:hAnsi="Times New Roman"/>
                <w:sz w:val="18"/>
                <w:szCs w:val="20"/>
              </w:rPr>
              <w:lastRenderedPageBreak/>
              <w:t>Lagged bilateral permit scale (lnEMP_pair_lag)</w:t>
            </w:r>
          </w:p>
        </w:tc>
        <w:tc>
          <w:tcPr>
            <w:tcW w:w="4931" w:type="dxa"/>
            <w:tcBorders>
              <w:top w:val="nil"/>
              <w:left w:val="nil"/>
              <w:bottom w:val="nil"/>
              <w:right w:val="nil"/>
            </w:tcBorders>
            <w:tcMar>
              <w:top w:w="70" w:type="dxa"/>
              <w:left w:w="70" w:type="dxa"/>
              <w:bottom w:w="70" w:type="dxa"/>
              <w:right w:w="70" w:type="dxa"/>
            </w:tcMar>
          </w:tcPr>
          <w:p ns2:paraId="526DC7A9" ns2: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origin-destination-year corridor; bilateral variant of PermitScale.</w:t>
            </w:r>
          </w:p>
        </w:tc>
        <w:tc>
          <w:tcPr>
            <w:tcW w:w="2103" w:type="dxa"/>
            <w:tcBorders>
              <w:top w:val="nil"/>
              <w:left w:val="nil"/>
              <w:bottom w:val="nil"/>
              <w:right w:val="nil"/>
            </w:tcBorders>
            <w:tcMar>
              <w:top w:w="70" w:type="dxa"/>
              <w:left w:w="70" w:type="dxa"/>
              <w:bottom w:w="70" w:type="dxa"/>
              <w:right w:w="70" w:type="dxa"/>
            </w:tcMar>
          </w:tcPr>
          <w:p ns2:paraId="58918CFD" ns2: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ns2:paraId="7BC59981" ns2: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ns2:paraId="78C4D3B2" ns2:textId="77777777" w:rsidR="00961C7F" w:rsidRDefault="008A042F">
            <w:pPr>
              <w:spacing w:after="0" w:line="240" w:lineRule="auto"/>
              <w:rPr>
                <w:rFonts w:eastAsia="MS Mincho"/>
              </w:rPr>
            </w:pPr>
            <w:r>
              <w:rPr>
                <w:rFonts w:ascii="Times New Roman" w:eastAsia="Times New Roman" w:hAnsi="Times New Roman"/>
                <w:sz w:val="18"/>
                <w:szCs w:val="20"/>
              </w:rPr>
              <w:t>Lagged destination unemployment (lnUnemp_lag)</w:t>
            </w:r>
          </w:p>
        </w:tc>
        <w:tc>
          <w:tcPr>
            <w:tcW w:w="4931" w:type="dxa"/>
            <w:tcBorders>
              <w:top w:val="nil"/>
              <w:left w:val="nil"/>
              <w:bottom w:val="nil"/>
              <w:right w:val="nil"/>
            </w:tcBorders>
            <w:tcMar>
              <w:top w:w="70" w:type="dxa"/>
              <w:left w:w="70" w:type="dxa"/>
              <w:bottom w:w="70" w:type="dxa"/>
              <w:right w:w="70" w:type="dxa"/>
            </w:tcMar>
          </w:tcPr>
          <w:p ns2:paraId="31FA3CF1" ns2:textId="77777777" w:rsidR="00961C7F" w:rsidRDefault="008A042F">
            <w:pPr>
              <w:spacing w:after="0" w:line="240" w:lineRule="auto"/>
              <w:rPr>
                <w:rFonts w:eastAsia="MS Mincho"/>
              </w:rPr>
            </w:pPr>
            <w:r>
              <w:rPr>
                <w:rFonts w:ascii="Times New Roman" w:eastAsia="Times New Roman" w:hAnsi="Times New Roman"/>
                <w:sz w:val="18"/>
                <w:szCs w:val="20"/>
              </w:rPr>
              <w:t>One-year lag of the natural log of the destination annual unemployment rate.</w:t>
            </w:r>
          </w:p>
        </w:tc>
        <w:tc>
          <w:tcPr>
            <w:tcW w:w="2103" w:type="dxa"/>
            <w:tcBorders>
              <w:top w:val="nil"/>
              <w:left w:val="nil"/>
              <w:bottom w:val="nil"/>
              <w:right w:val="nil"/>
            </w:tcBorders>
            <w:tcMar>
              <w:top w:w="70" w:type="dxa"/>
              <w:left w:w="70" w:type="dxa"/>
              <w:bottom w:w="70" w:type="dxa"/>
              <w:right w:w="70" w:type="dxa"/>
            </w:tcMar>
          </w:tcPr>
          <w:p ns2:paraId="6800A4F8" ns2:textId="77777777" w:rsidR="00961C7F" w:rsidRDefault="008A042F">
            <w:pPr>
              <w:spacing w:after="0" w:line="240" w:lineRule="auto"/>
              <w:rPr>
                <w:rFonts w:eastAsia="MS Mincho"/>
              </w:rPr>
            </w:pPr>
            <w:r>
              <w:rPr>
                <w:rFonts w:ascii="Times New Roman" w:eastAsia="Times New Roman" w:hAnsi="Times New Roman"/>
                <w:sz w:val="18"/>
                <w:szCs w:val="20"/>
              </w:rPr>
              <w:t>Eurostat une_rt_a</w:t>
            </w:r>
          </w:p>
        </w:tc>
      </w:tr>
      <w:tr w:rsidR="00961C7F" ns2:paraId="039E9676" ns2:textId="77777777" w:rsidTr="007F06D5">
        <w:trPr>
          <w:cantSplit/>
          <w:jc w:val="center"/>
        </w:trPr>
        <w:tc>
          <w:tcPr>
            <w:tcW w:w="1992" w:type="dxa"/>
            <w:tcBorders>
              <w:top w:val="nil"/>
              <w:left w:val="nil"/>
              <w:bottom w:val="single" w:sz="12" w:space="0" w:color="000000"/>
              <w:right w:val="nil"/>
            </w:tcBorders>
            <w:tcMar>
              <w:top w:w="70" w:type="dxa"/>
              <w:left w:w="70" w:type="dxa"/>
              <w:bottom w:w="70" w:type="dxa"/>
              <w:right w:w="70" w:type="dxa"/>
            </w:tcMar>
          </w:tcPr>
          <w:p ns2:paraId="669EDAC7" ns2:textId="77777777" w:rsidR="00961C7F" w:rsidRDefault="008A042F">
            <w:pPr>
              <w:spacing w:after="0" w:line="240" w:lineRule="auto"/>
              <w:rPr>
                <w:rFonts w:eastAsia="MS Mincho"/>
              </w:rPr>
            </w:pPr>
            <w:r>
              <w:rPr>
                <w:rFonts w:ascii="Times New Roman" w:eastAsia="Times New Roman" w:hAnsi="Times New Roman"/>
                <w:sz w:val="18"/>
                <w:szCs w:val="20"/>
              </w:rPr>
              <w:t>Lagged destination real GDP growth (GDPg_lag)</w:t>
            </w:r>
          </w:p>
        </w:tc>
        <w:tc>
          <w:tcPr>
            <w:tcW w:w="4931" w:type="dxa"/>
            <w:tcBorders>
              <w:top w:val="nil"/>
              <w:left w:val="nil"/>
              <w:bottom w:val="single" w:sz="12" w:space="0" w:color="000000"/>
              <w:right w:val="nil"/>
            </w:tcBorders>
            <w:tcMar>
              <w:top w:w="70" w:type="dxa"/>
              <w:left w:w="70" w:type="dxa"/>
              <w:bottom w:w="70" w:type="dxa"/>
              <w:right w:w="70" w:type="dxa"/>
            </w:tcMar>
          </w:tcPr>
          <w:p ns2:paraId="773BFA4D" ns2:textId="77777777" w:rsidR="00961C7F" w:rsidRDefault="008A042F">
            <w:pPr>
              <w:spacing w:after="0" w:line="240" w:lineRule="auto"/>
              <w:rPr>
                <w:rFonts w:eastAsia="MS Mincho"/>
              </w:rPr>
            </w:pPr>
            <w:r>
              <w:rPr>
                <w:rFonts w:ascii="Times New Roman" w:eastAsia="Times New Roman" w:hAnsi="Times New Roman"/>
                <w:sz w:val="18"/>
                <w:szCs w:val="20"/>
              </w:rPr>
              <w:t>One-year lag of the destination annual real GDP growth rate in percent.</w:t>
            </w:r>
          </w:p>
        </w:tc>
        <w:tc>
          <w:tcPr>
            <w:tcW w:w="2103" w:type="dxa"/>
            <w:tcBorders>
              <w:top w:val="nil"/>
              <w:left w:val="nil"/>
              <w:bottom w:val="single" w:sz="12" w:space="0" w:color="000000"/>
              <w:right w:val="nil"/>
            </w:tcBorders>
            <w:tcMar>
              <w:top w:w="70" w:type="dxa"/>
              <w:left w:w="70" w:type="dxa"/>
              <w:bottom w:w="70" w:type="dxa"/>
              <w:right w:w="70" w:type="dxa"/>
            </w:tcMar>
          </w:tcPr>
          <w:p ns2:paraId="52FE5F65" ns2:textId="77777777" w:rsidR="00961C7F" w:rsidRDefault="008A042F">
            <w:pPr>
              <w:spacing w:after="0" w:line="240" w:lineRule="auto"/>
              <w:rPr>
                <w:rFonts w:eastAsia="MS Mincho"/>
              </w:rPr>
            </w:pPr>
            <w:r>
              <w:rPr>
                <w:rFonts w:ascii="Times New Roman" w:eastAsia="Times New Roman" w:hAnsi="Times New Roman"/>
                <w:sz w:val="18"/>
                <w:szCs w:val="20"/>
              </w:rPr>
              <w:t>Eurostat nama_10_gdp</w:t>
            </w:r>
          </w:p>
        </w:tc>
      </w:tr>
    </w:tbl>
    <w:p ns2:paraId="75FEEE80" ns2:textId="77777777" w:rsidR="006F3032" w:rsidRDefault="006F3032">
      <w:pPr>
        <w:spacing w:after="0" w:line="240" w:lineRule="auto"/>
      </w:pPr>
    </w:p>
    <w:p ns2:paraId="5010A933" ns2:textId="77777777" w:rsidR="00961C7F" w:rsidRPr="0038122C" w:rsidRDefault="008A042F" w:rsidP="0038122C">
      <w:pPr>
        <w:spacing w:before="120" w:after="80"/>
        <w:jc w:val="center"/>
        <w:rPr>
          <w:b/>
          <w:i/>
          <w:iCs/>
        </w:rPr>
      </w:pPr>
      <w:r>
        <w:rPr>
          <w:rFonts w:eastAsia="Times New Roman"/>
          <w:b/>
          <w:i/>
          <w:iCs/>
        </w:rPr>
        <w:t>Table 5. Descriptive statistics for core HSRate regression samples.</w:t>
      </w:r>
    </w:p>
    <w:p ns2:paraId="2A37D761" ns2:textId="77777777" w:rsidR="00943825" w:rsidRPr="00943825" w:rsidRDefault="00943825" w:rsidP="00943825">
      <w:pPr>
        <w:spacing w:before="120" w:after="60"/>
        <w:rPr>
          <w:bCs/>
          <w:iCs/>
        </w:rPr>
      </w:pPr>
      <w:r>
        <w:rPr>
          <w:rFonts w:ascii="Times New Roman" w:eastAsia="Times New Roman" w:hAnsi="Times New Roman"/>
          <w:sz w:val="21"/>
        </w:rPr>
        <w:t>Panel A: Aggregate sample (G = 30 destinations)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93"/>
        <w:gridCol w:w="1338"/>
        <w:gridCol w:w="1416"/>
        <w:gridCol w:w="1430"/>
        <w:gridCol w:w="1429"/>
        <w:gridCol w:w="1420"/>
      </w:tblGrid>
      <w:tr w:rsidR="00961C7F" ns2:paraId="62E3C26B" ns2:textId="77777777" w:rsidTr="002225A5">
        <w:trPr>
          <w:cantSplit/>
          <w:tblHeader/>
          <w:jc w:val="center"/>
        </w:trPr>
        <w:tc>
          <w:tcPr>
            <w:tcW w:w="1993" w:type="dxa"/>
            <w:tcBorders>
              <w:top w:val="single" w:sz="12" w:space="0" w:color="000000"/>
              <w:left w:val="nil"/>
              <w:bottom w:val="single" w:sz="8" w:space="0" w:color="000000"/>
              <w:right w:val="nil"/>
            </w:tcBorders>
            <w:tcMar>
              <w:top w:w="70" w:type="dxa"/>
              <w:left w:w="70" w:type="dxa"/>
              <w:bottom w:w="70" w:type="dxa"/>
              <w:right w:w="70" w:type="dxa"/>
            </w:tcMar>
          </w:tcPr>
          <w:p ns2:paraId="3B4E7383" ns2:textId="77777777" w:rsidR="00961C7F" w:rsidRDefault="008A042F">
            <w:pPr>
              <w:spacing w:after="0" w:line="240" w:lineRule="auto"/>
              <w:rPr>
                <w:rFonts w:eastAsia="MS Mincho"/>
              </w:rPr>
            </w:pPr>
            <w:r>
              <w:rPr>
                <w:rFonts w:ascii="Times New Roman" w:eastAsia="Times New Roman" w:hAnsi="Times New Roman"/>
                <w:b/>
                <w:sz w:val="20"/>
                <w:szCs w:val="20"/>
              </w:rPr>
              <w:t>Variable</w:t>
            </w:r>
          </w:p>
        </w:tc>
        <w:tc>
          <w:tcPr>
            <w:tcW w:w="1338" w:type="dxa"/>
            <w:tcBorders>
              <w:top w:val="single" w:sz="12" w:space="0" w:color="000000"/>
              <w:left w:val="nil"/>
              <w:bottom w:val="single" w:sz="8" w:space="0" w:color="000000"/>
              <w:right w:val="nil"/>
            </w:tcBorders>
            <w:tcMar>
              <w:top w:w="70" w:type="dxa"/>
              <w:left w:w="70" w:type="dxa"/>
              <w:bottom w:w="70" w:type="dxa"/>
              <w:right w:w="70" w:type="dxa"/>
            </w:tcMar>
          </w:tcPr>
          <w:p ns2:paraId="4BB2492C" ns2:textId="77777777" w:rsidR="00961C7F" w:rsidRDefault="008A042F">
            <w:pPr>
              <w:spacing w:after="0" w:line="240" w:lineRule="auto"/>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ns2:paraId="11ADFBFF" ns2:textId="77777777" w:rsidR="00961C7F" w:rsidRDefault="008A042F">
            <w:pPr>
              <w:spacing w:after="0" w:line="240" w:lineRule="auto"/>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ns2:paraId="5AA92566" ns2:textId="77777777" w:rsidR="00961C7F" w:rsidRDefault="008A042F">
            <w:pPr>
              <w:spacing w:after="0" w:line="240" w:lineRule="auto"/>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ns2:paraId="260CAA00" ns2:textId="77777777" w:rsidR="00961C7F" w:rsidRDefault="008A042F">
            <w:pPr>
              <w:spacing w:after="0" w:line="240" w:lineRule="auto"/>
              <w:rPr>
                <w:rFonts w:eastAsia="MS Mincho"/>
              </w:rPr>
            </w:pPr>
            <w:r>
              <w:rPr>
                <w:rFonts w:ascii="Times New Roman" w:eastAsia="Times New Roman" w:hAnsi="Times New Roman"/>
                <w:b/>
                <w:sz w:val="20"/>
                <w:szCs w:val="20"/>
              </w:rPr>
              <w:t>Max</w:t>
            </w:r>
          </w:p>
        </w:tc>
        <w:tc>
          <w:tcPr>
            <w:tcW w:w="1420" w:type="dxa"/>
            <w:tcBorders>
              <w:top w:val="single" w:sz="12" w:space="0" w:color="000000"/>
              <w:left w:val="nil"/>
              <w:bottom w:val="single" w:sz="8" w:space="0" w:color="000000"/>
              <w:right w:val="nil"/>
            </w:tcBorders>
            <w:tcMar>
              <w:top w:w="70" w:type="dxa"/>
              <w:left w:w="70" w:type="dxa"/>
              <w:bottom w:w="70" w:type="dxa"/>
              <w:right w:w="70" w:type="dxa"/>
            </w:tcMar>
          </w:tcPr>
          <w:p ns2:paraId="4EE283B6" ns2:textId="77777777" w:rsidR="00961C7F" w:rsidRDefault="008A042F">
            <w:pPr>
              <w:spacing w:after="0" w:line="240" w:lineRule="auto"/>
              <w:rPr>
                <w:rFonts w:eastAsia="MS Mincho"/>
              </w:rPr>
            </w:pPr>
            <w:r>
              <w:rPr>
                <w:rFonts w:ascii="Times New Roman" w:eastAsia="Times New Roman" w:hAnsi="Times New Roman"/>
                <w:b/>
                <w:sz w:val="20"/>
                <w:szCs w:val="20"/>
              </w:rPr>
              <w:t>N</w:t>
            </w:r>
          </w:p>
        </w:tc>
      </w:tr>
      <w:tr w:rsidR="00961C7F" ns2:paraId="4FF223BD" ns2: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ns2:paraId="56A672E3" ns2:textId="77777777" w:rsidR="00961C7F" w:rsidRDefault="008A042F">
            <w:pPr>
              <w:spacing w:after="0" w:line="240" w:lineRule="auto"/>
              <w:rPr>
                <w:rFonts w:eastAsia="MS Mincho"/>
              </w:rPr>
            </w:pPr>
            <w:r>
              <w:rPr>
                <w:rFonts w:ascii="Times New Roman" w:eastAsia="Times New Roman" w:hAnsi="Times New Roman"/>
                <w:sz w:val="20"/>
                <w:szCs w:val="20"/>
              </w:rPr>
              <w:t>High-skilled permit share</w:t>
            </w:r>
          </w:p>
        </w:tc>
        <w:tc>
          <w:tcPr>
            <w:tcW w:w="1338" w:type="dxa"/>
            <w:tcBorders>
              <w:top w:val="nil"/>
              <w:left w:val="nil"/>
              <w:bottom w:val="nil"/>
              <w:right w:val="nil"/>
            </w:tcBorders>
            <w:tcMar>
              <w:top w:w="70" w:type="dxa"/>
              <w:left w:w="70" w:type="dxa"/>
              <w:bottom w:w="70" w:type="dxa"/>
              <w:right w:w="70" w:type="dxa"/>
            </w:tcMar>
          </w:tcPr>
          <w:p ns2:paraId="4A925D82" ns2:textId="77777777" w:rsidR="00961C7F" w:rsidRDefault="008A042F">
            <w:pPr>
              <w:spacing w:after="0" w:line="240" w:lineRule="auto"/>
              <w:jc w:val="right"/>
              <w:rPr>
                <w:rFonts w:eastAsia="MS Mincho"/>
              </w:rPr>
            </w:pPr>
            <w:r>
              <w:rPr>
                <w:rFonts w:ascii="Times New Roman" w:eastAsia="Times New Roman" w:hAnsi="Times New Roman"/>
                <w:sz w:val="20"/>
                <w:szCs w:val="20"/>
              </w:rPr>
              <w:t>0.175</w:t>
            </w:r>
          </w:p>
        </w:tc>
        <w:tc>
          <w:tcPr>
            <w:tcW w:w="1416" w:type="dxa"/>
            <w:tcBorders>
              <w:top w:val="nil"/>
              <w:left w:val="nil"/>
              <w:bottom w:val="nil"/>
              <w:right w:val="nil"/>
            </w:tcBorders>
            <w:tcMar>
              <w:top w:w="70" w:type="dxa"/>
              <w:left w:w="70" w:type="dxa"/>
              <w:bottom w:w="70" w:type="dxa"/>
              <w:right w:w="70" w:type="dxa"/>
            </w:tcMar>
          </w:tcPr>
          <w:p ns2:paraId="6C1A2568" ns2:textId="77777777" w:rsidR="00961C7F" w:rsidRDefault="008A042F">
            <w:pPr>
              <w:spacing w:after="0" w:line="240" w:lineRule="auto"/>
              <w:jc w:val="right"/>
              <w:rPr>
                <w:rFonts w:eastAsia="MS Mincho"/>
              </w:rPr>
            </w:pPr>
            <w:r>
              <w:rPr>
                <w:rFonts w:ascii="Times New Roman" w:eastAsia="Times New Roman" w:hAnsi="Times New Roman"/>
                <w:sz w:val="20"/>
                <w:szCs w:val="20"/>
              </w:rPr>
              <w:t>0.237</w:t>
            </w:r>
          </w:p>
        </w:tc>
        <w:tc>
          <w:tcPr>
            <w:tcW w:w="1430" w:type="dxa"/>
            <w:tcBorders>
              <w:top w:val="nil"/>
              <w:left w:val="nil"/>
              <w:bottom w:val="nil"/>
              <w:right w:val="nil"/>
            </w:tcBorders>
            <w:tcMar>
              <w:top w:w="70" w:type="dxa"/>
              <w:left w:w="70" w:type="dxa"/>
              <w:bottom w:w="70" w:type="dxa"/>
              <w:right w:w="70" w:type="dxa"/>
            </w:tcMar>
          </w:tcPr>
          <w:p ns2:paraId="4219F72D" ns2:textId="77777777" w:rsidR="00961C7F" w:rsidRDefault="008A042F">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ns2:paraId="792C3E81" ns2:textId="77777777" w:rsidR="00961C7F" w:rsidRDefault="008A042F">
            <w:pPr>
              <w:spacing w:after="0" w:line="240" w:lineRule="auto"/>
              <w:jc w:val="right"/>
              <w:rPr>
                <w:rFonts w:eastAsia="MS Mincho"/>
              </w:rPr>
            </w:pPr>
            <w:r>
              <w:rPr>
                <w:rFonts w:ascii="Times New Roman" w:eastAsia="Times New Roman" w:hAnsi="Times New Roman"/>
                <w:sz w:val="20"/>
                <w:szCs w:val="20"/>
              </w:rPr>
              <w:t>0.996</w:t>
            </w:r>
          </w:p>
        </w:tc>
        <w:tc>
          <w:tcPr>
            <w:tcW w:w="1420" w:type="dxa"/>
            <w:tcBorders>
              <w:top w:val="nil"/>
              <w:left w:val="nil"/>
              <w:bottom w:val="nil"/>
              <w:right w:val="nil"/>
            </w:tcBorders>
            <w:tcMar>
              <w:top w:w="70" w:type="dxa"/>
              <w:left w:w="70" w:type="dxa"/>
              <w:bottom w:w="70" w:type="dxa"/>
              <w:right w:w="70" w:type="dxa"/>
            </w:tcMar>
          </w:tcPr>
          <w:p ns2:paraId="3166CDCE"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ns2:paraId="283EFFE7" ns2: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ns2:paraId="1751E394" ns2:textId="77777777" w:rsidR="00961C7F" w:rsidRDefault="008A042F">
            <w:pPr>
              <w:spacing w:after="0" w:line="240" w:lineRule="auto"/>
              <w:rPr>
                <w:rFonts w:eastAsia="MS Mincho"/>
              </w:rPr>
            </w:pPr>
            <w:r>
              <w:rPr>
                <w:rFonts w:ascii="Times New Roman" w:eastAsia="Times New Roman" w:hAnsi="Times New Roman"/>
                <w:sz w:val="20"/>
                <w:szCs w:val="20"/>
              </w:rPr>
              <w:t>Lagged all-migrant-worker policy score</w:t>
            </w:r>
          </w:p>
        </w:tc>
        <w:tc>
          <w:tcPr>
            <w:tcW w:w="1338" w:type="dxa"/>
            <w:tcBorders>
              <w:top w:val="nil"/>
              <w:left w:val="nil"/>
              <w:bottom w:val="nil"/>
              <w:right w:val="nil"/>
            </w:tcBorders>
            <w:tcMar>
              <w:top w:w="70" w:type="dxa"/>
              <w:left w:w="70" w:type="dxa"/>
              <w:bottom w:w="70" w:type="dxa"/>
              <w:right w:w="70" w:type="dxa"/>
            </w:tcMar>
          </w:tcPr>
          <w:p ns2:paraId="3B94570B" ns2:textId="77777777" w:rsidR="00961C7F" w:rsidRDefault="008A042F">
            <w:pPr>
              <w:spacing w:after="0" w:line="240" w:lineRule="auto"/>
              <w:jc w:val="right"/>
              <w:rPr>
                <w:rFonts w:eastAsia="MS Mincho"/>
              </w:rPr>
            </w:pPr>
            <w:r>
              <w:rPr>
                <w:rFonts w:ascii="Times New Roman" w:eastAsia="Times New Roman" w:hAnsi="Times New Roman"/>
                <w:sz w:val="20"/>
                <w:szCs w:val="20"/>
              </w:rPr>
              <w:t>-0.914</w:t>
            </w:r>
          </w:p>
        </w:tc>
        <w:tc>
          <w:tcPr>
            <w:tcW w:w="1416" w:type="dxa"/>
            <w:tcBorders>
              <w:top w:val="nil"/>
              <w:left w:val="nil"/>
              <w:bottom w:val="nil"/>
              <w:right w:val="nil"/>
            </w:tcBorders>
            <w:tcMar>
              <w:top w:w="70" w:type="dxa"/>
              <w:left w:w="70" w:type="dxa"/>
              <w:bottom w:w="70" w:type="dxa"/>
              <w:right w:w="70" w:type="dxa"/>
            </w:tcMar>
          </w:tcPr>
          <w:p ns2:paraId="44DC1644" ns2:textId="77777777" w:rsidR="00961C7F" w:rsidRDefault="008A042F">
            <w:pPr>
              <w:spacing w:after="0" w:line="240" w:lineRule="auto"/>
              <w:jc w:val="right"/>
              <w:rPr>
                <w:rFonts w:eastAsia="MS Mincho"/>
              </w:rPr>
            </w:pPr>
            <w:r>
              <w:rPr>
                <w:rFonts w:ascii="Times New Roman" w:eastAsia="Times New Roman" w:hAnsi="Times New Roman"/>
                <w:sz w:val="20"/>
                <w:szCs w:val="20"/>
              </w:rPr>
              <w:t>4.284</w:t>
            </w:r>
          </w:p>
        </w:tc>
        <w:tc>
          <w:tcPr>
            <w:tcW w:w="1430" w:type="dxa"/>
            <w:tcBorders>
              <w:top w:val="nil"/>
              <w:left w:val="nil"/>
              <w:bottom w:val="nil"/>
              <w:right w:val="nil"/>
            </w:tcBorders>
            <w:tcMar>
              <w:top w:w="70" w:type="dxa"/>
              <w:left w:w="70" w:type="dxa"/>
              <w:bottom w:w="70" w:type="dxa"/>
              <w:right w:w="70" w:type="dxa"/>
            </w:tcMar>
          </w:tcPr>
          <w:p ns2:paraId="4A4EFD4D" ns2:textId="77777777" w:rsidR="00961C7F" w:rsidRDefault="008A042F">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ns2:paraId="53586191" ns2:textId="77777777" w:rsidR="00961C7F" w:rsidRDefault="008A042F">
            <w:pPr>
              <w:spacing w:after="0" w:line="240" w:lineRule="auto"/>
              <w:jc w:val="right"/>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ns2:paraId="00A3D56A"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ns2:paraId="7E92F32B" ns2: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ns2:paraId="13EC03D5" ns2:textId="77777777" w:rsidR="00961C7F" w:rsidRDefault="008A042F">
            <w:pPr>
              <w:spacing w:after="0" w:line="240" w:lineRule="auto"/>
              <w:rPr>
                <w:rFonts w:eastAsia="MS Mincho"/>
              </w:rPr>
            </w:pPr>
            <w:r>
              <w:rPr>
                <w:rFonts w:ascii="Times New Roman" w:eastAsia="Times New Roman" w:hAnsi="Times New Roman"/>
                <w:sz w:val="20"/>
                <w:szCs w:val="20"/>
              </w:rPr>
              <w:t>Lagged annual all-migrant-worker policy flow</w:t>
            </w:r>
          </w:p>
        </w:tc>
        <w:tc>
          <w:tcPr>
            <w:tcW w:w="1338" w:type="dxa"/>
            <w:tcBorders>
              <w:top w:val="nil"/>
              <w:left w:val="nil"/>
              <w:bottom w:val="nil"/>
              <w:right w:val="nil"/>
            </w:tcBorders>
            <w:tcMar>
              <w:top w:w="70" w:type="dxa"/>
              <w:left w:w="70" w:type="dxa"/>
              <w:bottom w:w="70" w:type="dxa"/>
              <w:right w:w="70" w:type="dxa"/>
            </w:tcMar>
          </w:tcPr>
          <w:p ns2:paraId="605BC939" ns2:textId="77777777" w:rsidR="00961C7F" w:rsidRDefault="008A042F">
            <w:pPr>
              <w:spacing w:after="0" w:line="240" w:lineRule="auto"/>
              <w:jc w:val="right"/>
              <w:rPr>
                <w:rFonts w:eastAsia="MS Mincho"/>
              </w:rPr>
            </w:pPr>
            <w:r>
              <w:rPr>
                <w:rFonts w:ascii="Times New Roman" w:eastAsia="Times New Roman" w:hAnsi="Times New Roman"/>
                <w:sz w:val="20"/>
                <w:szCs w:val="20"/>
              </w:rPr>
              <w:t>-0.279</w:t>
            </w:r>
          </w:p>
        </w:tc>
        <w:tc>
          <w:tcPr>
            <w:tcW w:w="1416" w:type="dxa"/>
            <w:tcBorders>
              <w:top w:val="nil"/>
              <w:left w:val="nil"/>
              <w:bottom w:val="nil"/>
              <w:right w:val="nil"/>
            </w:tcBorders>
            <w:tcMar>
              <w:top w:w="70" w:type="dxa"/>
              <w:left w:w="70" w:type="dxa"/>
              <w:bottom w:w="70" w:type="dxa"/>
              <w:right w:w="70" w:type="dxa"/>
            </w:tcMar>
          </w:tcPr>
          <w:p ns2:paraId="3C4372CD" ns2:textId="77777777" w:rsidR="00961C7F" w:rsidRDefault="008A042F">
            <w:pPr>
              <w:spacing w:after="0" w:line="240" w:lineRule="auto"/>
              <w:jc w:val="right"/>
              <w:rPr>
                <w:rFonts w:eastAsia="MS Mincho"/>
              </w:rPr>
            </w:pPr>
            <w:r>
              <w:rPr>
                <w:rFonts w:ascii="Times New Roman" w:eastAsia="Times New Roman" w:hAnsi="Times New Roman"/>
                <w:sz w:val="20"/>
                <w:szCs w:val="20"/>
              </w:rPr>
              <w:t>1.946</w:t>
            </w:r>
          </w:p>
        </w:tc>
        <w:tc>
          <w:tcPr>
            <w:tcW w:w="1430" w:type="dxa"/>
            <w:tcBorders>
              <w:top w:val="nil"/>
              <w:left w:val="nil"/>
              <w:bottom w:val="nil"/>
              <w:right w:val="nil"/>
            </w:tcBorders>
            <w:tcMar>
              <w:top w:w="70" w:type="dxa"/>
              <w:left w:w="70" w:type="dxa"/>
              <w:bottom w:w="70" w:type="dxa"/>
              <w:right w:w="70" w:type="dxa"/>
            </w:tcMar>
          </w:tcPr>
          <w:p ns2:paraId="0297F19A" ns2:textId="77777777" w:rsidR="00961C7F" w:rsidRDefault="008A042F">
            <w:pPr>
              <w:spacing w:after="0" w:line="240" w:lineRule="auto"/>
              <w:jc w:val="right"/>
              <w:rPr>
                <w:rFonts w:eastAsia="MS Mincho"/>
              </w:rPr>
            </w:pPr>
            <w:r>
              <w:rPr>
                <w:rFonts w:ascii="Times New Roman" w:eastAsia="Times New Roman" w:hAnsi="Times New Roman"/>
                <w:sz w:val="20"/>
                <w:szCs w:val="20"/>
              </w:rPr>
              <w:t>-10.000</w:t>
            </w:r>
          </w:p>
        </w:tc>
        <w:tc>
          <w:tcPr>
            <w:tcW w:w="1429" w:type="dxa"/>
            <w:tcBorders>
              <w:top w:val="nil"/>
              <w:left w:val="nil"/>
              <w:bottom w:val="nil"/>
              <w:right w:val="nil"/>
            </w:tcBorders>
            <w:tcMar>
              <w:top w:w="70" w:type="dxa"/>
              <w:left w:w="70" w:type="dxa"/>
              <w:bottom w:w="70" w:type="dxa"/>
              <w:right w:w="70" w:type="dxa"/>
            </w:tcMar>
          </w:tcPr>
          <w:p ns2:paraId="1A1C4D3B" ns2:textId="77777777" w:rsidR="00961C7F" w:rsidRDefault="008A042F">
            <w:pPr>
              <w:spacing w:after="0" w:line="240" w:lineRule="auto"/>
              <w:jc w:val="right"/>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ns2:paraId="4ACB9153"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ns2:paraId="05C40BF7" ns2: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ns2:paraId="6687A68A" ns2:textId="77777777" w:rsidR="00961C7F" w:rsidRDefault="008A042F">
            <w:pPr>
              <w:spacing w:after="0" w:line="240" w:lineRule="auto"/>
              <w:rPr>
                <w:rFonts w:eastAsia="MS Mincho"/>
              </w:rPr>
            </w:pPr>
            <w:r>
              <w:rPr>
                <w:rFonts w:ascii="Times New Roman" w:eastAsia="Times New Roman" w:hAnsi="Times New Roman"/>
                <w:sz w:val="20"/>
                <w:szCs w:val="20"/>
              </w:rPr>
              <w:t>Lagged destination permit scale</w:t>
            </w:r>
          </w:p>
        </w:tc>
        <w:tc>
          <w:tcPr>
            <w:tcW w:w="1338" w:type="dxa"/>
            <w:tcBorders>
              <w:top w:val="nil"/>
              <w:left w:val="nil"/>
              <w:bottom w:val="nil"/>
              <w:right w:val="nil"/>
            </w:tcBorders>
            <w:tcMar>
              <w:top w:w="70" w:type="dxa"/>
              <w:left w:w="70" w:type="dxa"/>
              <w:bottom w:w="70" w:type="dxa"/>
              <w:right w:w="70" w:type="dxa"/>
            </w:tcMar>
          </w:tcPr>
          <w:p ns2:paraId="7D0CE7F4" ns2:textId="77777777" w:rsidR="00961C7F" w:rsidRDefault="008A042F">
            <w:pPr>
              <w:spacing w:after="0" w:line="240" w:lineRule="auto"/>
              <w:jc w:val="right"/>
              <w:rPr>
                <w:rFonts w:eastAsia="MS Mincho"/>
              </w:rPr>
            </w:pPr>
            <w:r>
              <w:rPr>
                <w:rFonts w:ascii="Times New Roman" w:eastAsia="Times New Roman" w:hAnsi="Times New Roman"/>
                <w:sz w:val="20"/>
                <w:szCs w:val="20"/>
              </w:rPr>
              <w:t>7.818</w:t>
            </w:r>
          </w:p>
        </w:tc>
        <w:tc>
          <w:tcPr>
            <w:tcW w:w="1416" w:type="dxa"/>
            <w:tcBorders>
              <w:top w:val="nil"/>
              <w:left w:val="nil"/>
              <w:bottom w:val="nil"/>
              <w:right w:val="nil"/>
            </w:tcBorders>
            <w:tcMar>
              <w:top w:w="70" w:type="dxa"/>
              <w:left w:w="70" w:type="dxa"/>
              <w:bottom w:w="70" w:type="dxa"/>
              <w:right w:w="70" w:type="dxa"/>
            </w:tcMar>
          </w:tcPr>
          <w:p ns2:paraId="732B6416" ns2:textId="77777777" w:rsidR="00961C7F" w:rsidRDefault="008A042F">
            <w:pPr>
              <w:spacing w:after="0" w:line="240" w:lineRule="auto"/>
              <w:jc w:val="right"/>
              <w:rPr>
                <w:rFonts w:eastAsia="MS Mincho"/>
              </w:rPr>
            </w:pPr>
            <w:r>
              <w:rPr>
                <w:rFonts w:ascii="Times New Roman" w:eastAsia="Times New Roman" w:hAnsi="Times New Roman"/>
                <w:sz w:val="20"/>
                <w:szCs w:val="20"/>
              </w:rPr>
              <w:t>1.831</w:t>
            </w:r>
          </w:p>
        </w:tc>
        <w:tc>
          <w:tcPr>
            <w:tcW w:w="1430" w:type="dxa"/>
            <w:tcBorders>
              <w:top w:val="nil"/>
              <w:left w:val="nil"/>
              <w:bottom w:val="nil"/>
              <w:right w:val="nil"/>
            </w:tcBorders>
            <w:tcMar>
              <w:top w:w="70" w:type="dxa"/>
              <w:left w:w="70" w:type="dxa"/>
              <w:bottom w:w="70" w:type="dxa"/>
              <w:right w:w="70" w:type="dxa"/>
            </w:tcMar>
          </w:tcPr>
          <w:p ns2:paraId="62ABA823" ns2:textId="77777777" w:rsidR="00961C7F" w:rsidRDefault="008A042F">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ns2:paraId="6E5E2233" ns2:textId="77777777" w:rsidR="00961C7F" w:rsidRDefault="008A042F">
            <w:pPr>
              <w:spacing w:after="0" w:line="240" w:lineRule="auto"/>
              <w:jc w:val="right"/>
              <w:rPr>
                <w:rFonts w:eastAsia="MS Mincho"/>
              </w:rPr>
            </w:pPr>
            <w:r>
              <w:rPr>
                <w:rFonts w:ascii="Times New Roman" w:eastAsia="Times New Roman" w:hAnsi="Times New Roman"/>
                <w:sz w:val="20"/>
                <w:szCs w:val="20"/>
              </w:rPr>
              <w:t>12.186</w:t>
            </w:r>
          </w:p>
        </w:tc>
        <w:tc>
          <w:tcPr>
            <w:tcW w:w="1420" w:type="dxa"/>
            <w:tcBorders>
              <w:top w:val="nil"/>
              <w:left w:val="nil"/>
              <w:bottom w:val="nil"/>
              <w:right w:val="nil"/>
            </w:tcBorders>
            <w:tcMar>
              <w:top w:w="70" w:type="dxa"/>
              <w:left w:w="70" w:type="dxa"/>
              <w:bottom w:w="70" w:type="dxa"/>
              <w:right w:w="70" w:type="dxa"/>
            </w:tcMar>
          </w:tcPr>
          <w:p ns2:paraId="2C52F66A"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ns2:paraId="78E61C8B" ns2: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ns2:paraId="4D0BB2D5" ns2:textId="77777777" w:rsidR="00961C7F" w:rsidRDefault="008A042F">
            <w:pPr>
              <w:spacing w:after="0" w:line="240" w:lineRule="auto"/>
              <w:rPr>
                <w:rFonts w:eastAsia="MS Mincho"/>
              </w:rPr>
            </w:pPr>
            <w:r>
              <w:rPr>
                <w:rFonts w:ascii="Times New Roman" w:eastAsia="Times New Roman" w:hAnsi="Times New Roman"/>
                <w:sz w:val="20"/>
                <w:szCs w:val="20"/>
              </w:rPr>
              <w:t>Lagged destination log unemployment</w:t>
            </w:r>
          </w:p>
        </w:tc>
        <w:tc>
          <w:tcPr>
            <w:tcW w:w="1338" w:type="dxa"/>
            <w:tcBorders>
              <w:top w:val="nil"/>
              <w:left w:val="nil"/>
              <w:bottom w:val="nil"/>
              <w:right w:val="nil"/>
            </w:tcBorders>
            <w:tcMar>
              <w:top w:w="70" w:type="dxa"/>
              <w:left w:w="70" w:type="dxa"/>
              <w:bottom w:w="70" w:type="dxa"/>
              <w:right w:w="70" w:type="dxa"/>
            </w:tcMar>
          </w:tcPr>
          <w:p ns2:paraId="54D886BF" ns2:textId="77777777" w:rsidR="00961C7F" w:rsidRDefault="008A042F">
            <w:pPr>
              <w:spacing w:after="0" w:line="240" w:lineRule="auto"/>
              <w:jc w:val="right"/>
              <w:rPr>
                <w:rFonts w:eastAsia="MS Mincho"/>
              </w:rPr>
            </w:pPr>
            <w:r>
              <w:rPr>
                <w:rFonts w:ascii="Times New Roman" w:eastAsia="Times New Roman" w:hAnsi="Times New Roman"/>
                <w:sz w:val="20"/>
                <w:szCs w:val="20"/>
              </w:rPr>
              <w:t>2.113</w:t>
            </w:r>
          </w:p>
        </w:tc>
        <w:tc>
          <w:tcPr>
            <w:tcW w:w="1416" w:type="dxa"/>
            <w:tcBorders>
              <w:top w:val="nil"/>
              <w:left w:val="nil"/>
              <w:bottom w:val="nil"/>
              <w:right w:val="nil"/>
            </w:tcBorders>
            <w:tcMar>
              <w:top w:w="70" w:type="dxa"/>
              <w:left w:w="70" w:type="dxa"/>
              <w:bottom w:w="70" w:type="dxa"/>
              <w:right w:w="70" w:type="dxa"/>
            </w:tcMar>
          </w:tcPr>
          <w:p ns2:paraId="11B62069" ns2:textId="77777777" w:rsidR="00961C7F" w:rsidRDefault="008A042F">
            <w:pPr>
              <w:spacing w:after="0" w:line="240" w:lineRule="auto"/>
              <w:jc w:val="right"/>
              <w:rPr>
                <w:rFonts w:eastAsia="MS Mincho"/>
              </w:rPr>
            </w:pPr>
            <w:r>
              <w:rPr>
                <w:rFonts w:ascii="Times New Roman" w:eastAsia="Times New Roman" w:hAnsi="Times New Roman"/>
                <w:sz w:val="20"/>
                <w:szCs w:val="20"/>
              </w:rPr>
              <w:t>0.480</w:t>
            </w:r>
          </w:p>
        </w:tc>
        <w:tc>
          <w:tcPr>
            <w:tcW w:w="1430" w:type="dxa"/>
            <w:tcBorders>
              <w:top w:val="nil"/>
              <w:left w:val="nil"/>
              <w:bottom w:val="nil"/>
              <w:right w:val="nil"/>
            </w:tcBorders>
            <w:tcMar>
              <w:top w:w="70" w:type="dxa"/>
              <w:left w:w="70" w:type="dxa"/>
              <w:bottom w:w="70" w:type="dxa"/>
              <w:right w:w="70" w:type="dxa"/>
            </w:tcMar>
          </w:tcPr>
          <w:p ns2:paraId="13061984" ns2:textId="77777777" w:rsidR="00961C7F" w:rsidRDefault="008A042F">
            <w:pPr>
              <w:spacing w:after="0" w:line="240" w:lineRule="auto"/>
              <w:jc w:val="right"/>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ns2:paraId="6C0D875C" ns2:textId="77777777" w:rsidR="00961C7F" w:rsidRDefault="008A042F">
            <w:pPr>
              <w:spacing w:after="0" w:line="240" w:lineRule="auto"/>
              <w:jc w:val="right"/>
              <w:rPr>
                <w:rFonts w:eastAsia="MS Mincho"/>
              </w:rPr>
            </w:pPr>
            <w:r>
              <w:rPr>
                <w:rFonts w:ascii="Times New Roman" w:eastAsia="Times New Roman" w:hAnsi="Times New Roman"/>
                <w:sz w:val="20"/>
                <w:szCs w:val="20"/>
              </w:rPr>
              <w:t>3.325</w:t>
            </w:r>
          </w:p>
        </w:tc>
        <w:tc>
          <w:tcPr>
            <w:tcW w:w="1420" w:type="dxa"/>
            <w:tcBorders>
              <w:top w:val="nil"/>
              <w:left w:val="nil"/>
              <w:bottom w:val="nil"/>
              <w:right w:val="nil"/>
            </w:tcBorders>
            <w:tcMar>
              <w:top w:w="70" w:type="dxa"/>
              <w:left w:w="70" w:type="dxa"/>
              <w:bottom w:w="70" w:type="dxa"/>
              <w:right w:w="70" w:type="dxa"/>
            </w:tcMar>
          </w:tcPr>
          <w:p ns2:paraId="5E0ECD48"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ns2:paraId="5BE531C9" ns2:textId="77777777" w:rsidTr="002225A5">
        <w:trPr>
          <w:cantSplit/>
          <w:jc w:val="center"/>
        </w:trPr>
        <w:tc>
          <w:tcPr>
            <w:tcW w:w="1993" w:type="dxa"/>
            <w:tcBorders>
              <w:top w:val="nil"/>
              <w:left w:val="nil"/>
              <w:bottom w:val="single" w:sz="12" w:space="0" w:color="000000"/>
              <w:right w:val="nil"/>
            </w:tcBorders>
            <w:tcMar>
              <w:top w:w="70" w:type="dxa"/>
              <w:left w:w="70" w:type="dxa"/>
              <w:bottom w:w="70" w:type="dxa"/>
              <w:right w:w="70" w:type="dxa"/>
            </w:tcMar>
          </w:tcPr>
          <w:p ns2:paraId="2EE1F516" ns2:textId="77777777" w:rsidR="00961C7F" w:rsidRDefault="008A042F">
            <w:pPr>
              <w:spacing w:after="0" w:line="240" w:lineRule="auto"/>
              <w:rPr>
                <w:rFonts w:eastAsia="MS Mincho"/>
              </w:rPr>
            </w:pPr>
            <w:r>
              <w:rPr>
                <w:rFonts w:ascii="Times New Roman" w:eastAsia="Times New Roman" w:hAnsi="Times New Roman"/>
                <w:sz w:val="20"/>
                <w:szCs w:val="20"/>
              </w:rPr>
              <w:t>Lagged destination real GDP growth</w:t>
            </w:r>
          </w:p>
        </w:tc>
        <w:tc>
          <w:tcPr>
            <w:tcW w:w="1338" w:type="dxa"/>
            <w:tcBorders>
              <w:top w:val="nil"/>
              <w:left w:val="nil"/>
              <w:bottom w:val="single" w:sz="12" w:space="0" w:color="000000"/>
              <w:right w:val="nil"/>
            </w:tcBorders>
            <w:tcMar>
              <w:top w:w="70" w:type="dxa"/>
              <w:left w:w="70" w:type="dxa"/>
              <w:bottom w:w="70" w:type="dxa"/>
              <w:right w:w="70" w:type="dxa"/>
            </w:tcMar>
          </w:tcPr>
          <w:p ns2:paraId="2D8418BF" ns2:textId="77777777" w:rsidR="00961C7F" w:rsidRDefault="008A042F">
            <w:pPr>
              <w:spacing w:after="0" w:line="240" w:lineRule="auto"/>
              <w:jc w:val="right"/>
              <w:rPr>
                <w:rFonts w:eastAsia="MS Mincho"/>
              </w:rPr>
            </w:pPr>
            <w:r>
              <w:rPr>
                <w:rFonts w:ascii="Times New Roman" w:eastAsia="Times New Roman" w:hAnsi="Times New Roman"/>
                <w:sz w:val="20"/>
                <w:szCs w:val="20"/>
              </w:rPr>
              <w:t>1.561</w:t>
            </w:r>
          </w:p>
        </w:tc>
        <w:tc>
          <w:tcPr>
            <w:tcW w:w="1416" w:type="dxa"/>
            <w:tcBorders>
              <w:top w:val="nil"/>
              <w:left w:val="nil"/>
              <w:bottom w:val="single" w:sz="12" w:space="0" w:color="000000"/>
              <w:right w:val="nil"/>
            </w:tcBorders>
            <w:tcMar>
              <w:top w:w="70" w:type="dxa"/>
              <w:left w:w="70" w:type="dxa"/>
              <w:bottom w:w="70" w:type="dxa"/>
              <w:right w:w="70" w:type="dxa"/>
            </w:tcMar>
          </w:tcPr>
          <w:p ns2:paraId="3FB6235D" ns2:textId="77777777" w:rsidR="00961C7F" w:rsidRDefault="008A042F">
            <w:pPr>
              <w:spacing w:after="0" w:line="240" w:lineRule="auto"/>
              <w:jc w:val="right"/>
              <w:rPr>
                <w:rFonts w:eastAsia="MS Mincho"/>
              </w:rPr>
            </w:pPr>
            <w:r>
              <w:rPr>
                <w:rFonts w:ascii="Times New Roman" w:eastAsia="Times New Roman" w:hAnsi="Times New Roman"/>
                <w:sz w:val="20"/>
                <w:szCs w:val="20"/>
              </w:rPr>
              <w:t>3.806</w:t>
            </w:r>
          </w:p>
        </w:tc>
        <w:tc>
          <w:tcPr>
            <w:tcW w:w="1430" w:type="dxa"/>
            <w:tcBorders>
              <w:top w:val="nil"/>
              <w:left w:val="nil"/>
              <w:bottom w:val="single" w:sz="12" w:space="0" w:color="000000"/>
              <w:right w:val="nil"/>
            </w:tcBorders>
            <w:tcMar>
              <w:top w:w="70" w:type="dxa"/>
              <w:left w:w="70" w:type="dxa"/>
              <w:bottom w:w="70" w:type="dxa"/>
              <w:right w:w="70" w:type="dxa"/>
            </w:tcMar>
          </w:tcPr>
          <w:p ns2:paraId="497787AB" ns2:textId="77777777" w:rsidR="00961C7F" w:rsidRDefault="008A042F">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ns2:paraId="099C7FA5" ns2:textId="77777777" w:rsidR="00961C7F" w:rsidRDefault="008A042F">
            <w:pPr>
              <w:spacing w:after="0" w:line="240" w:lineRule="auto"/>
              <w:jc w:val="right"/>
              <w:rPr>
                <w:rFonts w:eastAsia="MS Mincho"/>
              </w:rPr>
            </w:pPr>
            <w:r>
              <w:rPr>
                <w:rFonts w:ascii="Times New Roman" w:eastAsia="Times New Roman" w:hAnsi="Times New Roman"/>
                <w:sz w:val="20"/>
                <w:szCs w:val="20"/>
              </w:rPr>
              <w:t>24.600</w:t>
            </w:r>
          </w:p>
        </w:tc>
        <w:tc>
          <w:tcPr>
            <w:tcW w:w="1420" w:type="dxa"/>
            <w:tcBorders>
              <w:top w:val="nil"/>
              <w:left w:val="nil"/>
              <w:bottom w:val="single" w:sz="12" w:space="0" w:color="000000"/>
              <w:right w:val="nil"/>
            </w:tcBorders>
            <w:tcMar>
              <w:top w:w="70" w:type="dxa"/>
              <w:left w:w="70" w:type="dxa"/>
              <w:bottom w:w="70" w:type="dxa"/>
              <w:right w:w="70" w:type="dxa"/>
            </w:tcMar>
          </w:tcPr>
          <w:p ns2:paraId="53D98C38" ns2: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bl>
    <w:p ns2:paraId="02B3C603" ns2:textId="77777777" w:rsidR="009401EE" w:rsidRDefault="009401EE"/>
    <w:p ns2:paraId="45C01A56" ns2:textId="77777777" w:rsidR="00943825" w:rsidRDefault="00943825">
      <w:pPr>
        <w:spacing w:before="120" w:after="60"/>
      </w:pPr>
      <w:r>
        <w:rPr>
          <w:rFonts w:ascii="Times New Roman" w:eastAsia="Times New Roman" w:hAnsi="Times New Roman"/>
          <w:sz w:val="21"/>
        </w:rPr>
        <w:t>Panel B: Bilateral sample (G = 30 destinations, 122 origins)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0"/>
        <w:gridCol w:w="1429"/>
        <w:gridCol w:w="1419"/>
      </w:tblGrid>
      <w:tr w:rsidR="00943825" ns2:paraId="4784B307" ns2:textId="77777777">
        <w:trPr>
          <w:cantSplit/>
          <w:tblHeader/>
          <w:jc w:val="center"/>
        </w:trPr>
        <w:tc>
          <w:tcPr>
            <w:tcW w:w="1916" w:type="dxa"/>
            <w:tcBorders>
              <w:top w:val="single" w:sz="12" w:space="0" w:color="000000"/>
              <w:left w:val="nil"/>
              <w:bottom w:val="single" w:sz="8" w:space="0" w:color="000000"/>
              <w:right w:val="nil"/>
            </w:tcBorders>
            <w:tcMar>
              <w:top w:w="70" w:type="dxa"/>
              <w:left w:w="70" w:type="dxa"/>
              <w:bottom w:w="70" w:type="dxa"/>
              <w:right w:w="70" w:type="dxa"/>
            </w:tcMar>
          </w:tcPr>
          <w:p ns2:paraId="75BF2664" ns2:textId="77777777" w:rsidR="00943825" w:rsidRDefault="00943825" w:rsidP="00943825">
            <w:pPr>
              <w:spacing w:after="0" w:line="240" w:lineRule="auto"/>
              <w:rPr>
                <w:rFonts w:eastAsia="MS Mincho"/>
              </w:rPr>
            </w:pPr>
            <w:r>
              <w:rPr>
                <w:rFonts w:ascii="Times New Roman" w:eastAsia="Times New Roman" w:hAnsi="Times New Roman"/>
                <w:b/>
                <w:sz w:val="20"/>
                <w:szCs w:val="20"/>
              </w:rPr>
              <w:t>Variable</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ns2:paraId="4130B04E" ns2:textId="77777777" w:rsidR="00943825" w:rsidRDefault="00943825" w:rsidP="00943825">
            <w:pPr>
              <w:spacing w:after="0" w:line="240" w:lineRule="auto"/>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ns2:paraId="03E8826C" ns2:textId="77777777" w:rsidR="00943825" w:rsidRDefault="00943825" w:rsidP="00943825">
            <w:pPr>
              <w:spacing w:after="0" w:line="240" w:lineRule="auto"/>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ns2:paraId="09E013CC" ns2:textId="77777777" w:rsidR="00943825" w:rsidRDefault="00943825" w:rsidP="00943825">
            <w:pPr>
              <w:spacing w:after="0" w:line="240" w:lineRule="auto"/>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ns2:paraId="7464332D" ns2:textId="77777777" w:rsidR="00943825" w:rsidRDefault="00943825" w:rsidP="00943825">
            <w:pPr>
              <w:spacing w:after="0" w:line="240" w:lineRule="auto"/>
              <w:rPr>
                <w:rFonts w:eastAsia="MS Mincho"/>
              </w:rPr>
            </w:pPr>
            <w:r>
              <w:rPr>
                <w:rFonts w:ascii="Times New Roman" w:eastAsia="Times New Roman" w:hAnsi="Times New Roman"/>
                <w:b/>
                <w:sz w:val="20"/>
                <w:szCs w:val="20"/>
              </w:rPr>
              <w:t>Max</w:t>
            </w:r>
          </w:p>
        </w:tc>
        <w:tc>
          <w:tcPr>
            <w:tcW w:w="1419" w:type="dxa"/>
            <w:tcBorders>
              <w:top w:val="single" w:sz="12" w:space="0" w:color="000000"/>
              <w:left w:val="nil"/>
              <w:bottom w:val="single" w:sz="8" w:space="0" w:color="000000"/>
              <w:right w:val="nil"/>
            </w:tcBorders>
            <w:tcMar>
              <w:top w:w="70" w:type="dxa"/>
              <w:left w:w="70" w:type="dxa"/>
              <w:bottom w:w="70" w:type="dxa"/>
              <w:right w:w="70" w:type="dxa"/>
            </w:tcMar>
          </w:tcPr>
          <w:p ns2:paraId="430C3CC9" ns2:textId="77777777" w:rsidR="00943825" w:rsidRDefault="00943825" w:rsidP="00943825">
            <w:pPr>
              <w:spacing w:after="0" w:line="240" w:lineRule="auto"/>
              <w:rPr>
                <w:rFonts w:eastAsia="MS Mincho"/>
              </w:rPr>
            </w:pPr>
            <w:r>
              <w:rPr>
                <w:rFonts w:ascii="Times New Roman" w:eastAsia="Times New Roman" w:hAnsi="Times New Roman"/>
                <w:b/>
                <w:sz w:val="20"/>
                <w:szCs w:val="20"/>
              </w:rPr>
              <w:t>N</w:t>
            </w:r>
          </w:p>
        </w:tc>
      </w:tr>
      <w:tr w:rsidR="00943825" ns2:paraId="004ABD98"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48D4DC60" ns2:textId="77777777" w:rsidR="00943825" w:rsidRDefault="00943825" w:rsidP="00943825">
            <w:pPr>
              <w:spacing w:after="0" w:line="240" w:lineRule="auto"/>
              <w:rPr>
                <w:rFonts w:eastAsia="MS Mincho"/>
              </w:rPr>
            </w:pPr>
            <w:r>
              <w:rPr>
                <w:rFonts w:ascii="Times New Roman" w:eastAsia="Times New Roman" w:hAnsi="Times New Roman"/>
                <w:sz w:val="20"/>
                <w:szCs w:val="20"/>
              </w:rPr>
              <w:t>High-skilled permit share</w:t>
            </w:r>
          </w:p>
        </w:tc>
        <w:tc>
          <w:tcPr>
            <w:tcW w:w="1416" w:type="dxa"/>
            <w:tcBorders>
              <w:top w:val="nil"/>
              <w:left w:val="nil"/>
              <w:bottom w:val="nil"/>
              <w:right w:val="nil"/>
            </w:tcBorders>
            <w:tcMar>
              <w:top w:w="70" w:type="dxa"/>
              <w:left w:w="70" w:type="dxa"/>
              <w:bottom w:w="70" w:type="dxa"/>
              <w:right w:w="70" w:type="dxa"/>
            </w:tcMar>
          </w:tcPr>
          <w:p ns2:paraId="291717A2"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0.210</w:t>
            </w:r>
          </w:p>
        </w:tc>
        <w:tc>
          <w:tcPr>
            <w:tcW w:w="1416" w:type="dxa"/>
            <w:tcBorders>
              <w:top w:val="nil"/>
              <w:left w:val="nil"/>
              <w:bottom w:val="nil"/>
              <w:right w:val="nil"/>
            </w:tcBorders>
            <w:tcMar>
              <w:top w:w="70" w:type="dxa"/>
              <w:left w:w="70" w:type="dxa"/>
              <w:bottom w:w="70" w:type="dxa"/>
              <w:right w:w="70" w:type="dxa"/>
            </w:tcMar>
          </w:tcPr>
          <w:p ns2:paraId="75F263A3"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0.295</w:t>
            </w:r>
          </w:p>
        </w:tc>
        <w:tc>
          <w:tcPr>
            <w:tcW w:w="1430" w:type="dxa"/>
            <w:tcBorders>
              <w:top w:val="nil"/>
              <w:left w:val="nil"/>
              <w:bottom w:val="nil"/>
              <w:right w:val="nil"/>
            </w:tcBorders>
            <w:tcMar>
              <w:top w:w="70" w:type="dxa"/>
              <w:left w:w="70" w:type="dxa"/>
              <w:bottom w:w="70" w:type="dxa"/>
              <w:right w:w="70" w:type="dxa"/>
            </w:tcMar>
          </w:tcPr>
          <w:p ns2:paraId="6EE5507C"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ns2:paraId="6E4D9104"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1.000</w:t>
            </w:r>
          </w:p>
        </w:tc>
        <w:tc>
          <w:tcPr>
            <w:tcW w:w="1419" w:type="dxa"/>
            <w:tcBorders>
              <w:top w:val="nil"/>
              <w:left w:val="nil"/>
              <w:bottom w:val="nil"/>
              <w:right w:val="nil"/>
            </w:tcBorders>
            <w:tcMar>
              <w:top w:w="70" w:type="dxa"/>
              <w:left w:w="70" w:type="dxa"/>
              <w:bottom w:w="70" w:type="dxa"/>
              <w:right w:w="70" w:type="dxa"/>
            </w:tcMar>
          </w:tcPr>
          <w:p ns2:paraId="30C13CEA"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78227621"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4E5828DD"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all-migrant-worker policy score</w:t>
            </w:r>
          </w:p>
        </w:tc>
        <w:tc>
          <w:tcPr>
            <w:tcW w:w="1416" w:type="dxa"/>
            <w:tcBorders>
              <w:top w:val="nil"/>
              <w:left w:val="nil"/>
              <w:bottom w:val="nil"/>
              <w:right w:val="nil"/>
            </w:tcBorders>
            <w:tcMar>
              <w:top w:w="70" w:type="dxa"/>
              <w:left w:w="70" w:type="dxa"/>
              <w:bottom w:w="70" w:type="dxa"/>
              <w:right w:w="70" w:type="dxa"/>
            </w:tcMar>
          </w:tcPr>
          <w:p ns2:paraId="27248C6A"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-0.859</w:t>
            </w:r>
          </w:p>
        </w:tc>
        <w:tc>
          <w:tcPr>
            <w:tcW w:w="1416" w:type="dxa"/>
            <w:tcBorders>
              <w:top w:val="nil"/>
              <w:left w:val="nil"/>
              <w:bottom w:val="nil"/>
              <w:right w:val="nil"/>
            </w:tcBorders>
            <w:tcMar>
              <w:top w:w="70" w:type="dxa"/>
              <w:left w:w="70" w:type="dxa"/>
              <w:bottom w:w="70" w:type="dxa"/>
              <w:right w:w="70" w:type="dxa"/>
            </w:tcMar>
          </w:tcPr>
          <w:p ns2:paraId="402B9679"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4.847</w:t>
            </w:r>
          </w:p>
        </w:tc>
        <w:tc>
          <w:tcPr>
            <w:tcW w:w="1430" w:type="dxa"/>
            <w:tcBorders>
              <w:top w:val="nil"/>
              <w:left w:val="nil"/>
              <w:bottom w:val="nil"/>
              <w:right w:val="nil"/>
            </w:tcBorders>
            <w:tcMar>
              <w:top w:w="70" w:type="dxa"/>
              <w:left w:w="70" w:type="dxa"/>
              <w:bottom w:w="70" w:type="dxa"/>
              <w:right w:w="70" w:type="dxa"/>
            </w:tcMar>
          </w:tcPr>
          <w:p ns2:paraId="6338833C"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ns2:paraId="0A0F887D"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8.000</w:t>
            </w:r>
          </w:p>
        </w:tc>
        <w:tc>
          <w:tcPr>
            <w:tcW w:w="1419" w:type="dxa"/>
            <w:tcBorders>
              <w:top w:val="nil"/>
              <w:left w:val="nil"/>
              <w:bottom w:val="nil"/>
              <w:right w:val="nil"/>
            </w:tcBorders>
            <w:tcMar>
              <w:top w:w="70" w:type="dxa"/>
              <w:left w:w="70" w:type="dxa"/>
              <w:bottom w:w="70" w:type="dxa"/>
              <w:right w:w="70" w:type="dxa"/>
            </w:tcMar>
          </w:tcPr>
          <w:p ns2:paraId="10F3E846"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6335F530"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5D1AD2BD"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high-skill-targeted policy score</w:t>
            </w:r>
          </w:p>
        </w:tc>
        <w:tc>
          <w:tcPr>
            <w:tcW w:w="1416" w:type="dxa"/>
            <w:tcBorders>
              <w:top w:val="nil"/>
              <w:left w:val="nil"/>
              <w:bottom w:val="nil"/>
              <w:right w:val="nil"/>
            </w:tcBorders>
            <w:tcMar>
              <w:top w:w="70" w:type="dxa"/>
              <w:left w:w="70" w:type="dxa"/>
              <w:bottom w:w="70" w:type="dxa"/>
              <w:right w:w="70" w:type="dxa"/>
            </w:tcMar>
          </w:tcPr>
          <w:p ns2:paraId="69137526"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-9.008</w:t>
            </w:r>
          </w:p>
        </w:tc>
        <w:tc>
          <w:tcPr>
            <w:tcW w:w="1416" w:type="dxa"/>
            <w:tcBorders>
              <w:top w:val="nil"/>
              <w:left w:val="nil"/>
              <w:bottom w:val="nil"/>
              <w:right w:val="nil"/>
            </w:tcBorders>
            <w:tcMar>
              <w:top w:w="70" w:type="dxa"/>
              <w:left w:w="70" w:type="dxa"/>
              <w:bottom w:w="70" w:type="dxa"/>
              <w:right w:w="70" w:type="dxa"/>
            </w:tcMar>
          </w:tcPr>
          <w:p ns2:paraId="2A822080"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8.178</w:t>
            </w:r>
          </w:p>
        </w:tc>
        <w:tc>
          <w:tcPr>
            <w:tcW w:w="1430" w:type="dxa"/>
            <w:tcBorders>
              <w:top w:val="nil"/>
              <w:left w:val="nil"/>
              <w:bottom w:val="nil"/>
              <w:right w:val="nil"/>
            </w:tcBorders>
            <w:tcMar>
              <w:top w:w="70" w:type="dxa"/>
              <w:left w:w="70" w:type="dxa"/>
              <w:bottom w:w="70" w:type="dxa"/>
              <w:right w:w="70" w:type="dxa"/>
            </w:tcMar>
          </w:tcPr>
          <w:p ns2:paraId="5D25A557"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-34.000</w:t>
            </w:r>
          </w:p>
        </w:tc>
        <w:tc>
          <w:tcPr>
            <w:tcW w:w="1429" w:type="dxa"/>
            <w:tcBorders>
              <w:top w:val="nil"/>
              <w:left w:val="nil"/>
              <w:bottom w:val="nil"/>
              <w:right w:val="nil"/>
            </w:tcBorders>
            <w:tcMar>
              <w:top w:w="70" w:type="dxa"/>
              <w:left w:w="70" w:type="dxa"/>
              <w:bottom w:w="70" w:type="dxa"/>
              <w:right w:w="70" w:type="dxa"/>
            </w:tcMar>
          </w:tcPr>
          <w:p ns2:paraId="0844E874"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3.000</w:t>
            </w:r>
          </w:p>
        </w:tc>
        <w:tc>
          <w:tcPr>
            <w:tcW w:w="1419" w:type="dxa"/>
            <w:tcBorders>
              <w:top w:val="nil"/>
              <w:left w:val="nil"/>
              <w:bottom w:val="nil"/>
              <w:right w:val="nil"/>
            </w:tcBorders>
            <w:tcMar>
              <w:top w:w="70" w:type="dxa"/>
              <w:left w:w="70" w:type="dxa"/>
              <w:bottom w:w="70" w:type="dxa"/>
              <w:right w:w="70" w:type="dxa"/>
            </w:tcMar>
          </w:tcPr>
          <w:p ns2:paraId="5696688E"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46179D3D"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280C17F8"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low-skill-targeted policy score</w:t>
            </w:r>
          </w:p>
        </w:tc>
        <w:tc>
          <w:tcPr>
            <w:tcW w:w="1416" w:type="dxa"/>
            <w:tcBorders>
              <w:top w:val="nil"/>
              <w:left w:val="nil"/>
              <w:bottom w:val="nil"/>
              <w:right w:val="nil"/>
            </w:tcBorders>
            <w:tcMar>
              <w:top w:w="70" w:type="dxa"/>
              <w:left w:w="70" w:type="dxa"/>
              <w:bottom w:w="70" w:type="dxa"/>
              <w:right w:w="70" w:type="dxa"/>
            </w:tcMar>
          </w:tcPr>
          <w:p ns2:paraId="73003D4A"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-0.045</w:t>
            </w:r>
          </w:p>
        </w:tc>
        <w:tc>
          <w:tcPr>
            <w:tcW w:w="1416" w:type="dxa"/>
            <w:tcBorders>
              <w:top w:val="nil"/>
              <w:left w:val="nil"/>
              <w:bottom w:val="nil"/>
              <w:right w:val="nil"/>
            </w:tcBorders>
            <w:tcMar>
              <w:top w:w="70" w:type="dxa"/>
              <w:left w:w="70" w:type="dxa"/>
              <w:bottom w:w="70" w:type="dxa"/>
              <w:right w:w="70" w:type="dxa"/>
            </w:tcMar>
          </w:tcPr>
          <w:p ns2:paraId="6B3C2290"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1.582</w:t>
            </w:r>
          </w:p>
        </w:tc>
        <w:tc>
          <w:tcPr>
            <w:tcW w:w="1430" w:type="dxa"/>
            <w:tcBorders>
              <w:top w:val="nil"/>
              <w:left w:val="nil"/>
              <w:bottom w:val="nil"/>
              <w:right w:val="nil"/>
            </w:tcBorders>
            <w:tcMar>
              <w:top w:w="70" w:type="dxa"/>
              <w:left w:w="70" w:type="dxa"/>
              <w:bottom w:w="70" w:type="dxa"/>
              <w:right w:w="70" w:type="dxa"/>
            </w:tcMar>
          </w:tcPr>
          <w:p ns2:paraId="7D06D0B1"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-6.000</w:t>
            </w:r>
          </w:p>
        </w:tc>
        <w:tc>
          <w:tcPr>
            <w:tcW w:w="1429" w:type="dxa"/>
            <w:tcBorders>
              <w:top w:val="nil"/>
              <w:left w:val="nil"/>
              <w:bottom w:val="nil"/>
              <w:right w:val="nil"/>
            </w:tcBorders>
            <w:tcMar>
              <w:top w:w="70" w:type="dxa"/>
              <w:left w:w="70" w:type="dxa"/>
              <w:bottom w:w="70" w:type="dxa"/>
              <w:right w:w="70" w:type="dxa"/>
            </w:tcMar>
          </w:tcPr>
          <w:p ns2:paraId="0981032D"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4.000</w:t>
            </w:r>
          </w:p>
        </w:tc>
        <w:tc>
          <w:tcPr>
            <w:tcW w:w="1419" w:type="dxa"/>
            <w:tcBorders>
              <w:top w:val="nil"/>
              <w:left w:val="nil"/>
              <w:bottom w:val="nil"/>
              <w:right w:val="nil"/>
            </w:tcBorders>
            <w:tcMar>
              <w:top w:w="70" w:type="dxa"/>
              <w:left w:w="70" w:type="dxa"/>
              <w:bottom w:w="70" w:type="dxa"/>
              <w:right w:w="70" w:type="dxa"/>
            </w:tcMar>
          </w:tcPr>
          <w:p ns2:paraId="356385FA"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7DA6BCCD"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12F809B3"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bilateral permit scale</w:t>
            </w:r>
          </w:p>
        </w:tc>
        <w:tc>
          <w:tcPr>
            <w:tcW w:w="1416" w:type="dxa"/>
            <w:tcBorders>
              <w:top w:val="nil"/>
              <w:left w:val="nil"/>
              <w:bottom w:val="nil"/>
              <w:right w:val="nil"/>
            </w:tcBorders>
            <w:tcMar>
              <w:top w:w="70" w:type="dxa"/>
              <w:left w:w="70" w:type="dxa"/>
              <w:bottom w:w="70" w:type="dxa"/>
              <w:right w:w="70" w:type="dxa"/>
            </w:tcMar>
          </w:tcPr>
          <w:p ns2:paraId="5098D804"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4.697</w:t>
            </w:r>
          </w:p>
        </w:tc>
        <w:tc>
          <w:tcPr>
            <w:tcW w:w="1416" w:type="dxa"/>
            <w:tcBorders>
              <w:top w:val="nil"/>
              <w:left w:val="nil"/>
              <w:bottom w:val="nil"/>
              <w:right w:val="nil"/>
            </w:tcBorders>
            <w:tcMar>
              <w:top w:w="70" w:type="dxa"/>
              <w:left w:w="70" w:type="dxa"/>
              <w:bottom w:w="70" w:type="dxa"/>
              <w:right w:w="70" w:type="dxa"/>
            </w:tcMar>
          </w:tcPr>
          <w:p ns2:paraId="12A3EFF1"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1.531</w:t>
            </w:r>
          </w:p>
        </w:tc>
        <w:tc>
          <w:tcPr>
            <w:tcW w:w="1430" w:type="dxa"/>
            <w:tcBorders>
              <w:top w:val="nil"/>
              <w:left w:val="nil"/>
              <w:bottom w:val="nil"/>
              <w:right w:val="nil"/>
            </w:tcBorders>
            <w:tcMar>
              <w:top w:w="70" w:type="dxa"/>
              <w:left w:w="70" w:type="dxa"/>
              <w:bottom w:w="70" w:type="dxa"/>
              <w:right w:w="70" w:type="dxa"/>
            </w:tcMar>
          </w:tcPr>
          <w:p ns2:paraId="3638A5E7"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ns2:paraId="36414EFC"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10.603</w:t>
            </w:r>
          </w:p>
        </w:tc>
        <w:tc>
          <w:tcPr>
            <w:tcW w:w="1419" w:type="dxa"/>
            <w:tcBorders>
              <w:top w:val="nil"/>
              <w:left w:val="nil"/>
              <w:bottom w:val="nil"/>
              <w:right w:val="nil"/>
            </w:tcBorders>
            <w:tcMar>
              <w:top w:w="70" w:type="dxa"/>
              <w:left w:w="70" w:type="dxa"/>
              <w:bottom w:w="70" w:type="dxa"/>
              <w:right w:w="70" w:type="dxa"/>
            </w:tcMar>
          </w:tcPr>
          <w:p ns2:paraId="027FD8A4"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1CE12076" ns2:textId="77777777">
        <w:trPr>
          <w:cantSplit/>
          <w:jc w:val="center"/>
        </w:trPr>
        <w:tc>
          <w:tcPr>
            <w:tcW w:w="1916" w:type="dxa"/>
            <w:tcBorders>
              <w:top w:val="nil"/>
              <w:left w:val="nil"/>
              <w:bottom w:val="nil"/>
              <w:right w:val="nil"/>
            </w:tcBorders>
            <w:tcMar>
              <w:top w:w="70" w:type="dxa"/>
              <w:left w:w="70" w:type="dxa"/>
              <w:bottom w:w="70" w:type="dxa"/>
              <w:right w:w="70" w:type="dxa"/>
            </w:tcMar>
          </w:tcPr>
          <w:p ns2:paraId="00A611A5"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destination log unemployment</w:t>
            </w:r>
          </w:p>
        </w:tc>
        <w:tc>
          <w:tcPr>
            <w:tcW w:w="1416" w:type="dxa"/>
            <w:tcBorders>
              <w:top w:val="nil"/>
              <w:left w:val="nil"/>
              <w:bottom w:val="nil"/>
              <w:right w:val="nil"/>
            </w:tcBorders>
            <w:tcMar>
              <w:top w:w="70" w:type="dxa"/>
              <w:left w:w="70" w:type="dxa"/>
              <w:bottom w:w="70" w:type="dxa"/>
              <w:right w:w="70" w:type="dxa"/>
            </w:tcMar>
          </w:tcPr>
          <w:p ns2:paraId="7DFF9312"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2.115</w:t>
            </w:r>
          </w:p>
        </w:tc>
        <w:tc>
          <w:tcPr>
            <w:tcW w:w="1416" w:type="dxa"/>
            <w:tcBorders>
              <w:top w:val="nil"/>
              <w:left w:val="nil"/>
              <w:bottom w:val="nil"/>
              <w:right w:val="nil"/>
            </w:tcBorders>
            <w:tcMar>
              <w:top w:w="70" w:type="dxa"/>
              <w:left w:w="70" w:type="dxa"/>
              <w:bottom w:w="70" w:type="dxa"/>
              <w:right w:w="70" w:type="dxa"/>
            </w:tcMar>
          </w:tcPr>
          <w:p ns2:paraId="50BA1938"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0.510</w:t>
            </w:r>
          </w:p>
        </w:tc>
        <w:tc>
          <w:tcPr>
            <w:tcW w:w="1430" w:type="dxa"/>
            <w:tcBorders>
              <w:top w:val="nil"/>
              <w:left w:val="nil"/>
              <w:bottom w:val="nil"/>
              <w:right w:val="nil"/>
            </w:tcBorders>
            <w:tcMar>
              <w:top w:w="70" w:type="dxa"/>
              <w:left w:w="70" w:type="dxa"/>
              <w:bottom w:w="70" w:type="dxa"/>
              <w:right w:w="70" w:type="dxa"/>
            </w:tcMar>
          </w:tcPr>
          <w:p ns2:paraId="0E664C25"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ns2:paraId="0583CFE8"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3.325</w:t>
            </w:r>
          </w:p>
        </w:tc>
        <w:tc>
          <w:tcPr>
            <w:tcW w:w="1419" w:type="dxa"/>
            <w:tcBorders>
              <w:top w:val="nil"/>
              <w:left w:val="nil"/>
              <w:bottom w:val="nil"/>
              <w:right w:val="nil"/>
            </w:tcBorders>
            <w:tcMar>
              <w:top w:w="70" w:type="dxa"/>
              <w:left w:w="70" w:type="dxa"/>
              <w:bottom w:w="70" w:type="dxa"/>
              <w:right w:w="70" w:type="dxa"/>
            </w:tcMar>
          </w:tcPr>
          <w:p ns2:paraId="2CCBAE0E"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ns2:paraId="7D9E5788" ns2:textId="77777777">
        <w:trPr>
          <w:cantSplit/>
          <w:jc w:val="center"/>
        </w:trPr>
        <w:tc>
          <w:tcPr>
            <w:tcW w:w="1916" w:type="dxa"/>
            <w:tcBorders>
              <w:top w:val="nil"/>
              <w:left w:val="nil"/>
              <w:bottom w:val="single" w:sz="12" w:space="0" w:color="000000"/>
              <w:right w:val="nil"/>
            </w:tcBorders>
            <w:tcMar>
              <w:top w:w="70" w:type="dxa"/>
              <w:left w:w="70" w:type="dxa"/>
              <w:bottom w:w="70" w:type="dxa"/>
              <w:right w:w="70" w:type="dxa"/>
            </w:tcMar>
          </w:tcPr>
          <w:p ns2:paraId="03A70C63" ns2:textId="77777777" w:rsidR="00943825" w:rsidRDefault="00943825" w:rsidP="00943825">
            <w:pPr>
              <w:spacing w:after="0" w:line="240" w:lineRule="auto"/>
              <w:rPr>
                <w:rFonts w:eastAsia="MS Mincho"/>
              </w:rPr>
            </w:pPr>
            <w:r>
              <w:rPr>
                <w:rFonts w:ascii="Times New Roman" w:eastAsia="Times New Roman" w:hAnsi="Times New Roman"/>
                <w:sz w:val="20"/>
                <w:szCs w:val="20"/>
              </w:rPr>
              <w:t>Lagged destination real GDP growth</w:t>
            </w:r>
          </w:p>
        </w:tc>
        <w:tc>
          <w:tcPr>
            <w:tcW w:w="1416" w:type="dxa"/>
            <w:tcBorders>
              <w:top w:val="nil"/>
              <w:left w:val="nil"/>
              <w:bottom w:val="single" w:sz="12" w:space="0" w:color="000000"/>
              <w:right w:val="nil"/>
            </w:tcBorders>
            <w:tcMar>
              <w:top w:w="70" w:type="dxa"/>
              <w:left w:w="70" w:type="dxa"/>
              <w:bottom w:w="70" w:type="dxa"/>
              <w:right w:w="70" w:type="dxa"/>
            </w:tcMar>
          </w:tcPr>
          <w:p ns2:paraId="3A92EA50"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1.610</w:t>
            </w:r>
          </w:p>
        </w:tc>
        <w:tc>
          <w:tcPr>
            <w:tcW w:w="1416" w:type="dxa"/>
            <w:tcBorders>
              <w:top w:val="nil"/>
              <w:left w:val="nil"/>
              <w:bottom w:val="single" w:sz="12" w:space="0" w:color="000000"/>
              <w:right w:val="nil"/>
            </w:tcBorders>
            <w:tcMar>
              <w:top w:w="70" w:type="dxa"/>
              <w:left w:w="70" w:type="dxa"/>
              <w:bottom w:w="70" w:type="dxa"/>
              <w:right w:w="70" w:type="dxa"/>
            </w:tcMar>
          </w:tcPr>
          <w:p ns2:paraId="3133C951"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3.204</w:t>
            </w:r>
          </w:p>
        </w:tc>
        <w:tc>
          <w:tcPr>
            <w:tcW w:w="1430" w:type="dxa"/>
            <w:tcBorders>
              <w:top w:val="nil"/>
              <w:left w:val="nil"/>
              <w:bottom w:val="single" w:sz="12" w:space="0" w:color="000000"/>
              <w:right w:val="nil"/>
            </w:tcBorders>
            <w:tcMar>
              <w:top w:w="70" w:type="dxa"/>
              <w:left w:w="70" w:type="dxa"/>
              <w:bottom w:w="70" w:type="dxa"/>
              <w:right w:w="70" w:type="dxa"/>
            </w:tcMar>
          </w:tcPr>
          <w:p ns2:paraId="2ABF027E"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ns2:paraId="7CCF5BFC"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24.600</w:t>
            </w:r>
          </w:p>
        </w:tc>
        <w:tc>
          <w:tcPr>
            <w:tcW w:w="1419" w:type="dxa"/>
            <w:tcBorders>
              <w:top w:val="nil"/>
              <w:left w:val="nil"/>
              <w:bottom w:val="single" w:sz="12" w:space="0" w:color="000000"/>
              <w:right w:val="nil"/>
            </w:tcBorders>
            <w:tcMar>
              <w:top w:w="70" w:type="dxa"/>
              <w:left w:w="70" w:type="dxa"/>
              <w:bottom w:w="70" w:type="dxa"/>
              <w:right w:w="70" w:type="dxa"/>
            </w:tcMar>
          </w:tcPr>
          <w:p ns2:paraId="3A08C5F0" ns2: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bl>
    <w:p ns2:paraId="3E910A52" ns2:textId="77777777" w:rsidR="00E46317" w:rsidRDefault="00E46317" w:rsidP="00B201DE">
      <w:pPr>
        <w:spacing w:before="160"/>
      </w:pPr>
      <w:r>
        <w:lastRenderedPageBreak/>
        <w:t>Table 5 summarizes the main regression samples before estimation. Panel A describes the aggregate destination-year sample, while Panel B describes the bilateral origin-destination-year sample. The table shows that the bilateral sample is much larger because it keeps origin-destination corridors separately. The average high-skilled permit share is 17.5% in the aggregate sample and 21.0% in the bilateral sample. The average policy score is slightly negative in both samples, meaning that the typical observation is closer to net liberalization than net restrictiveness. The table is descriptive only; it does not test the relationship between restrictiveness and the high-skilled share.</w:t>
      </w:r>
    </w:p>
    <w:p ns2:paraId="5D45C6AD" ns2:textId="77777777" w:rsidR="00961C7F" w:rsidRDefault="008A042F">
      <w:pPr>
        <w:jc w:val="center"/>
      </w:pPr>
      <w:r>
        <w:rPr>
          <w:noProof/>
        </w:rPr>
        <w:drawing>
          <ns3:inline distT="0" distB="0" distL="0" distR="0" ns4:anchorId="5B0B7F19" ns4:editId="6317C19D">
            <ns3:extent cx="5577840" cy="5916092"/>
            <ns3:effectExtent l="0" t="0" r="0" b="0"/>
            <ns3:docPr id="2" name="Image2"/>
            <ns3:cNvGraphicFramePr>
              <ns5:graphicFrameLocks noChangeAspect="1"/>
            </ns3:cNvGraphicFramePr>
            <ns5:graphic>
              <ns5:graphicData uri="http://schemas.openxmlformats.org/drawingml/2006/picture">
                <ns6:pic>
                  <ns6:nvPicPr>
                    <ns6:cNvPr id="2" name="Image2"/>
                    <ns6:cNvPicPr>
                      <ns5:picLocks noChangeAspect="1" noChangeArrowheads="1"/>
                    </ns6:cNvPicPr>
                  </ns6:nvPicPr>
                  <ns6:blipFill>
                    <ns5:blip ns7:embed="rId9"/>
                    <ns5:stretch>
                      <ns5:fillRect/>
                    </ns5:stretch>
                  </ns6:blipFill>
                  <ns6:spPr bwMode="auto">
                    <ns5:xfrm>
                      <ns5:off x="0" y="0"/>
                      <ns5:ext cx="5577840" cy="5916092"/>
                    </ns5:xfrm>
                    <ns5:prstGeom prst="rect">
                      <ns5:avLst/>
                    </ns5:prstGeom>
                    <ns5:noFill/>
                  </ns6:spPr>
                </ns6:pic>
              </ns5:graphicData>
            </ns5:graphic>
          </ns3:inline>
        </w:drawing>
      </w:r>
    </w:p>
    <w:p ns2:paraId="58E3C159" ns2:textId="77777777" w:rsidR="00961C7F" w:rsidRDefault="00AF385B" w:rsidP="001B5A82">
      <w:pPr>
        <w:jc w:val="both"/>
      </w:pPr>
      <w:r>
        <w:t xml:space="preserve">Graph 1. Descriptive relationship between cumulative net policy-change score and HSRate, 2008-2019. Graph 1A shows each destination's first-to-last endpoint change within the window; seven series lack one or both exact boundary years. Graph 1B reports cumulative policy paths for the </w:t>
        <w:lastRenderedPageBreak/>
        <w:t>nine largest destinations by total Non-EU employment permits, with the United Kingdom marked separately because of Brexit. Graph 1A covers 31 descriptive series; the controlled regressions retain 30 destination clusters after the complete-case filter.</w:t>
      </w:r>
    </w:p>
    <w:p ns2:paraId="347D5FC1" ns2:textId="77777777" w:rsidR="00961C7F" w:rsidRDefault="008A042F" w:rsidP="001B5A82">
      <w:pPr>
        <w:jc w:val="both"/>
      </w:pPr>
      <w:r>
        <w:t>The main takeaway from Graph 1A is deliberately modest. The descriptive scatter does not visually confirm a simple relationship in which restriction mechanically increases HSRate: most destinations sit on the net-easing side, HSRate changes are heterogeneous, and the endpoint slope is not statistically significant. This is why the formal fixed-effects models, rather than Graph 1, carry the empirical test.</w:t>
      </w:r>
    </w:p>
    <w:p ns2:paraId="48CF4295" ns2:textId="77777777" w:rsidR="00961C7F" w:rsidRDefault="008A042F" w:rsidP="001B5A82">
      <w:pPr>
        <w:jc w:val="both"/>
      </w:pPr>
      <w:r>
        <w:t>Graph 1B shows the nine destinations with the largest Non-EU employment-permit flows. Twenty of the 31 endpoint series move toward net liberalization, and about 62 percent of retained all-migrant-worker events are coded as less restrictive.</w:t>
      </w:r>
    </w:p>
    <w:p ns2:paraId="523A354E" ns2:textId="77777777" w:rsidR="007830C2" w:rsidRDefault="008A042F" w:rsidP="001B5A82">
      <w:pPr>
        <w:jc w:val="both"/>
      </w:pPr>
      <w:r>
        <w:t>Using each series' first and last available observations, HSRate rises in 22 destinations, is unchanged in three, and falls in six. Belgium, Croatia, Iceland, Luxembourg, the Netherlands, Switzerland, and the United Kingdom use shorter endpoint windows because boundary years are unavailable. Small denominators and institutional breaks, including Brexit, affect this descriptive pattern, so it is not used as evidence for the main claim.</w:t>
      </w:r>
    </w:p>
    <w:p ns2:paraId="1E1BCFBF" ns2:textId="77777777" w:rsidR="00846083" w:rsidRDefault="00846083">
      <w:pPr>
        <w:spacing w:after="0" w:line="240" w:lineRule="auto"/>
        <w:rPr>
          <w:rFonts w:ascii="Cambria" w:eastAsia="Cambria" w:hAnsi="Cambria" w:cs="Cambria"/>
          <w:b/>
          <w:bCs/>
          <w:color w:val="000000"/>
          <w:sz w:val="34"/>
          <w:szCs w:val="28"/>
        </w:rPr>
      </w:pPr>
      <w:r>
        <w:br w:type="page"/>
      </w:r>
    </w:p>
    <w:p ns2:paraId="2BFDA722" ns2:textId="77777777" w:rsidR="00961C7F" w:rsidRDefault="008A042F">
      <w:pPr>
        <w:pStyle w:val="Heading1"/>
      </w:pPr>
      <w:r>
        <w:lastRenderedPageBreak/>
        <w:t>7. Results</w:t>
      </w:r>
    </w:p>
    <w:p ns2:paraId="3D018789" ns2:textId="77777777" w:rsidR="00961C7F" w:rsidRDefault="008A042F">
      <w:pPr>
        <w:pStyle w:val="Heading2"/>
      </w:pPr>
      <w:r>
        <w:t>7.1 Aggregate country-year results</w:t>
      </w:r>
    </w:p>
    <w:p ns2:paraId="7EB977D8" ns2:textId="77777777" w:rsidR="008F026E" w:rsidRDefault="00081F09">
      <w:pPr>
        <w:jc w:val="both"/>
      </w:pPr>
      <w:r>
        <w:t>The aggregate destination-year models are shown first as a benchmark. Because they collapse all Non-EU origins into one destination-year observation, they cannot absorb origin-specific shocks. In these benchmark models, policy restrictiveness is not significantly associated with the high-skilled share. One reason may be that high-skilled migration also depends on origin conditions, networks, and the relative attractiveness of other destinations, none of which a destination-year model represents; The insignificant aggregate estimates should not be interpreted as proof that missing origin-side controls explain the difference. They may also reflect the smaller and less precise aggregate sample.</w:t>
      </w:r>
    </w:p>
    <w:p ns2:paraId="2C379AF2" ns2:textId="77777777" w:rsidR="008F026E" w:rsidRDefault="00A36F18">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ns2:paraId="6C400AF5" ns2:textId="77777777" w:rsidR="008F026E" w:rsidRDefault="00A36F18">
      <w:pPr>
        <w:jc w:val="both"/>
      </w:pPr>
      <w:r>
        <w:t>Table 6 introduces the aggregate controls progressively. The first column includes only destination and year fixed effects; each subsequent column adds one block, the high-skilled and low-skilled policy controls, then PermitScale, then lagged destination unemployment and GDP growth. The fourth column is the full aggregate HSRate specification represented by Equation (1). The fifth column uses the same full controls with log(1 + HSNumber) as an aggregate count comparison. The final column reports Equation (2), the aggregate annual policy-flow model. These progressive columns show how the coefficient shifts as controls are introduced; they are not alternatives to the preferred bilateral model.</w:t>
      </w:r>
    </w:p>
    <w:p ns2:paraId="6FF1390F" ns2:textId="77777777" w:rsidR="00961C7F" w:rsidRPr="0038122C" w:rsidRDefault="008A042F">
      <w:pPr>
        <w:keepNext/>
        <w:jc w:val="center"/>
      </w:pPr>
      <w:r>
        <w:rPr>
          <w:b/>
          <w:i/>
        </w:rPr>
        <w:t>Table 6. Aggregate country-year regression results. Outcome: high-skilled share, except the log-count column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ns2:paraId="0DED3FA5" ns2: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ns2:paraId="1426EF69" ns2: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ns2:paraId="34BB4578" ns2:textId="77777777" w:rsidR="00C70AE2" w:rsidRDefault="00A36F18">
            <w:pPr>
              <w:spacing w:after="0" w:line="240" w:lineRule="auto"/>
              <w:jc w:val="center"/>
            </w:pPr>
            <w:r>
              <w:rPr>
                <w:rFonts w:ascii="Times New Roman" w:hAnsi="Times New Roman"/>
                <w:b/>
                <w:sz w:val="15"/>
              </w:rPr>
              <w:t>FE only</w:t>
            </w:r>
          </w:p>
        </w:tc>
        <w:tc>
          <w:tcPr>
            <w:tcW w:w="907" w:type="dxa"/>
            <w:tcBorders>
              <w:top w:val="single" w:sz="10" w:space="0" w:color="000000"/>
              <w:left w:val="nil"/>
              <w:bottom w:val="single" w:sz="8" w:space="0" w:color="000000"/>
              <w:right w:val="nil"/>
            </w:tcBorders>
            <w:shd w:val="clear" w:color="auto" w:fill="EDEDED"/>
            <w:vAlign w:val="center"/>
          </w:tcPr>
          <w:p ns2:paraId="0F64DA86" ns2:textId="77777777" w:rsidR="00C70AE2" w:rsidRDefault="00A36F18">
            <w:pPr>
              <w:spacing w:after="0" w:line="240" w:lineRule="auto"/>
              <w:jc w:val="center"/>
            </w:pPr>
            <w:r>
              <w:rPr>
                <w:rFonts w:ascii="Times New Roman" w:hAnsi="Times New Roman"/>
                <w:b/>
                <w:sz w:val="15"/>
              </w:rPr>
              <w:t>+ Skill controls</w:t>
            </w:r>
          </w:p>
        </w:tc>
        <w:tc>
          <w:tcPr>
            <w:tcW w:w="907" w:type="dxa"/>
            <w:tcBorders>
              <w:top w:val="single" w:sz="10" w:space="0" w:color="000000"/>
              <w:left w:val="nil"/>
              <w:bottom w:val="single" w:sz="8" w:space="0" w:color="000000"/>
              <w:right w:val="nil"/>
            </w:tcBorders>
            <w:shd w:val="clear" w:color="auto" w:fill="EDEDED"/>
            <w:vAlign w:val="center"/>
          </w:tcPr>
          <w:p ns2:paraId="2B1FF68F" ns2:textId="77777777" w:rsidR="00C70AE2" w:rsidRDefault="00A36F18">
            <w:pPr>
              <w:spacing w:after="0" w:line="240" w:lineRule="auto"/>
              <w:jc w:val="center"/>
            </w:pPr>
            <w:r>
              <w:rPr>
                <w:rFonts w:ascii="Times New Roman" w:hAnsi="Times New Roman"/>
                <w:b/>
                <w:sz w:val="15"/>
              </w:rPr>
              <w:t>+ PermitScale</w:t>
            </w:r>
          </w:p>
        </w:tc>
        <w:tc>
          <w:tcPr>
            <w:tcW w:w="907" w:type="dxa"/>
            <w:tcBorders>
              <w:top w:val="single" w:sz="10" w:space="0" w:color="000000"/>
              <w:left w:val="nil"/>
              <w:bottom w:val="single" w:sz="8" w:space="0" w:color="000000"/>
              <w:right w:val="nil"/>
            </w:tcBorders>
            <w:shd w:val="clear" w:color="auto" w:fill="EDEDED"/>
            <w:vAlign w:val="center"/>
          </w:tcPr>
          <w:p ns2:paraId="0442A86A" ns2:textId="77777777" w:rsidR="00C70AE2" w:rsidRDefault="00A36F18">
            <w:pPr>
              <w:spacing w:after="0" w:line="240" w:lineRule="auto"/>
              <w:jc w:val="center"/>
            </w:pPr>
            <w:r>
              <w:rPr>
                <w:rFonts w:ascii="Times New Roman" w:hAnsi="Times New Roman"/>
                <w:b/>
                <w:sz w:val="15"/>
              </w:rPr>
              <w:t>Full aggregate (Eq. 1)</w:t>
            </w:r>
          </w:p>
        </w:tc>
        <w:tc>
          <w:tcPr>
            <w:tcW w:w="1080" w:type="dxa"/>
            <w:tcBorders>
              <w:top w:val="single" w:sz="10" w:space="0" w:color="000000"/>
              <w:left w:val="nil"/>
              <w:bottom w:val="single" w:sz="8" w:space="0" w:color="000000"/>
              <w:right w:val="nil"/>
            </w:tcBorders>
            <w:shd w:val="clear" w:color="auto" w:fill="EDEDED"/>
            <w:vAlign w:val="center"/>
          </w:tcPr>
          <w:p ns2:paraId="0C43A388" ns2:textId="77777777" w:rsidR="00C70AE2" w:rsidRDefault="00A36F18">
            <w:pPr>
              <w:spacing w:after="0" w:line="240" w:lineRule="auto"/>
              <w:jc w:val="center"/>
            </w:pPr>
            <w:r>
              <w:rPr>
                <w:rFonts w:ascii="Times New Roman" w:hAnsi="Times New Roman"/>
                <w:b/>
                <w:sz w:val="15"/>
              </w:rPr>
              <w:t>Full, log count</w:t>
            </w:r>
          </w:p>
        </w:tc>
        <w:tc>
          <w:tcPr>
            <w:tcW w:w="1123" w:type="dxa"/>
            <w:tcBorders>
              <w:top w:val="single" w:sz="10" w:space="0" w:color="000000"/>
              <w:left w:val="nil"/>
              <w:bottom w:val="single" w:sz="8" w:space="0" w:color="000000"/>
              <w:right w:val="nil"/>
            </w:tcBorders>
            <w:shd w:val="clear" w:color="auto" w:fill="EDEDED"/>
            <w:vAlign w:val="center"/>
          </w:tcPr>
          <w:p ns2:paraId="19E554A7" ns2:textId="77777777" w:rsidR="00C70AE2" w:rsidRDefault="00A36F18">
            <w:pPr>
              <w:spacing w:after="0" w:line="240" w:lineRule="auto"/>
              <w:jc w:val="center"/>
            </w:pPr>
            <w:r>
              <w:rPr>
                <w:rFonts w:ascii="Times New Roman" w:hAnsi="Times New Roman"/>
                <w:b/>
                <w:sz w:val="15"/>
              </w:rPr>
              <w:t>Annual flow</w:t>
            </w:r>
          </w:p>
        </w:tc>
      </w:tr>
      <w:tr w:rsidR="00C70AE2" ns2:paraId="59CD05A6" ns2:textId="77777777">
        <w:trPr>
          <w:cantSplit/>
          <w:jc w:val="center"/>
        </w:trPr>
        <w:tc>
          <w:tcPr>
            <w:tcW w:w="3528" w:type="dxa"/>
            <w:tcBorders>
              <w:top w:val="nil"/>
              <w:left w:val="nil"/>
              <w:bottom w:val="nil"/>
              <w:right w:val="nil"/>
            </w:tcBorders>
            <w:shd w:val="clear" w:color="auto" w:fill="F5F5F5"/>
            <w:vAlign w:val="center"/>
          </w:tcPr>
          <w:p ns2:paraId="61AF6086" ns2:textId="77777777" w:rsidR="00C70AE2" w:rsidRDefault="00A36F18">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ns2:paraId="2016EEBD"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2AD19E61"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46B5C149"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45C4E363" ns2: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ns2:paraId="2D542CF3" ns2: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ns2:paraId="114D33E8" ns2:textId="77777777" w:rsidR="00C70AE2" w:rsidRDefault="00C70AE2">
            <w:pPr>
              <w:spacing w:after="0" w:line="240" w:lineRule="auto"/>
              <w:jc w:val="center"/>
            </w:pPr>
          </w:p>
        </w:tc>
      </w:tr>
      <w:tr w:rsidR="00C70AE2" ns2:paraId="330B9209" ns2:textId="77777777">
        <w:trPr>
          <w:cantSplit/>
          <w:jc w:val="center"/>
        </w:trPr>
        <w:tc>
          <w:tcPr>
            <w:tcW w:w="3528" w:type="dxa"/>
            <w:tcBorders>
              <w:top w:val="nil"/>
              <w:left w:val="nil"/>
              <w:bottom w:val="nil"/>
              <w:right w:val="nil"/>
            </w:tcBorders>
            <w:vAlign w:val="center"/>
          </w:tcPr>
          <w:p ns2:paraId="295E9E41" ns2:textId="77777777" w:rsidR="00C70AE2" w:rsidRDefault="00A36F18">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ns2:paraId="2DE9DB23" ns2:textId="77777777" w:rsidR="00C70AE2" w:rsidRDefault="00A36F18">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ns2:paraId="7F88980A" ns2:textId="77777777" w:rsidR="00C70AE2" w:rsidRDefault="00A36F18">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ns2:paraId="363DBF07" ns2:textId="77777777" w:rsidR="00C70AE2" w:rsidRDefault="00A36F18">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ns2:paraId="79D65212" ns2:textId="77777777" w:rsidR="00C70AE2" w:rsidRDefault="00A36F18">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ns2:paraId="2E177746" ns2:textId="77777777" w:rsidR="00C70AE2" w:rsidRDefault="00A36F18">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ns2:paraId="55478023" ns2:textId="77777777" w:rsidR="00C70AE2" w:rsidRDefault="00A36F18">
            <w:pPr>
              <w:spacing w:after="0" w:line="240" w:lineRule="auto"/>
              <w:jc w:val="center"/>
            </w:pPr>
            <w:r>
              <w:rPr>
                <w:rFonts w:ascii="Times New Roman" w:hAnsi="Times New Roman"/>
                <w:sz w:val="15"/>
              </w:rPr>
              <w:t>0.000796</w:t>
            </w:r>
          </w:p>
        </w:tc>
      </w:tr>
      <w:tr w:rsidR="00C70AE2" ns2:paraId="44D96D51" ns2:textId="77777777">
        <w:trPr>
          <w:cantSplit/>
          <w:jc w:val="center"/>
        </w:trPr>
        <w:tc>
          <w:tcPr>
            <w:tcW w:w="3528" w:type="dxa"/>
            <w:tcBorders>
              <w:top w:val="nil"/>
              <w:left w:val="nil"/>
              <w:bottom w:val="nil"/>
              <w:right w:val="nil"/>
            </w:tcBorders>
            <w:vAlign w:val="center"/>
          </w:tcPr>
          <w:p ns2:paraId="5DEE3C82" ns2:textId="77777777" w:rsidR="00C70AE2" w:rsidRDefault="00A36F18">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ns2:paraId="17942DE2" ns2:textId="77777777" w:rsidR="00C70AE2" w:rsidRDefault="00A36F18">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ns2:paraId="2AB0E4BC" ns2:textId="77777777" w:rsidR="00C70AE2" w:rsidRDefault="00A36F18">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ns2:paraId="5F43CB86" ns2:textId="77777777" w:rsidR="00C70AE2" w:rsidRDefault="00A36F18">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ns2:paraId="46E3BB9B" ns2:textId="77777777" w:rsidR="00C70AE2" w:rsidRDefault="00A36F18">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ns2:paraId="29A100AD" ns2:textId="77777777" w:rsidR="00C70AE2" w:rsidRDefault="00A36F18">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ns2:paraId="20A3BEBF" ns2:textId="77777777" w:rsidR="00C70AE2" w:rsidRDefault="00A36F18">
            <w:pPr>
              <w:spacing w:after="0" w:line="240" w:lineRule="auto"/>
              <w:jc w:val="center"/>
            </w:pPr>
            <w:r>
              <w:rPr>
                <w:rFonts w:ascii="Times New Roman" w:hAnsi="Times New Roman"/>
                <w:sz w:val="15"/>
              </w:rPr>
              <w:t>(0.002334)</w:t>
            </w:r>
          </w:p>
        </w:tc>
      </w:tr>
      <w:tr w:rsidR="00C70AE2" ns2:paraId="409C2E38" ns2:textId="77777777">
        <w:trPr>
          <w:cantSplit/>
          <w:jc w:val="center"/>
        </w:trPr>
        <w:tc>
          <w:tcPr>
            <w:tcW w:w="3528" w:type="dxa"/>
            <w:tcBorders>
              <w:top w:val="nil"/>
              <w:left w:val="nil"/>
              <w:bottom w:val="nil"/>
              <w:right w:val="nil"/>
            </w:tcBorders>
            <w:vAlign w:val="center"/>
          </w:tcPr>
          <w:p ns2:paraId="6443A4A6" ns2:textId="77777777" w:rsidR="00C70AE2" w:rsidRDefault="00A36F18">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ns2:paraId="1210678C" ns2:textId="77777777" w:rsidR="00C70AE2" w:rsidRDefault="00A36F18">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ns2:paraId="1A612746" ns2:textId="77777777" w:rsidR="00C70AE2" w:rsidRDefault="00A36F18">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ns2:paraId="1C2C71DD" ns2:textId="77777777" w:rsidR="00C70AE2" w:rsidRDefault="00A36F18">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ns2:paraId="7018DF0F" ns2:textId="77777777" w:rsidR="00C70AE2" w:rsidRDefault="00A36F18">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ns2:paraId="05323000" ns2:textId="77777777" w:rsidR="00C70AE2" w:rsidRDefault="00A36F18">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ns2:paraId="7168128A" ns2:textId="77777777" w:rsidR="00C70AE2" w:rsidRDefault="00A36F18">
            <w:pPr>
              <w:spacing w:after="0" w:line="240" w:lineRule="auto"/>
              <w:jc w:val="center"/>
            </w:pPr>
            <w:r>
              <w:rPr>
                <w:rFonts w:ascii="Times New Roman" w:hAnsi="Times New Roman"/>
                <w:sz w:val="15"/>
              </w:rPr>
              <w:t>0.736</w:t>
            </w:r>
          </w:p>
        </w:tc>
      </w:tr>
      <w:tr w:rsidR="00C70AE2" ns2:paraId="0F143764" ns2:textId="77777777">
        <w:trPr>
          <w:cantSplit/>
          <w:jc w:val="center"/>
        </w:trPr>
        <w:tc>
          <w:tcPr>
            <w:tcW w:w="3528" w:type="dxa"/>
            <w:tcBorders>
              <w:top w:val="nil"/>
              <w:left w:val="nil"/>
              <w:bottom w:val="nil"/>
              <w:right w:val="nil"/>
            </w:tcBorders>
            <w:shd w:val="clear" w:color="auto" w:fill="F5F5F5"/>
            <w:vAlign w:val="center"/>
          </w:tcPr>
          <w:p ns2:paraId="42A5FE60" ns2:textId="77777777" w:rsidR="00C70AE2" w:rsidRDefault="00A36F18">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ns2:paraId="751C6F28"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5EE139E8"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0177542C" ns2: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ns2:paraId="59E4DC1F" ns2: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ns2:paraId="3BDD7DAF" ns2: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ns2:paraId="3B2B8182" ns2:textId="77777777" w:rsidR="00C70AE2" w:rsidRDefault="00C70AE2">
            <w:pPr>
              <w:spacing w:after="0" w:line="240" w:lineRule="auto"/>
              <w:jc w:val="center"/>
            </w:pPr>
          </w:p>
        </w:tc>
      </w:tr>
      <w:tr w:rsidR="00C70AE2" ns2:paraId="2CA954C3" ns2:textId="77777777">
        <w:trPr>
          <w:cantSplit/>
          <w:jc w:val="center"/>
        </w:trPr>
        <w:tc>
          <w:tcPr>
            <w:tcW w:w="3528" w:type="dxa"/>
            <w:tcBorders>
              <w:top w:val="nil"/>
              <w:left w:val="nil"/>
              <w:bottom w:val="nil"/>
              <w:right w:val="nil"/>
            </w:tcBorders>
            <w:vAlign w:val="center"/>
          </w:tcPr>
          <w:p ns2:paraId="159D9EAB" ns2:textId="77777777" w:rsidR="00C70AE2" w:rsidRDefault="00A36F18">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ns2:paraId="5ADCC775" ns2: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62DCBC54" ns2: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4931C0C6" ns2: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ns2:paraId="14BD591A" ns2:textId="77777777" w:rsidR="00C70AE2" w:rsidRDefault="00A36F18">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ns2:paraId="3F1006DF" ns2:textId="77777777" w:rsidR="00C70AE2" w:rsidRDefault="00A36F18">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ns2:paraId="64E47D57" ns2:textId="77777777" w:rsidR="00C70AE2" w:rsidRDefault="00A36F18">
            <w:pPr>
              <w:spacing w:after="0" w:line="240" w:lineRule="auto"/>
              <w:jc w:val="center"/>
            </w:pPr>
            <w:r>
              <w:rPr>
                <w:rFonts w:ascii="Times New Roman" w:hAnsi="Times New Roman"/>
                <w:sz w:val="15"/>
              </w:rPr>
              <w:t>HS share</w:t>
            </w:r>
          </w:p>
        </w:tc>
      </w:tr>
      <w:tr w:rsidR="00C70AE2" ns2:paraId="558E830C" ns2:textId="77777777">
        <w:trPr>
          <w:cantSplit/>
          <w:jc w:val="center"/>
        </w:trPr>
        <w:tc>
          <w:tcPr>
            <w:tcW w:w="3528" w:type="dxa"/>
            <w:tcBorders>
              <w:top w:val="nil"/>
              <w:left w:val="nil"/>
              <w:bottom w:val="nil"/>
              <w:right w:val="nil"/>
            </w:tcBorders>
            <w:vAlign w:val="center"/>
          </w:tcPr>
          <w:p ns2:paraId="772594BA" ns2:textId="77777777" w:rsidR="00C70AE2" w:rsidRDefault="00A36F18">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ns2:paraId="77C7A63E"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41419056" ns2: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0B4AF7CE" ns2: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56115507" ns2: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71F7DA69" ns2: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4C82EB6D" ns2:textId="77777777" w:rsidR="00C70AE2" w:rsidRDefault="00A36F18">
            <w:pPr>
              <w:spacing w:after="0" w:line="240" w:lineRule="auto"/>
              <w:jc w:val="center"/>
            </w:pPr>
            <w:r>
              <w:rPr>
                <w:rFonts w:ascii="Times New Roman" w:hAnsi="Times New Roman"/>
                <w:sz w:val="15"/>
              </w:rPr>
              <w:t>Yes</w:t>
            </w:r>
          </w:p>
        </w:tc>
      </w:tr>
      <w:tr w:rsidR="00C70AE2" ns2:paraId="22A86798" ns2:textId="77777777">
        <w:trPr>
          <w:cantSplit/>
          <w:jc w:val="center"/>
        </w:trPr>
        <w:tc>
          <w:tcPr>
            <w:tcW w:w="3528" w:type="dxa"/>
            <w:tcBorders>
              <w:top w:val="nil"/>
              <w:left w:val="nil"/>
              <w:bottom w:val="nil"/>
              <w:right w:val="nil"/>
            </w:tcBorders>
            <w:vAlign w:val="center"/>
          </w:tcPr>
          <w:p ns2:paraId="57464404" ns2:textId="77777777" w:rsidR="00C70AE2" w:rsidRDefault="00A36F18">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ns2:paraId="3DAC336E"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123DE4F8"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6B85C80C" ns2: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ns2:paraId="065858EB" ns2: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0657D9B6" ns2: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7347C047" ns2:textId="77777777" w:rsidR="00C70AE2" w:rsidRDefault="00A36F18">
            <w:pPr>
              <w:spacing w:after="0" w:line="240" w:lineRule="auto"/>
              <w:jc w:val="center"/>
            </w:pPr>
            <w:r>
              <w:rPr>
                <w:rFonts w:ascii="Times New Roman" w:hAnsi="Times New Roman"/>
                <w:sz w:val="15"/>
              </w:rPr>
              <w:t>Yes</w:t>
            </w:r>
          </w:p>
        </w:tc>
      </w:tr>
      <w:tr w:rsidR="00C70AE2" ns2:paraId="4F729303" ns2:textId="77777777">
        <w:trPr>
          <w:cantSplit/>
          <w:jc w:val="center"/>
        </w:trPr>
        <w:tc>
          <w:tcPr>
            <w:tcW w:w="3528" w:type="dxa"/>
            <w:tcBorders>
              <w:top w:val="nil"/>
              <w:left w:val="nil"/>
              <w:bottom w:val="nil"/>
              <w:right w:val="nil"/>
            </w:tcBorders>
            <w:vAlign w:val="center"/>
          </w:tcPr>
          <w:p ns2:paraId="319AF92D" ns2:textId="77777777" w:rsidR="00C70AE2" w:rsidRDefault="00A36F18">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ns2:paraId="21560DB7"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7D58DB33"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54DE3CCC" ns2: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ns2:paraId="6CCF2EF4" ns2: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ns2:paraId="63494677" ns2: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ns2:paraId="0D213ECA" ns2:textId="77777777" w:rsidR="00C70AE2" w:rsidRDefault="00A36F18">
            <w:pPr>
              <w:spacing w:after="0" w:line="240" w:lineRule="auto"/>
              <w:jc w:val="center"/>
            </w:pPr>
            <w:r>
              <w:rPr>
                <w:rFonts w:ascii="Times New Roman" w:hAnsi="Times New Roman"/>
                <w:sz w:val="15"/>
              </w:rPr>
              <w:t>Yes</w:t>
            </w:r>
          </w:p>
        </w:tc>
      </w:tr>
      <w:tr w:rsidR="00C70AE2" ns2:paraId="46760E4B" ns2:textId="77777777">
        <w:trPr>
          <w:cantSplit/>
          <w:jc w:val="center"/>
        </w:trPr>
        <w:tc>
          <w:tcPr>
            <w:tcW w:w="3528" w:type="dxa"/>
            <w:tcBorders>
              <w:top w:val="nil"/>
              <w:left w:val="nil"/>
              <w:bottom w:val="nil"/>
              <w:right w:val="nil"/>
            </w:tcBorders>
            <w:vAlign w:val="center"/>
          </w:tcPr>
          <w:p ns2:paraId="797ECCCD" ns2:textId="77777777" w:rsidR="00C70AE2" w:rsidRDefault="00A36F18">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ns2:paraId="1083D833" ns2: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ns2:paraId="2D09DC71" ns2: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ns2:paraId="6E5AB291" ns2:textId="77777777" w:rsidR="00C70AE2" w:rsidRDefault="00A36F18">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ns2:paraId="28814483" ns2:textId="77777777" w:rsidR="00C70AE2" w:rsidRDefault="00A36F18">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ns2:paraId="022E155C" ns2:textId="77777777" w:rsidR="00C70AE2" w:rsidRDefault="00A36F18">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ns2:paraId="3CF60DA4" ns2:textId="77777777" w:rsidR="00C70AE2" w:rsidRDefault="00A36F18">
            <w:pPr>
              <w:spacing w:after="0" w:line="240" w:lineRule="auto"/>
              <w:jc w:val="center"/>
            </w:pPr>
            <w:r>
              <w:rPr>
                <w:rFonts w:ascii="Times New Roman" w:hAnsi="Times New Roman"/>
                <w:sz w:val="15"/>
              </w:rPr>
              <w:t>280</w:t>
            </w:r>
          </w:p>
        </w:tc>
      </w:tr>
      <w:tr w:rsidR="00C70AE2" ns2:paraId="248A6195" ns2:textId="77777777">
        <w:trPr>
          <w:cantSplit/>
          <w:jc w:val="center"/>
        </w:trPr>
        <w:tc>
          <w:tcPr>
            <w:tcW w:w="3528" w:type="dxa"/>
            <w:tcBorders>
              <w:top w:val="nil"/>
              <w:left w:val="nil"/>
              <w:bottom w:val="single" w:sz="10" w:space="0" w:color="000000"/>
              <w:right w:val="nil"/>
            </w:tcBorders>
            <w:vAlign w:val="center"/>
          </w:tcPr>
          <w:p ns2:paraId="3A0F2931" ns2:textId="77777777" w:rsidR="00C70AE2" w:rsidRDefault="00A36F18">
            <w:pPr>
              <w:spacing w:after="0" w:line="240" w:lineRule="auto"/>
            </w:pPr>
            <w:r>
              <w:rPr>
                <w:rFonts w:ascii="Times New Roman" w:hAnsi="Times New Roman"/>
                <w:sz w:val="15"/>
              </w:rPr>
              <w:t>Destination clusters</w:t>
            </w:r>
          </w:p>
        </w:tc>
        <w:tc>
          <w:tcPr>
            <w:tcW w:w="907" w:type="dxa"/>
            <w:tcBorders>
              <w:top w:val="nil"/>
              <w:left w:val="nil"/>
              <w:bottom w:val="single" w:sz="10" w:space="0" w:color="000000"/>
              <w:right w:val="nil"/>
            </w:tcBorders>
            <w:vAlign w:val="center"/>
          </w:tcPr>
          <w:p ns2:paraId="72ABFD63" ns2: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4B24AED5" ns2: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5954028F" ns2: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ns2:paraId="06F31858" ns2:textId="77777777" w:rsidR="00C70AE2" w:rsidRDefault="00A36F18">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ns2:paraId="36F9AD21" ns2:textId="77777777" w:rsidR="00C70AE2" w:rsidRDefault="00A36F18">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ns2:paraId="23739791" ns2:textId="77777777" w:rsidR="00C70AE2" w:rsidRDefault="00A36F18">
            <w:pPr>
              <w:spacing w:after="0" w:line="240" w:lineRule="auto"/>
              <w:jc w:val="center"/>
            </w:pPr>
            <w:r>
              <w:rPr>
                <w:rFonts w:ascii="Times New Roman" w:hAnsi="Times New Roman"/>
                <w:sz w:val="15"/>
              </w:rPr>
              <w:t>30</w:t>
            </w:r>
          </w:p>
        </w:tc>
      </w:tr>
    </w:tbl>
    <w:p ns2:paraId="6BCE44AD" ns2:textId="77777777" w:rsidR="001D720F" w:rsidRDefault="00A36F18" w:rsidP="001D720F">
      <w:pPr>
        <w:jc w:val="center"/>
      </w:pPr>
      <w:r>
        <w:lastRenderedPageBreak/>
        <w:t>Table 6 note. All models include destination and year fixed effects. The first two columns include 2008-2019 because they do not require lagged permit scale. The remaining columns begin in 2009 because the 2008 outcome has no 2007 permit value from which to construct that control; missing unemployment further reduces the full-control sample. All columns apply the minimum current employment-permit denominator of 30. The progressive coefficients are therefore not estimated on an identical sample. In all regression tables, N denotes the number of observations retained after the specification's outcome, lags, controls, and fixed effects are jointly available; G denotes the number of destination-country clusters used for cluster-robust inference.</w:t>
      </w:r>
    </w:p>
    <w:p ns2:paraId="632D9FD9" ns2:textId="77777777" w:rsidR="001D720F" w:rsidRPr="001D720F" w:rsidRDefault="008A042F" w:rsidP="001D720F">
      <w:r>
        <w:t xml:space="preserve">Table 6 shows that none of the aggregate coefficients reaches five-percent significance as controls are added. The thesis therefore bases its main claim on the bilateral model, where origin-year fixed effects absorb migration pressures that are lost in aggregation. </w:t>
      </w:r>
    </w:p>
    <w:p ns2:paraId="685A4389" ns2:textId="77777777" w:rsidR="00961C7F" w:rsidRDefault="008A042F">
      <w:pPr>
        <w:pStyle w:val="Heading2"/>
      </w:pPr>
      <w:r>
        <w:t>7.2 Preferred bilateral origin-year fixed-effects result</w:t>
      </w:r>
    </w:p>
    <w:p ns2:paraId="69DDDAB3" ns2:textId="77777777" w:rsidR="001D720F" w:rsidRDefault="008A042F" w:rsidP="007D1ADB">
      <w:pPr>
        <w:jc w:val="both"/>
      </w:pPr>
      <w:r>
        <w:t xml:space="preserve">The bilateral specification is the main test of the Section 3 prediction. It uses the all-migrant-worker-only cumulative measure, origin-year fixed effects, and permit-denominator weights. These choices address two weaknesses of the aggregate model: unobserved origin-side </w:t>
      </w:r>
    </w:p>
    <w:tbl>
      <w:tblPr>
        <w:tblpPr w:leftFromText="180" w:rightFromText="180" w:vertAnchor="text" w:horzAnchor="margin" w:tblpY="923"/>
        <w:tblW w:w="9360" w:type="dxa"/>
        <w:tblLayout w:type="fixed"/>
        <w:tblLook w:val="04A0" w:firstRow="1" w:lastRow="0" w:firstColumn="1" w:lastColumn="0" w:noHBand="0" w:noVBand="1"/>
      </w:tblPr>
      <w:tblGrid>
        <w:gridCol w:w="3672"/>
        <w:gridCol w:w="1440"/>
        <w:gridCol w:w="1440"/>
        <w:gridCol w:w="1440"/>
        <w:gridCol w:w="1368"/>
      </w:tblGrid>
      <w:tr w:rsidR="001D720F" ns2:paraId="11AF9F86" ns2:textId="77777777" w:rsidTr="001D720F">
        <w:trPr>
          <w:cantSplit/>
          <w:tblHeader/>
        </w:trPr>
        <w:tc>
          <w:tcPr>
            <w:tcW w:w="3672" w:type="dxa"/>
            <w:tcBorders>
              <w:top w:val="single" w:sz="10" w:space="0" w:color="000000"/>
              <w:left w:val="nil"/>
              <w:bottom w:val="single" w:sz="8" w:space="0" w:color="000000"/>
              <w:right w:val="nil"/>
            </w:tcBorders>
            <w:shd w:val="clear" w:color="auto" w:fill="EDEDED"/>
            <w:vAlign w:val="center"/>
          </w:tcPr>
          <w:p ns2:paraId="7F1BEF7F" ns2:textId="77777777" w:rsidR="001D720F" w:rsidRDefault="001D720F" w:rsidP="001D720F">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ns2:paraId="6DBFDF9C" ns2:textId="77777777" w:rsidR="001D720F" w:rsidRDefault="001D720F" w:rsidP="001D720F">
            <w:pPr>
              <w:spacing w:after="0" w:line="240" w:lineRule="auto"/>
              <w:jc w:val="center"/>
            </w:pPr>
            <w:r>
              <w:rPr>
                <w:rFonts w:ascii="Times New Roman" w:hAnsi="Times New Roman"/>
                <w:b/>
                <w:sz w:val="15"/>
              </w:rPr>
              <w:t>Preferred bilateral (weighted)</w:t>
            </w:r>
          </w:p>
        </w:tc>
        <w:tc>
          <w:tcPr>
            <w:tcW w:w="1440" w:type="dxa"/>
            <w:tcBorders>
              <w:top w:val="single" w:sz="10" w:space="0" w:color="000000"/>
              <w:left w:val="nil"/>
              <w:bottom w:val="single" w:sz="8" w:space="0" w:color="000000"/>
              <w:right w:val="nil"/>
            </w:tcBorders>
            <w:shd w:val="clear" w:color="auto" w:fill="EDEDED"/>
            <w:vAlign w:val="center"/>
          </w:tcPr>
          <w:p ns2:paraId="74F242E7" ns2:textId="77777777" w:rsidR="001D720F" w:rsidRDefault="001D720F" w:rsidP="001D720F">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ns2:paraId="0CFD9307" ns2:textId="77777777" w:rsidR="001D720F" w:rsidRDefault="001D720F" w:rsidP="001D720F">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ns2:paraId="76FE37CD" ns2:textId="77777777" w:rsidR="001D720F" w:rsidRDefault="001D720F" w:rsidP="001D720F">
            <w:pPr>
              <w:spacing w:after="0" w:line="240" w:lineRule="auto"/>
              <w:jc w:val="center"/>
            </w:pPr>
            <w:r>
              <w:rPr>
                <w:rFonts w:ascii="Times New Roman" w:hAnsi="Times New Roman"/>
                <w:b/>
                <w:sz w:val="15"/>
              </w:rPr>
              <w:t>Annual policy flow</w:t>
            </w:r>
          </w:p>
        </w:tc>
      </w:tr>
      <w:tr w:rsidR="001D720F" ns2:paraId="7651A47B" ns2:textId="77777777" w:rsidTr="001D720F">
        <w:trPr>
          <w:cantSplit/>
        </w:trPr>
        <w:tc>
          <w:tcPr>
            <w:tcW w:w="3672" w:type="dxa"/>
            <w:tcBorders>
              <w:top w:val="nil"/>
              <w:left w:val="nil"/>
              <w:bottom w:val="nil"/>
              <w:right w:val="nil"/>
            </w:tcBorders>
            <w:shd w:val="clear" w:color="auto" w:fill="F5F5F5"/>
            <w:vAlign w:val="center"/>
          </w:tcPr>
          <w:p ns2:paraId="19878850" ns2:textId="77777777" w:rsidR="001D720F" w:rsidRDefault="001D720F" w:rsidP="001D720F">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ns2:paraId="7F85141D" ns2:textId="77777777" w:rsidR="001D720F" w:rsidRDefault="001D720F" w:rsidP="001D720F">
            <w:pPr>
              <w:spacing w:after="0" w:line="240" w:lineRule="auto"/>
              <w:jc w:val="center"/>
            </w:pPr>
          </w:p>
        </w:tc>
        <w:tc>
          <w:tcPr>
            <w:tcW w:w="1440" w:type="dxa"/>
            <w:tcBorders>
              <w:top w:val="nil"/>
              <w:left w:val="nil"/>
              <w:bottom w:val="nil"/>
              <w:right w:val="nil"/>
            </w:tcBorders>
            <w:shd w:val="clear" w:color="auto" w:fill="F5F5F5"/>
            <w:vAlign w:val="center"/>
          </w:tcPr>
          <w:p ns2:paraId="2F619F70" ns2:textId="77777777" w:rsidR="001D720F" w:rsidRDefault="001D720F" w:rsidP="001D720F">
            <w:pPr>
              <w:spacing w:after="0" w:line="240" w:lineRule="auto"/>
              <w:jc w:val="center"/>
            </w:pPr>
          </w:p>
        </w:tc>
        <w:tc>
          <w:tcPr>
            <w:tcW w:w="1440" w:type="dxa"/>
            <w:tcBorders>
              <w:top w:val="nil"/>
              <w:left w:val="nil"/>
              <w:bottom w:val="nil"/>
              <w:right w:val="nil"/>
            </w:tcBorders>
            <w:shd w:val="clear" w:color="auto" w:fill="F5F5F5"/>
            <w:vAlign w:val="center"/>
          </w:tcPr>
          <w:p ns2:paraId="4F2E4BC0" ns2:textId="77777777" w:rsidR="001D720F" w:rsidRDefault="001D720F" w:rsidP="001D720F">
            <w:pPr>
              <w:spacing w:after="0" w:line="240" w:lineRule="auto"/>
              <w:jc w:val="center"/>
            </w:pPr>
          </w:p>
        </w:tc>
        <w:tc>
          <w:tcPr>
            <w:tcW w:w="1368" w:type="dxa"/>
            <w:tcBorders>
              <w:top w:val="nil"/>
              <w:left w:val="nil"/>
              <w:bottom w:val="nil"/>
              <w:right w:val="nil"/>
            </w:tcBorders>
            <w:shd w:val="clear" w:color="auto" w:fill="F5F5F5"/>
            <w:vAlign w:val="center"/>
          </w:tcPr>
          <w:p ns2:paraId="3E1CEA34" ns2:textId="77777777" w:rsidR="001D720F" w:rsidRDefault="001D720F" w:rsidP="001D720F">
            <w:pPr>
              <w:spacing w:after="0" w:line="240" w:lineRule="auto"/>
              <w:jc w:val="center"/>
            </w:pPr>
          </w:p>
        </w:tc>
      </w:tr>
      <w:tr w:rsidR="001D720F" ns2:paraId="47FCBBE0" ns2:textId="77777777" w:rsidTr="001D720F">
        <w:trPr>
          <w:cantSplit/>
        </w:trPr>
        <w:tc>
          <w:tcPr>
            <w:tcW w:w="3672" w:type="dxa"/>
            <w:tcBorders>
              <w:top w:val="nil"/>
              <w:left w:val="nil"/>
              <w:bottom w:val="nil"/>
              <w:right w:val="nil"/>
            </w:tcBorders>
            <w:vAlign w:val="center"/>
          </w:tcPr>
          <w:p ns2:paraId="351FE97C" ns2:textId="77777777" w:rsidR="001D720F" w:rsidRDefault="001D720F" w:rsidP="001D720F">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ns2:paraId="244D1BFB" ns2:textId="77777777" w:rsidR="001D720F" w:rsidRDefault="001D720F" w:rsidP="001D720F">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ns2:paraId="3D372F2C" ns2:textId="77777777" w:rsidR="001D720F" w:rsidRDefault="001D720F" w:rsidP="001D720F">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ns2:paraId="09196D4D" ns2:textId="77777777" w:rsidR="001D720F" w:rsidRDefault="001D720F" w:rsidP="001D720F">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ns2:paraId="2F82CCEF" ns2:textId="77777777" w:rsidR="001D720F" w:rsidRDefault="001D720F" w:rsidP="001D720F">
            <w:pPr>
              <w:spacing w:after="0" w:line="240" w:lineRule="auto"/>
              <w:jc w:val="center"/>
            </w:pPr>
            <w:r>
              <w:rPr>
                <w:rFonts w:ascii="Times New Roman" w:hAnsi="Times New Roman"/>
                <w:sz w:val="15"/>
              </w:rPr>
              <w:t>--</w:t>
            </w:r>
          </w:p>
        </w:tc>
      </w:tr>
      <w:tr w:rsidR="001D720F" ns2:paraId="0792789C" ns2:textId="77777777" w:rsidTr="001D720F">
        <w:trPr>
          <w:cantSplit/>
        </w:trPr>
        <w:tc>
          <w:tcPr>
            <w:tcW w:w="3672" w:type="dxa"/>
            <w:tcBorders>
              <w:top w:val="nil"/>
              <w:left w:val="nil"/>
              <w:bottom w:val="nil"/>
              <w:right w:val="nil"/>
            </w:tcBorders>
            <w:vAlign w:val="center"/>
          </w:tcPr>
          <w:p ns2:paraId="45C04C0D" ns2:textId="77777777" w:rsidR="001D720F" w:rsidRDefault="001D720F" w:rsidP="001D720F">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ns2:paraId="7D327A17" ns2:textId="77777777" w:rsidR="001D720F" w:rsidRDefault="001D720F" w:rsidP="001D720F">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ns2:paraId="1482CFBA" ns2:textId="77777777" w:rsidR="001D720F" w:rsidRDefault="001D720F" w:rsidP="001D720F">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ns2:paraId="7967C059" ns2:textId="77777777" w:rsidR="001D720F" w:rsidRDefault="001D720F" w:rsidP="001D720F">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ns2:paraId="1C4B15DD" ns2:textId="77777777" w:rsidR="001D720F" w:rsidRDefault="001D720F" w:rsidP="001D720F">
            <w:pPr>
              <w:spacing w:after="0" w:line="240" w:lineRule="auto"/>
              <w:jc w:val="center"/>
            </w:pPr>
            <w:r>
              <w:rPr>
                <w:rFonts w:ascii="Times New Roman" w:hAnsi="Times New Roman"/>
                <w:sz w:val="15"/>
              </w:rPr>
              <w:t>--</w:t>
            </w:r>
          </w:p>
        </w:tc>
      </w:tr>
      <w:tr w:rsidR="001D720F" ns2:paraId="6A003955" ns2:textId="77777777" w:rsidTr="001D720F">
        <w:trPr>
          <w:cantSplit/>
        </w:trPr>
        <w:tc>
          <w:tcPr>
            <w:tcW w:w="3672" w:type="dxa"/>
            <w:tcBorders>
              <w:top w:val="nil"/>
              <w:left w:val="nil"/>
              <w:bottom w:val="nil"/>
              <w:right w:val="nil"/>
            </w:tcBorders>
            <w:vAlign w:val="center"/>
          </w:tcPr>
          <w:p ns2:paraId="1929AA6D" ns2:textId="77777777" w:rsidR="001D720F" w:rsidRDefault="001D720F" w:rsidP="001D720F">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ns2:paraId="6E7BE273" ns2:textId="77777777" w:rsidR="001D720F" w:rsidRDefault="001D720F" w:rsidP="001D720F">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ns2:paraId="21AB413A" ns2:textId="77777777" w:rsidR="001D720F" w:rsidRDefault="001D720F" w:rsidP="001D720F">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ns2:paraId="41F213AE" ns2:textId="77777777" w:rsidR="001D720F" w:rsidRDefault="001D720F" w:rsidP="001D720F">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ns2:paraId="7EE9CA3B" ns2:textId="77777777" w:rsidR="001D720F" w:rsidRDefault="001D720F" w:rsidP="001D720F">
            <w:pPr>
              <w:spacing w:after="0" w:line="240" w:lineRule="auto"/>
              <w:jc w:val="center"/>
            </w:pPr>
            <w:r>
              <w:rPr>
                <w:rFonts w:ascii="Times New Roman" w:hAnsi="Times New Roman"/>
                <w:sz w:val="15"/>
              </w:rPr>
              <w:t>--</w:t>
            </w:r>
          </w:p>
        </w:tc>
      </w:tr>
      <w:tr w:rsidR="001D720F" ns2:paraId="666F5B86" ns2:textId="77777777" w:rsidTr="001D720F">
        <w:trPr>
          <w:cantSplit/>
        </w:trPr>
        <w:tc>
          <w:tcPr>
            <w:tcW w:w="3672" w:type="dxa"/>
            <w:tcBorders>
              <w:top w:val="nil"/>
              <w:left w:val="nil"/>
              <w:bottom w:val="nil"/>
              <w:right w:val="nil"/>
            </w:tcBorders>
            <w:vAlign w:val="center"/>
          </w:tcPr>
          <w:p ns2:paraId="25A4747B" ns2:textId="77777777" w:rsidR="001D720F" w:rsidRDefault="001D720F" w:rsidP="001D720F">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ns2:paraId="31155D2A"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1BA3DCDE"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785CE47F" ns2:textId="77777777" w:rsidR="001D720F" w:rsidRDefault="001D720F" w:rsidP="001D720F">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1EB6D0A7" ns2:textId="77777777" w:rsidR="001D720F" w:rsidRDefault="001D720F" w:rsidP="001D720F">
            <w:pPr>
              <w:spacing w:after="0" w:line="240" w:lineRule="auto"/>
              <w:jc w:val="center"/>
            </w:pPr>
            <w:r>
              <w:rPr>
                <w:rFonts w:ascii="Times New Roman" w:hAnsi="Times New Roman"/>
                <w:sz w:val="15"/>
              </w:rPr>
              <w:t>0.000407</w:t>
            </w:r>
          </w:p>
        </w:tc>
      </w:tr>
      <w:tr w:rsidR="001D720F" ns2:paraId="24F679B2" ns2:textId="77777777" w:rsidTr="001D720F">
        <w:trPr>
          <w:cantSplit/>
        </w:trPr>
        <w:tc>
          <w:tcPr>
            <w:tcW w:w="3672" w:type="dxa"/>
            <w:tcBorders>
              <w:top w:val="nil"/>
              <w:left w:val="nil"/>
              <w:bottom w:val="nil"/>
              <w:right w:val="nil"/>
            </w:tcBorders>
            <w:vAlign w:val="center"/>
          </w:tcPr>
          <w:p ns2:paraId="5917211C" ns2:textId="77777777" w:rsidR="001D720F" w:rsidRDefault="001D720F" w:rsidP="001D720F">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ns2:paraId="675E0B8E"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1DEE455E"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58E7E783" ns2:textId="77777777" w:rsidR="001D720F" w:rsidRDefault="001D720F" w:rsidP="001D720F">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53A9678D" ns2:textId="77777777" w:rsidR="001D720F" w:rsidRDefault="001D720F" w:rsidP="001D720F">
            <w:pPr>
              <w:spacing w:after="0" w:line="240" w:lineRule="auto"/>
              <w:jc w:val="center"/>
            </w:pPr>
            <w:r>
              <w:rPr>
                <w:rFonts w:ascii="Times New Roman" w:hAnsi="Times New Roman"/>
                <w:sz w:val="15"/>
              </w:rPr>
              <w:t>(0.001935)</w:t>
            </w:r>
          </w:p>
        </w:tc>
      </w:tr>
      <w:tr w:rsidR="001D720F" ns2:paraId="385CA847" ns2:textId="77777777" w:rsidTr="001D720F">
        <w:trPr>
          <w:cantSplit/>
        </w:trPr>
        <w:tc>
          <w:tcPr>
            <w:tcW w:w="3672" w:type="dxa"/>
            <w:tcBorders>
              <w:top w:val="nil"/>
              <w:left w:val="nil"/>
              <w:bottom w:val="nil"/>
              <w:right w:val="nil"/>
            </w:tcBorders>
            <w:vAlign w:val="center"/>
          </w:tcPr>
          <w:p ns2:paraId="1EA7639A" ns2:textId="77777777" w:rsidR="001D720F" w:rsidRDefault="001D720F" w:rsidP="001D720F">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ns2:paraId="16A4DECB"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4E03CF09" ns2:textId="77777777" w:rsidR="001D720F" w:rsidRDefault="001D720F" w:rsidP="001D720F">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ns2:paraId="032A7C71" ns2:textId="77777777" w:rsidR="001D720F" w:rsidRDefault="001D720F" w:rsidP="001D720F">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ns2:paraId="0FF4AB4F" ns2:textId="77777777" w:rsidR="001D720F" w:rsidRDefault="001D720F" w:rsidP="001D720F">
            <w:pPr>
              <w:spacing w:after="0" w:line="240" w:lineRule="auto"/>
              <w:jc w:val="center"/>
            </w:pPr>
            <w:r>
              <w:rPr>
                <w:rFonts w:ascii="Times New Roman" w:hAnsi="Times New Roman"/>
                <w:sz w:val="15"/>
              </w:rPr>
              <w:t>0.835</w:t>
            </w:r>
          </w:p>
        </w:tc>
      </w:tr>
      <w:tr w:rsidR="001D720F" ns2:paraId="32A7A1D4" ns2:textId="77777777" w:rsidTr="001D720F">
        <w:trPr>
          <w:cantSplit/>
        </w:trPr>
        <w:tc>
          <w:tcPr>
            <w:tcW w:w="3672" w:type="dxa"/>
            <w:tcBorders>
              <w:top w:val="nil"/>
              <w:left w:val="nil"/>
              <w:bottom w:val="nil"/>
              <w:right w:val="nil"/>
            </w:tcBorders>
            <w:shd w:val="clear" w:color="auto" w:fill="F5F5F5"/>
            <w:vAlign w:val="center"/>
          </w:tcPr>
          <w:p ns2:paraId="55B08D93" ns2:textId="77777777" w:rsidR="001D720F" w:rsidRDefault="001D720F" w:rsidP="001D720F">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ns2:paraId="71341BD0" ns2:textId="77777777" w:rsidR="001D720F" w:rsidRDefault="001D720F" w:rsidP="001D720F">
            <w:pPr>
              <w:spacing w:after="0" w:line="240" w:lineRule="auto"/>
              <w:jc w:val="center"/>
            </w:pPr>
          </w:p>
        </w:tc>
        <w:tc>
          <w:tcPr>
            <w:tcW w:w="1440" w:type="dxa"/>
            <w:tcBorders>
              <w:top w:val="nil"/>
              <w:left w:val="nil"/>
              <w:bottom w:val="nil"/>
              <w:right w:val="nil"/>
            </w:tcBorders>
            <w:shd w:val="clear" w:color="auto" w:fill="F5F5F5"/>
            <w:vAlign w:val="center"/>
          </w:tcPr>
          <w:p ns2:paraId="771BEB7A" ns2:textId="77777777" w:rsidR="001D720F" w:rsidRDefault="001D720F" w:rsidP="001D720F">
            <w:pPr>
              <w:spacing w:after="0" w:line="240" w:lineRule="auto"/>
              <w:jc w:val="center"/>
            </w:pPr>
          </w:p>
        </w:tc>
        <w:tc>
          <w:tcPr>
            <w:tcW w:w="1440" w:type="dxa"/>
            <w:tcBorders>
              <w:top w:val="nil"/>
              <w:left w:val="nil"/>
              <w:bottom w:val="nil"/>
              <w:right w:val="nil"/>
            </w:tcBorders>
            <w:shd w:val="clear" w:color="auto" w:fill="F5F5F5"/>
            <w:vAlign w:val="center"/>
          </w:tcPr>
          <w:p ns2:paraId="05259D56" ns2:textId="77777777" w:rsidR="001D720F" w:rsidRDefault="001D720F" w:rsidP="001D720F">
            <w:pPr>
              <w:spacing w:after="0" w:line="240" w:lineRule="auto"/>
              <w:jc w:val="center"/>
            </w:pPr>
          </w:p>
        </w:tc>
        <w:tc>
          <w:tcPr>
            <w:tcW w:w="1368" w:type="dxa"/>
            <w:tcBorders>
              <w:top w:val="nil"/>
              <w:left w:val="nil"/>
              <w:bottom w:val="nil"/>
              <w:right w:val="nil"/>
            </w:tcBorders>
            <w:shd w:val="clear" w:color="auto" w:fill="F5F5F5"/>
            <w:vAlign w:val="center"/>
          </w:tcPr>
          <w:p ns2:paraId="0F11A305" ns2:textId="77777777" w:rsidR="001D720F" w:rsidRDefault="001D720F" w:rsidP="001D720F">
            <w:pPr>
              <w:spacing w:after="0" w:line="240" w:lineRule="auto"/>
              <w:jc w:val="center"/>
            </w:pPr>
          </w:p>
        </w:tc>
      </w:tr>
      <w:tr w:rsidR="001D720F" ns2:paraId="415DC831" ns2:textId="77777777" w:rsidTr="001D720F">
        <w:trPr>
          <w:cantSplit/>
        </w:trPr>
        <w:tc>
          <w:tcPr>
            <w:tcW w:w="3672" w:type="dxa"/>
            <w:tcBorders>
              <w:top w:val="nil"/>
              <w:left w:val="nil"/>
              <w:bottom w:val="nil"/>
              <w:right w:val="nil"/>
            </w:tcBorders>
            <w:vAlign w:val="center"/>
          </w:tcPr>
          <w:p ns2:paraId="63F7FF88" ns2:textId="77777777" w:rsidR="001D720F" w:rsidRDefault="001D720F" w:rsidP="001D720F">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ns2:paraId="3C12E31E" ns2:textId="77777777" w:rsidR="001D720F" w:rsidRDefault="001D720F" w:rsidP="001D720F">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ns2:paraId="3B9FC027" ns2:textId="77777777" w:rsidR="001D720F" w:rsidRDefault="001D720F" w:rsidP="001D720F">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ns2:paraId="7A9B723B" ns2:textId="77777777" w:rsidR="001D720F" w:rsidRDefault="001D720F" w:rsidP="001D720F">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ns2:paraId="387A2803" ns2:textId="77777777" w:rsidR="001D720F" w:rsidRDefault="001D720F" w:rsidP="001D720F">
            <w:pPr>
              <w:spacing w:after="0" w:line="240" w:lineRule="auto"/>
              <w:jc w:val="center"/>
            </w:pPr>
            <w:r>
              <w:rPr>
                <w:rFonts w:ascii="Times New Roman" w:hAnsi="Times New Roman"/>
                <w:sz w:val="15"/>
              </w:rPr>
              <w:t>Annual</w:t>
            </w:r>
          </w:p>
        </w:tc>
      </w:tr>
      <w:tr w:rsidR="001D720F" ns2:paraId="56DC993B" ns2:textId="77777777" w:rsidTr="001D720F">
        <w:trPr>
          <w:cantSplit/>
        </w:trPr>
        <w:tc>
          <w:tcPr>
            <w:tcW w:w="3672" w:type="dxa"/>
            <w:tcBorders>
              <w:top w:val="nil"/>
              <w:left w:val="nil"/>
              <w:bottom w:val="nil"/>
              <w:right w:val="nil"/>
            </w:tcBorders>
            <w:vAlign w:val="center"/>
          </w:tcPr>
          <w:p ns2:paraId="45D5D61E" ns2:textId="77777777" w:rsidR="001D720F" w:rsidRDefault="001D720F" w:rsidP="001D720F">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ns2:paraId="37842054" ns2:textId="77777777" w:rsidR="001D720F" w:rsidRDefault="001D720F" w:rsidP="001D720F">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62D911C7" ns2:textId="77777777" w:rsidR="001D720F" w:rsidRDefault="001D720F" w:rsidP="001D720F">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3C8BE246" ns2:textId="77777777" w:rsidR="001D720F" w:rsidRDefault="001D720F" w:rsidP="001D720F">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ns2:paraId="5D746F3F" ns2:textId="77777777" w:rsidR="001D720F" w:rsidRDefault="001D720F" w:rsidP="001D720F">
            <w:pPr>
              <w:spacing w:after="0" w:line="240" w:lineRule="auto"/>
              <w:jc w:val="center"/>
            </w:pPr>
            <w:r>
              <w:rPr>
                <w:rFonts w:ascii="Times New Roman" w:hAnsi="Times New Roman"/>
                <w:sz w:val="15"/>
              </w:rPr>
              <w:t>No</w:t>
            </w:r>
          </w:p>
        </w:tc>
      </w:tr>
      <w:tr w:rsidR="001D720F" ns2:paraId="384A8625" ns2:textId="77777777" w:rsidTr="001D720F">
        <w:trPr>
          <w:cantSplit/>
        </w:trPr>
        <w:tc>
          <w:tcPr>
            <w:tcW w:w="3672" w:type="dxa"/>
            <w:tcBorders>
              <w:top w:val="nil"/>
              <w:left w:val="nil"/>
              <w:bottom w:val="nil"/>
              <w:right w:val="nil"/>
            </w:tcBorders>
            <w:vAlign w:val="center"/>
          </w:tcPr>
          <w:p ns2:paraId="67EF4200" ns2:textId="77777777" w:rsidR="001D720F" w:rsidRDefault="001D720F" w:rsidP="001D720F">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ns2:paraId="60C3E479" ns2:textId="77777777" w:rsidR="001D720F" w:rsidRDefault="001D720F" w:rsidP="001D720F">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5620D411" ns2:textId="77777777" w:rsidR="001D720F" w:rsidRDefault="001D720F" w:rsidP="001D720F">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ns2:paraId="44746F69" ns2:textId="77777777" w:rsidR="001D720F" w:rsidRDefault="001D720F" w:rsidP="001D720F">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ns2:paraId="41E2E3D0" ns2:textId="77777777" w:rsidR="001D720F" w:rsidRDefault="001D720F" w:rsidP="001D720F">
            <w:pPr>
              <w:spacing w:after="0" w:line="240" w:lineRule="auto"/>
              <w:jc w:val="center"/>
            </w:pPr>
            <w:r>
              <w:rPr>
                <w:rFonts w:ascii="Times New Roman" w:hAnsi="Times New Roman"/>
                <w:sz w:val="15"/>
              </w:rPr>
              <w:t>Yes</w:t>
            </w:r>
          </w:p>
        </w:tc>
      </w:tr>
      <w:tr w:rsidR="001D720F" ns2:paraId="66397262" ns2:textId="77777777" w:rsidTr="001D720F">
        <w:trPr>
          <w:cantSplit/>
        </w:trPr>
        <w:tc>
          <w:tcPr>
            <w:tcW w:w="3672" w:type="dxa"/>
            <w:tcBorders>
              <w:top w:val="nil"/>
              <w:left w:val="nil"/>
              <w:bottom w:val="nil"/>
              <w:right w:val="nil"/>
            </w:tcBorders>
            <w:vAlign w:val="center"/>
          </w:tcPr>
          <w:p ns2:paraId="1E08FC48" ns2:textId="77777777" w:rsidR="001D720F" w:rsidRDefault="001D720F" w:rsidP="001D720F">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ns2:paraId="59C30A88" ns2:textId="77777777" w:rsidR="001D720F" w:rsidRDefault="001D720F" w:rsidP="001D720F">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2A77DBF9" ns2:textId="77777777" w:rsidR="001D720F" w:rsidRDefault="001D720F" w:rsidP="001D720F">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ns2:paraId="533EADC2" ns2:textId="77777777" w:rsidR="001D720F" w:rsidRDefault="001D720F" w:rsidP="001D720F">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ns2:paraId="269CBE33" ns2:textId="77777777" w:rsidR="001D720F" w:rsidRDefault="001D720F" w:rsidP="001D720F">
            <w:pPr>
              <w:spacing w:after="0" w:line="240" w:lineRule="auto"/>
              <w:jc w:val="center"/>
            </w:pPr>
            <w:r>
              <w:rPr>
                <w:rFonts w:ascii="Times New Roman" w:hAnsi="Times New Roman"/>
                <w:sz w:val="15"/>
              </w:rPr>
              <w:t>No</w:t>
            </w:r>
          </w:p>
        </w:tc>
      </w:tr>
      <w:tr w:rsidR="001D720F" ns2:paraId="2C5F305B" ns2:textId="77777777" w:rsidTr="001D720F">
        <w:trPr>
          <w:cantSplit/>
        </w:trPr>
        <w:tc>
          <w:tcPr>
            <w:tcW w:w="3672" w:type="dxa"/>
            <w:tcBorders>
              <w:top w:val="nil"/>
              <w:left w:val="nil"/>
              <w:bottom w:val="nil"/>
              <w:right w:val="nil"/>
            </w:tcBorders>
            <w:vAlign w:val="center"/>
          </w:tcPr>
          <w:p ns2:paraId="44E5FADC" ns2:textId="77777777" w:rsidR="001D720F" w:rsidRDefault="001D720F" w:rsidP="001D720F">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ns2:paraId="45D59AEB" ns2:textId="77777777" w:rsidR="001D720F" w:rsidRDefault="001D720F" w:rsidP="001D720F">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ns2:paraId="2EA510C6" ns2:textId="77777777" w:rsidR="001D720F" w:rsidRDefault="001D720F" w:rsidP="001D720F">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ns2:paraId="0D8148E2" ns2:textId="77777777" w:rsidR="001D720F" w:rsidRDefault="001D720F" w:rsidP="001D720F">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ns2:paraId="33D5CE7C" ns2:textId="77777777" w:rsidR="001D720F" w:rsidRDefault="001D720F" w:rsidP="001D720F">
            <w:pPr>
              <w:spacing w:after="0" w:line="240" w:lineRule="auto"/>
              <w:jc w:val="center"/>
            </w:pPr>
            <w:r>
              <w:rPr>
                <w:rFonts w:ascii="Times New Roman" w:hAnsi="Times New Roman"/>
                <w:sz w:val="15"/>
              </w:rPr>
              <w:t>5,608</w:t>
            </w:r>
          </w:p>
        </w:tc>
      </w:tr>
      <w:tr w:rsidR="001D720F" ns2:paraId="5AD28817" ns2:textId="77777777" w:rsidTr="001D720F">
        <w:trPr>
          <w:cantSplit/>
        </w:trPr>
        <w:tc>
          <w:tcPr>
            <w:tcW w:w="3672" w:type="dxa"/>
            <w:tcBorders>
              <w:top w:val="nil"/>
              <w:left w:val="nil"/>
              <w:bottom w:val="single" w:sz="10" w:space="0" w:color="000000"/>
              <w:right w:val="nil"/>
            </w:tcBorders>
            <w:vAlign w:val="center"/>
          </w:tcPr>
          <w:p ns2:paraId="5ACEED92" ns2:textId="77777777" w:rsidR="001D720F" w:rsidRDefault="001D720F" w:rsidP="001D720F">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ns2:paraId="4F7CE410" ns2:textId="77777777" w:rsidR="001D720F" w:rsidRDefault="001D720F" w:rsidP="001D720F">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ns2:paraId="0546147B" ns2:textId="77777777" w:rsidR="001D720F" w:rsidRDefault="001D720F" w:rsidP="001D720F">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ns2:paraId="6C8C5DEA" ns2:textId="77777777" w:rsidR="001D720F" w:rsidRDefault="001D720F" w:rsidP="001D720F">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ns2:paraId="5FFBD2CA" ns2:textId="77777777" w:rsidR="001D720F" w:rsidRDefault="001D720F" w:rsidP="001D720F">
            <w:pPr>
              <w:spacing w:after="0" w:line="240" w:lineRule="auto"/>
              <w:jc w:val="center"/>
            </w:pPr>
            <w:r>
              <w:rPr>
                <w:rFonts w:ascii="Times New Roman" w:hAnsi="Times New Roman"/>
                <w:sz w:val="15"/>
              </w:rPr>
              <w:t>30</w:t>
            </w:r>
          </w:p>
        </w:tc>
      </w:tr>
    </w:tbl>
    <w:p ns2:paraId="59BBCC18" ns2:textId="77777777" w:rsidR="00961C7F" w:rsidRDefault="008A042F" w:rsidP="007D1ADB">
      <w:pPr>
        <w:jc w:val="both"/>
      </w:pPr>
      <w:r>
        <w:t>conditions and noisy shares in small permit cells.</w:t>
      </w:r>
    </w:p>
    <w:p ns2:paraId="1491AA95" ns2:textId="77777777" w:rsidR="001D720F" w:rsidRDefault="001D720F" w:rsidP="00773048">
      <w:pPr>
        <w:jc w:val="center"/>
      </w:pPr>
      <w:r>
        <w:rPr>
          <w:b/>
          <w:i/>
        </w:rPr>
        <w:t>Table 7. Preferred bilateral specification and comparison models.</w:t>
      </w:r>
    </w:p>
    <w:p ns2:paraId="3349E541" ns2:textId="77777777" w:rsidR="004818D5" w:rsidRDefault="00A36F18" w:rsidP="00773048">
      <w:pPr>
        <w:jc w:val="center"/>
      </w:pPr>
      <w: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w:t>
      </w:r>
    </w:p>
    <w:p ns2:paraId="34ECC143" ns2:textId="77777777" w:rsidR="008F026E" w:rsidRDefault="00A36F18">
      <w:pPr>
        <w:jc w:val="both"/>
      </w:pPr>
      <w:r>
        <w:t xml:space="preserve">The preferred bilateral coefficient is β = 0.006516 with cluster-robust SE = 0.001612 (t = 4.04, p &lt; 0.001, N = 5,608 origin-destination-year cells across G = 30 destinations). The wild-cluster </w:t>
        <w:lastRenderedPageBreak/>
        <w:t>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the Table 7 notes. The high-skilled policy control is imprecisely estimated (β = 0.001423, p = 0.446). The low-skilled policy control is negative and marginal at ten percent (β = -0.008571, p = 0.085), so it is not treated as main evidence.</w:t>
      </w:r>
    </w:p>
    <w:p ns2:paraId="79BEE839" ns2:textId="77777777" w:rsidR="008F026E" w:rsidRDefault="00A36F18">
      <w:pPr>
        <w:jc w:val="both"/>
      </w:pPr>
      <w:r>
        <w:t>Scaling the estimate by event magnitude makes its size easier to interpret. A Mid-level restrictive reform contributes three cumulative units, corresponding to a 1.95-percentage-point higher 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 p = 0.243); its four-unit calculation is about 0.92 percentage points and is not statistically distinguishable from zero.</w:t>
      </w:r>
    </w:p>
    <w:p ns2:paraId="2BDFDE73" ns2:textId="77777777" w:rsidR="008F026E" w:rsidRDefault="00A36F18">
      <w:pPr>
        <w:jc w:val="both"/>
      </w:pPr>
      <w:r>
        <w:t>The alternative bilateral models clarify which design choices matter. The unweighted controlled estimate remains positive (β = 0.004587, SE = 0.001850, p = 0.019), but its wild-cluster bootstrap p-value is 0.079. After the few-cluster correction, the strongest evidence therefore comes from the denominator-weighted estimator chosen in advance. The weighted corridor-fixed-effects estimate is also positive and significant (β = 0.005495, SE = 0.001565, p = 0.0015; bootstrap p = 0.0045), so the retained-sample result does not depend only on stable corridor differences.</w:t>
      </w:r>
    </w:p>
    <w:p ns2:paraId="4665B27A" ns2:textId="77777777" w:rsidR="008F026E" w:rsidRDefault="00A36F18">
      <w:pPr>
        <w:jc w:val="both"/>
      </w:pPr>
      <w:r>
        <w:t>Section 8 shows that the preferred bilateral result also survives removal of the EMP &gt;= 30 cutoff, although the unweighted no-cutoff estimate is imprecise. By contrast, the bilateral annual policy-flow coefficient is not significant (β = 0.000407, p = 0.835). The preferred finding is therefore a cumulative net-policy-change association, not evidence of a short-run response to newly adopted annual events.</w:t>
      </w:r>
    </w:p>
    <w:p ns2:paraId="467CBDD9" ns2:textId="77777777" w:rsidR="00961C7F" w:rsidRDefault="008A042F">
      <w:pPr>
        <w:pStyle w:val="Heading2"/>
      </w:pPr>
      <w:r>
        <w:t>7.3 Interpretation of the significant and non-significant findings</w:t>
      </w:r>
    </w:p>
    <w:p ns2:paraId="3A8C0B45" ns2:textId="77777777" w:rsidR="0002048E" w:rsidRDefault="0002048E" w:rsidP="0002048E">
      <w:pPr>
        <w:jc w:val="both"/>
      </w:pPr>
      <w:r>
        <w:t>Table 8 reports the supporting PPML count models. Column (1) uses HSNumber as the dependent variable, while column (2) uses the total employment-permit count.</w:t>
      </w:r>
    </w:p>
    <w:p ns2:paraId="29991CF3" ns2:textId="77777777" w:rsidR="0002048E" w:rsidRDefault="0002048E" w:rsidP="0002048E">
      <w:pPr>
        <w:jc w:val="both"/>
      </w:pPr>
    </w:p>
    <w:p ns2:paraId="71F869AB" ns2:textId="77777777" w:rsidR="0002048E" w:rsidRDefault="0002048E" w:rsidP="0002048E">
      <w:pPr>
        <w:jc w:val="both"/>
      </w:pPr>
    </w:p>
    <w:p ns2:paraId="61FACBB1" ns2:textId="77777777" w:rsidR="0002048E" w:rsidRDefault="0002048E" w:rsidP="0002048E">
      <w:pPr>
        <w:jc w:val="both"/>
      </w:pPr>
    </w:p>
    <w:p ns2:paraId="6D6527D4" ns2:textId="77777777" w:rsidR="0002048E" w:rsidRDefault="0002048E" w:rsidP="0002048E">
      <w:pPr>
        <w:jc w:val="both"/>
      </w:pPr>
    </w:p>
    <w:p ns2:paraId="5CB5EABF" ns2:textId="77777777" w:rsidR="0002048E" w:rsidRPr="0002048E" w:rsidRDefault="0002048E" w:rsidP="0002048E">
      <w:pPr>
        <w:jc w:val="both"/>
      </w:pPr>
    </w:p>
    <w:tbl>
      <w:tblPr>
        <w:tblpPr w:leftFromText="180" w:rightFromText="180" w:vertAnchor="text" w:horzAnchor="margin" w:tblpY="450"/>
        <w:tblW w:w="9360" w:type="dxa"/>
        <w:tblLayout w:type="fixed"/>
        <w:tblLook w:val="04A0" w:firstRow="1" w:lastRow="0" w:firstColumn="1" w:lastColumn="0" w:noHBand="0" w:noVBand="1"/>
      </w:tblPr>
      <w:tblGrid>
        <w:gridCol w:w="5112"/>
        <w:gridCol w:w="2088"/>
        <w:gridCol w:w="2160"/>
      </w:tblGrid>
      <w:tr w:rsidR="0002048E" ns2:paraId="03A68A7C" ns2:textId="77777777" w:rsidTr="0002048E">
        <w:trPr>
          <w:cantSplit/>
          <w:tblHeader/>
        </w:trPr>
        <w:tc>
          <w:tcPr>
            <w:tcW w:w="5112" w:type="dxa"/>
            <w:tcBorders>
              <w:top w:val="single" w:sz="10" w:space="0" w:color="000000"/>
              <w:left w:val="nil"/>
              <w:bottom w:val="single" w:sz="8" w:space="0" w:color="000000"/>
              <w:right w:val="nil"/>
            </w:tcBorders>
            <w:shd w:val="clear" w:color="auto" w:fill="EDEDED"/>
            <w:vAlign w:val="center"/>
          </w:tcPr>
          <w:p ns2:paraId="49FB8F75" ns2:textId="77777777" w:rsidR="0002048E" w:rsidRDefault="0002048E" w:rsidP="0002048E">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ns2:paraId="52BB4ED3" ns2:textId="77777777" w:rsidR="0002048E" w:rsidRDefault="0002048E" w:rsidP="0002048E">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ns2:paraId="76CBCDE4" ns2:textId="77777777" w:rsidR="0002048E" w:rsidRDefault="0002048E" w:rsidP="0002048E">
            <w:pPr>
              <w:spacing w:after="0" w:line="240" w:lineRule="auto"/>
              <w:jc w:val="center"/>
            </w:pPr>
            <w:r>
              <w:rPr>
                <w:rFonts w:ascii="Times New Roman" w:hAnsi="Times New Roman"/>
                <w:b/>
                <w:sz w:val="17"/>
              </w:rPr>
              <w:t>(2) Total employment-permit count</w:t>
            </w:r>
          </w:p>
        </w:tc>
      </w:tr>
      <w:tr w:rsidR="0002048E" ns2:paraId="18209068" ns2:textId="77777777" w:rsidTr="0002048E">
        <w:trPr>
          <w:cantSplit/>
        </w:trPr>
        <w:tc>
          <w:tcPr>
            <w:tcW w:w="5112" w:type="dxa"/>
            <w:tcBorders>
              <w:top w:val="nil"/>
              <w:left w:val="nil"/>
              <w:bottom w:val="nil"/>
              <w:right w:val="nil"/>
            </w:tcBorders>
            <w:shd w:val="clear" w:color="auto" w:fill="F5F5F5"/>
            <w:vAlign w:val="center"/>
          </w:tcPr>
          <w:p ns2:paraId="271B64AE" ns2:textId="77777777" w:rsidR="0002048E" w:rsidRDefault="0002048E" w:rsidP="0002048E">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ns2:paraId="60F23270" ns2:textId="77777777" w:rsidR="0002048E" w:rsidRDefault="0002048E" w:rsidP="0002048E">
            <w:pPr>
              <w:spacing w:after="0" w:line="240" w:lineRule="auto"/>
              <w:jc w:val="center"/>
            </w:pPr>
          </w:p>
        </w:tc>
        <w:tc>
          <w:tcPr>
            <w:tcW w:w="2160" w:type="dxa"/>
            <w:tcBorders>
              <w:top w:val="nil"/>
              <w:left w:val="nil"/>
              <w:bottom w:val="nil"/>
              <w:right w:val="nil"/>
            </w:tcBorders>
            <w:shd w:val="clear" w:color="auto" w:fill="F5F5F5"/>
            <w:vAlign w:val="center"/>
          </w:tcPr>
          <w:p ns2:paraId="4685DA9D" ns2:textId="77777777" w:rsidR="0002048E" w:rsidRDefault="0002048E" w:rsidP="0002048E">
            <w:pPr>
              <w:spacing w:after="0" w:line="240" w:lineRule="auto"/>
              <w:jc w:val="center"/>
            </w:pPr>
          </w:p>
        </w:tc>
      </w:tr>
      <w:tr w:rsidR="0002048E" ns2:paraId="5F489465" ns2:textId="77777777" w:rsidTr="0002048E">
        <w:trPr>
          <w:cantSplit/>
        </w:trPr>
        <w:tc>
          <w:tcPr>
            <w:tcW w:w="5112" w:type="dxa"/>
            <w:tcBorders>
              <w:top w:val="nil"/>
              <w:left w:val="nil"/>
              <w:bottom w:val="nil"/>
              <w:right w:val="nil"/>
            </w:tcBorders>
            <w:vAlign w:val="center"/>
          </w:tcPr>
          <w:p ns2:paraId="34509151" ns2:textId="77777777" w:rsidR="0002048E" w:rsidRDefault="0002048E" w:rsidP="0002048E">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ns2:paraId="11E3985C" ns2:textId="77777777" w:rsidR="0002048E" w:rsidRDefault="0002048E" w:rsidP="0002048E">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ns2:paraId="6358C348" ns2:textId="77777777" w:rsidR="0002048E" w:rsidRDefault="0002048E" w:rsidP="0002048E">
            <w:pPr>
              <w:spacing w:after="0" w:line="240" w:lineRule="auto"/>
              <w:jc w:val="center"/>
            </w:pPr>
            <w:r>
              <w:rPr>
                <w:rFonts w:ascii="Times New Roman" w:hAnsi="Times New Roman"/>
                <w:sz w:val="17"/>
              </w:rPr>
              <w:t>-0.025527</w:t>
            </w:r>
          </w:p>
        </w:tc>
      </w:tr>
      <w:tr w:rsidR="0002048E" ns2:paraId="225A840C" ns2:textId="77777777" w:rsidTr="0002048E">
        <w:trPr>
          <w:cantSplit/>
        </w:trPr>
        <w:tc>
          <w:tcPr>
            <w:tcW w:w="5112" w:type="dxa"/>
            <w:tcBorders>
              <w:top w:val="nil"/>
              <w:left w:val="nil"/>
              <w:bottom w:val="nil"/>
              <w:right w:val="nil"/>
            </w:tcBorders>
            <w:vAlign w:val="center"/>
          </w:tcPr>
          <w:p ns2:paraId="7E71CE77" ns2:textId="77777777" w:rsidR="0002048E" w:rsidRDefault="0002048E" w:rsidP="0002048E">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ns2:paraId="6F0A9B05" ns2:textId="77777777" w:rsidR="0002048E" w:rsidRDefault="0002048E" w:rsidP="0002048E">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ns2:paraId="04EA0F53" ns2:textId="77777777" w:rsidR="0002048E" w:rsidRDefault="0002048E" w:rsidP="0002048E">
            <w:pPr>
              <w:spacing w:after="0" w:line="240" w:lineRule="auto"/>
              <w:jc w:val="center"/>
            </w:pPr>
            <w:r>
              <w:rPr>
                <w:rFonts w:ascii="Times New Roman" w:hAnsi="Times New Roman"/>
                <w:sz w:val="17"/>
              </w:rPr>
              <w:t>(0.017454)</w:t>
            </w:r>
          </w:p>
        </w:tc>
      </w:tr>
      <w:tr w:rsidR="0002048E" ns2:paraId="6FB36BA0" ns2:textId="77777777" w:rsidTr="0002048E">
        <w:trPr>
          <w:cantSplit/>
        </w:trPr>
        <w:tc>
          <w:tcPr>
            <w:tcW w:w="5112" w:type="dxa"/>
            <w:tcBorders>
              <w:top w:val="nil"/>
              <w:left w:val="nil"/>
              <w:bottom w:val="nil"/>
              <w:right w:val="nil"/>
            </w:tcBorders>
            <w:vAlign w:val="center"/>
          </w:tcPr>
          <w:p ns2:paraId="0588903D" ns2:textId="77777777" w:rsidR="0002048E" w:rsidRDefault="0002048E" w:rsidP="0002048E">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ns2:paraId="63121966" ns2:textId="77777777" w:rsidR="0002048E" w:rsidRDefault="0002048E" w:rsidP="0002048E">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ns2:paraId="48654275" ns2:textId="77777777" w:rsidR="0002048E" w:rsidRDefault="0002048E" w:rsidP="0002048E">
            <w:pPr>
              <w:spacing w:after="0" w:line="240" w:lineRule="auto"/>
              <w:jc w:val="center"/>
            </w:pPr>
            <w:r>
              <w:rPr>
                <w:rFonts w:ascii="Times New Roman" w:hAnsi="Times New Roman"/>
                <w:sz w:val="17"/>
              </w:rPr>
              <w:t>0.1543</w:t>
            </w:r>
          </w:p>
        </w:tc>
      </w:tr>
      <w:tr w:rsidR="0002048E" ns2:paraId="3B15B9D1" ns2:textId="77777777" w:rsidTr="0002048E">
        <w:trPr>
          <w:cantSplit/>
        </w:trPr>
        <w:tc>
          <w:tcPr>
            <w:tcW w:w="5112" w:type="dxa"/>
            <w:tcBorders>
              <w:top w:val="nil"/>
              <w:left w:val="nil"/>
              <w:bottom w:val="nil"/>
              <w:right w:val="nil"/>
            </w:tcBorders>
            <w:shd w:val="clear" w:color="auto" w:fill="F5F5F5"/>
            <w:vAlign w:val="center"/>
          </w:tcPr>
          <w:p ns2:paraId="5134D342" ns2:textId="77777777" w:rsidR="0002048E" w:rsidRDefault="0002048E" w:rsidP="0002048E">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ns2:paraId="729967A9" ns2:textId="77777777" w:rsidR="0002048E" w:rsidRDefault="0002048E" w:rsidP="0002048E">
            <w:pPr>
              <w:spacing w:after="0" w:line="240" w:lineRule="auto"/>
              <w:jc w:val="center"/>
            </w:pPr>
          </w:p>
        </w:tc>
        <w:tc>
          <w:tcPr>
            <w:tcW w:w="2160" w:type="dxa"/>
            <w:tcBorders>
              <w:top w:val="nil"/>
              <w:left w:val="nil"/>
              <w:bottom w:val="nil"/>
              <w:right w:val="nil"/>
            </w:tcBorders>
            <w:shd w:val="clear" w:color="auto" w:fill="F5F5F5"/>
            <w:vAlign w:val="center"/>
          </w:tcPr>
          <w:p ns2:paraId="022AB2B0" ns2:textId="77777777" w:rsidR="0002048E" w:rsidRDefault="0002048E" w:rsidP="0002048E">
            <w:pPr>
              <w:spacing w:after="0" w:line="240" w:lineRule="auto"/>
              <w:jc w:val="center"/>
            </w:pPr>
          </w:p>
        </w:tc>
      </w:tr>
      <w:tr w:rsidR="0002048E" ns2:paraId="6ED23308" ns2:textId="77777777" w:rsidTr="0002048E">
        <w:trPr>
          <w:cantSplit/>
        </w:trPr>
        <w:tc>
          <w:tcPr>
            <w:tcW w:w="5112" w:type="dxa"/>
            <w:tcBorders>
              <w:top w:val="nil"/>
              <w:left w:val="nil"/>
              <w:bottom w:val="nil"/>
              <w:right w:val="nil"/>
            </w:tcBorders>
            <w:vAlign w:val="center"/>
          </w:tcPr>
          <w:p ns2:paraId="4B866364" ns2:textId="77777777" w:rsidR="0002048E" w:rsidRDefault="0002048E" w:rsidP="0002048E">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ns2:paraId="7D9FC359" ns2:textId="77777777" w:rsidR="0002048E" w:rsidRDefault="0002048E" w:rsidP="0002048E">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75162D3B" ns2:textId="77777777" w:rsidR="0002048E" w:rsidRDefault="0002048E" w:rsidP="0002048E">
            <w:pPr>
              <w:spacing w:after="0" w:line="240" w:lineRule="auto"/>
              <w:jc w:val="center"/>
            </w:pPr>
            <w:r>
              <w:rPr>
                <w:rFonts w:ascii="Times New Roman" w:hAnsi="Times New Roman"/>
                <w:sz w:val="17"/>
              </w:rPr>
              <w:t>Yes</w:t>
            </w:r>
          </w:p>
        </w:tc>
      </w:tr>
      <w:tr w:rsidR="0002048E" ns2:paraId="1F0D3EAD" ns2:textId="77777777" w:rsidTr="0002048E">
        <w:trPr>
          <w:cantSplit/>
        </w:trPr>
        <w:tc>
          <w:tcPr>
            <w:tcW w:w="5112" w:type="dxa"/>
            <w:tcBorders>
              <w:top w:val="nil"/>
              <w:left w:val="nil"/>
              <w:bottom w:val="nil"/>
              <w:right w:val="nil"/>
            </w:tcBorders>
            <w:vAlign w:val="center"/>
          </w:tcPr>
          <w:p ns2:paraId="10FCAAD4" ns2:textId="77777777" w:rsidR="0002048E" w:rsidRDefault="0002048E" w:rsidP="0002048E">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ns2:paraId="4832304D" ns2:textId="77777777" w:rsidR="0002048E" w:rsidRDefault="0002048E" w:rsidP="0002048E">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4873D709" ns2:textId="77777777" w:rsidR="0002048E" w:rsidRDefault="0002048E" w:rsidP="0002048E">
            <w:pPr>
              <w:spacing w:after="0" w:line="240" w:lineRule="auto"/>
              <w:jc w:val="center"/>
            </w:pPr>
            <w:r>
              <w:rPr>
                <w:rFonts w:ascii="Times New Roman" w:hAnsi="Times New Roman"/>
                <w:sz w:val="17"/>
              </w:rPr>
              <w:t>Yes</w:t>
            </w:r>
          </w:p>
        </w:tc>
      </w:tr>
      <w:tr w:rsidR="0002048E" ns2:paraId="70B1098B" ns2:textId="77777777" w:rsidTr="0002048E">
        <w:trPr>
          <w:cantSplit/>
        </w:trPr>
        <w:tc>
          <w:tcPr>
            <w:tcW w:w="5112" w:type="dxa"/>
            <w:tcBorders>
              <w:top w:val="nil"/>
              <w:left w:val="nil"/>
              <w:bottom w:val="nil"/>
              <w:right w:val="nil"/>
            </w:tcBorders>
            <w:vAlign w:val="center"/>
          </w:tcPr>
          <w:p ns2:paraId="5A2A347C" ns2:textId="77777777" w:rsidR="0002048E" w:rsidRDefault="0002048E" w:rsidP="0002048E">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ns2:paraId="202C5762" ns2:textId="77777777" w:rsidR="0002048E" w:rsidRDefault="0002048E" w:rsidP="0002048E">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60211860" ns2:textId="77777777" w:rsidR="0002048E" w:rsidRDefault="0002048E" w:rsidP="0002048E">
            <w:pPr>
              <w:spacing w:after="0" w:line="240" w:lineRule="auto"/>
              <w:jc w:val="center"/>
            </w:pPr>
            <w:r>
              <w:rPr>
                <w:rFonts w:ascii="Times New Roman" w:hAnsi="Times New Roman"/>
                <w:sz w:val="17"/>
              </w:rPr>
              <w:t>Yes</w:t>
            </w:r>
          </w:p>
        </w:tc>
      </w:tr>
      <w:tr w:rsidR="0002048E" ns2:paraId="204B99AF" ns2:textId="77777777" w:rsidTr="0002048E">
        <w:trPr>
          <w:cantSplit/>
        </w:trPr>
        <w:tc>
          <w:tcPr>
            <w:tcW w:w="5112" w:type="dxa"/>
            <w:tcBorders>
              <w:top w:val="nil"/>
              <w:left w:val="nil"/>
              <w:bottom w:val="nil"/>
              <w:right w:val="nil"/>
            </w:tcBorders>
            <w:vAlign w:val="center"/>
          </w:tcPr>
          <w:p ns2:paraId="52C7FE33" ns2:textId="77777777" w:rsidR="0002048E" w:rsidRDefault="0002048E" w:rsidP="0002048E">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ns2:paraId="5D6FC929" ns2:textId="77777777" w:rsidR="0002048E" w:rsidRDefault="0002048E" w:rsidP="0002048E">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2485138C" ns2:textId="77777777" w:rsidR="0002048E" w:rsidRDefault="0002048E" w:rsidP="0002048E">
            <w:pPr>
              <w:spacing w:after="0" w:line="240" w:lineRule="auto"/>
              <w:jc w:val="center"/>
            </w:pPr>
            <w:r>
              <w:rPr>
                <w:rFonts w:ascii="Times New Roman" w:hAnsi="Times New Roman"/>
                <w:sz w:val="17"/>
              </w:rPr>
              <w:t>Yes</w:t>
            </w:r>
          </w:p>
        </w:tc>
      </w:tr>
      <w:tr w:rsidR="0002048E" ns2:paraId="4D4F9F4F" ns2:textId="77777777" w:rsidTr="0002048E">
        <w:trPr>
          <w:cantSplit/>
        </w:trPr>
        <w:tc>
          <w:tcPr>
            <w:tcW w:w="5112" w:type="dxa"/>
            <w:tcBorders>
              <w:top w:val="nil"/>
              <w:left w:val="nil"/>
              <w:bottom w:val="nil"/>
              <w:right w:val="nil"/>
            </w:tcBorders>
            <w:vAlign w:val="center"/>
          </w:tcPr>
          <w:p ns2:paraId="0F538E6B" ns2:textId="77777777" w:rsidR="0002048E" w:rsidRDefault="0002048E" w:rsidP="0002048E">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ns2:paraId="138B490F" ns2:textId="77777777" w:rsidR="0002048E" w:rsidRDefault="0002048E" w:rsidP="0002048E">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ns2:paraId="617E820A" ns2:textId="77777777" w:rsidR="0002048E" w:rsidRDefault="0002048E" w:rsidP="0002048E">
            <w:pPr>
              <w:spacing w:after="0" w:line="240" w:lineRule="auto"/>
              <w:jc w:val="center"/>
            </w:pPr>
            <w:r>
              <w:rPr>
                <w:rFonts w:ascii="Times New Roman" w:hAnsi="Times New Roman"/>
                <w:sz w:val="17"/>
              </w:rPr>
              <w:t>Yes</w:t>
            </w:r>
          </w:p>
        </w:tc>
      </w:tr>
      <w:tr w:rsidR="0002048E" ns2:paraId="5D8666C9" ns2:textId="77777777" w:rsidTr="0002048E">
        <w:trPr>
          <w:cantSplit/>
        </w:trPr>
        <w:tc>
          <w:tcPr>
            <w:tcW w:w="5112" w:type="dxa"/>
            <w:tcBorders>
              <w:top w:val="nil"/>
              <w:left w:val="nil"/>
              <w:bottom w:val="nil"/>
              <w:right w:val="nil"/>
            </w:tcBorders>
            <w:vAlign w:val="center"/>
          </w:tcPr>
          <w:p ns2:paraId="029F8633" ns2:textId="77777777" w:rsidR="0002048E" w:rsidRDefault="0002048E" w:rsidP="0002048E">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ns2:paraId="3CEC069A" ns2:textId="77777777" w:rsidR="0002048E" w:rsidRDefault="0002048E" w:rsidP="0002048E">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ns2:paraId="45C62501" ns2:textId="77777777" w:rsidR="0002048E" w:rsidRDefault="0002048E" w:rsidP="0002048E">
            <w:pPr>
              <w:spacing w:after="0" w:line="240" w:lineRule="auto"/>
              <w:jc w:val="center"/>
            </w:pPr>
            <w:r>
              <w:rPr>
                <w:rFonts w:ascii="Times New Roman" w:hAnsi="Times New Roman"/>
                <w:sz w:val="17"/>
              </w:rPr>
              <w:t>No</w:t>
            </w:r>
          </w:p>
        </w:tc>
      </w:tr>
      <w:tr w:rsidR="0002048E" ns2:paraId="19CDB5DD" ns2:textId="77777777" w:rsidTr="0002048E">
        <w:trPr>
          <w:cantSplit/>
        </w:trPr>
        <w:tc>
          <w:tcPr>
            <w:tcW w:w="5112" w:type="dxa"/>
            <w:tcBorders>
              <w:top w:val="nil"/>
              <w:left w:val="nil"/>
              <w:bottom w:val="nil"/>
              <w:right w:val="nil"/>
            </w:tcBorders>
            <w:vAlign w:val="center"/>
          </w:tcPr>
          <w:p ns2:paraId="08221B8B" ns2:textId="77777777" w:rsidR="0002048E" w:rsidRDefault="0002048E" w:rsidP="0002048E">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ns2:paraId="1F8753E7" ns2:textId="77777777" w:rsidR="0002048E" w:rsidRDefault="0002048E" w:rsidP="0002048E">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ns2:paraId="25AA856F" ns2:textId="77777777" w:rsidR="0002048E" w:rsidRDefault="0002048E" w:rsidP="0002048E">
            <w:pPr>
              <w:spacing w:after="0" w:line="240" w:lineRule="auto"/>
              <w:jc w:val="center"/>
            </w:pPr>
            <w:r>
              <w:rPr>
                <w:rFonts w:ascii="Times New Roman" w:hAnsi="Times New Roman"/>
                <w:sz w:val="17"/>
              </w:rPr>
              <w:t>No</w:t>
            </w:r>
          </w:p>
        </w:tc>
      </w:tr>
      <w:tr w:rsidR="0002048E" ns2:paraId="1BBF104F" ns2:textId="77777777" w:rsidTr="0002048E">
        <w:trPr>
          <w:cantSplit/>
        </w:trPr>
        <w:tc>
          <w:tcPr>
            <w:tcW w:w="5112" w:type="dxa"/>
            <w:tcBorders>
              <w:top w:val="nil"/>
              <w:left w:val="nil"/>
              <w:bottom w:val="nil"/>
              <w:right w:val="nil"/>
            </w:tcBorders>
            <w:vAlign w:val="center"/>
          </w:tcPr>
          <w:p ns2:paraId="03C69E27" ns2:textId="77777777" w:rsidR="0002048E" w:rsidRDefault="0002048E" w:rsidP="0002048E">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ns2:paraId="75AE00DA" ns2:textId="77777777" w:rsidR="0002048E" w:rsidRDefault="0002048E" w:rsidP="0002048E">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ns2:paraId="2F639E5D" ns2:textId="77777777" w:rsidR="0002048E" w:rsidRDefault="0002048E" w:rsidP="0002048E">
            <w:pPr>
              <w:spacing w:after="0" w:line="240" w:lineRule="auto"/>
              <w:jc w:val="center"/>
            </w:pPr>
            <w:r>
              <w:rPr>
                <w:rFonts w:ascii="Times New Roman" w:hAnsi="Times New Roman"/>
                <w:sz w:val="17"/>
              </w:rPr>
              <w:t>5,608</w:t>
            </w:r>
          </w:p>
        </w:tc>
      </w:tr>
      <w:tr w:rsidR="0002048E" ns2:paraId="24F3E816" ns2:textId="77777777" w:rsidTr="0002048E">
        <w:trPr>
          <w:cantSplit/>
        </w:trPr>
        <w:tc>
          <w:tcPr>
            <w:tcW w:w="5112" w:type="dxa"/>
            <w:tcBorders>
              <w:top w:val="nil"/>
              <w:left w:val="nil"/>
              <w:bottom w:val="single" w:sz="10" w:space="0" w:color="000000"/>
              <w:right w:val="nil"/>
            </w:tcBorders>
            <w:vAlign w:val="center"/>
          </w:tcPr>
          <w:p ns2:paraId="0BE154DC" ns2:textId="77777777" w:rsidR="0002048E" w:rsidRDefault="0002048E" w:rsidP="0002048E">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ns2:paraId="5E812B33" ns2:textId="77777777" w:rsidR="0002048E" w:rsidRDefault="0002048E" w:rsidP="0002048E">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ns2:paraId="1C6334F9" ns2:textId="77777777" w:rsidR="0002048E" w:rsidRDefault="0002048E" w:rsidP="0002048E">
            <w:pPr>
              <w:spacing w:after="0" w:line="240" w:lineRule="auto"/>
              <w:jc w:val="center"/>
            </w:pPr>
            <w:r>
              <w:rPr>
                <w:rFonts w:ascii="Times New Roman" w:hAnsi="Times New Roman"/>
                <w:sz w:val="17"/>
              </w:rPr>
              <w:t>30</w:t>
            </w:r>
          </w:p>
        </w:tc>
      </w:tr>
    </w:tbl>
    <w:p ns2:paraId="3C1B4D3D" ns2:textId="77777777" w:rsidR="0002048E" w:rsidRPr="0002048E" w:rsidRDefault="0002048E" w:rsidP="0002048E">
      <w:pPr>
        <w:jc w:val="center"/>
        <w:rPr>
          <w:b/>
          <w:bCs/>
          <w:i/>
          <w:iCs/>
        </w:rPr>
      </w:pPr>
      <w:r>
        <w:rPr>
          <w:b/>
          <w:bCs/>
          <w:i/>
          <w:iCs/>
        </w:rPr>
        <w:t>Table 8. PPML estimates for bilateral permit-count outcomes.</w:t>
      </w:r>
    </w:p>
    <w:p ns2:paraId="7E6EEE4E" ns2:textId="77777777" w:rsidR="00C70AE2" w:rsidRDefault="00A36F18" w:rsidP="0069536D">
      <w:pPr>
        <w:jc w:val="center"/>
      </w:pPr>
      <w:r>
        <w:t>Table 8 note. *** p &lt; 0.01, ** p &lt; 0.05, * p &lt; 0.10.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5,608 cells and 30 clusters to 5,219 cells and 27 clusters. Standard errors clustered by destination are reported in parentheses. Coefficients are semi-elasticities; the exact percentage change associated with one Restrict unit is 100[exp(β)-1].</w:t>
      </w:r>
    </w:p>
    <w:p ns2:paraId="00B91BAE" ns2:textId="77777777" w:rsidR="00CE30CA" w:rsidRDefault="00CE30CA" w:rsidP="00CE30CA">
      <w:pPr>
        <w:jc w:val="both"/>
      </w:pPr>
      <w:r>
        <w:t>The results show a positive composition association and a positive measured high-skilled permit count, but no statistically detectable change in the bilateral total employment-permit count. In the preferred model, the cumulative net policy-change measure is positively associated with the high-skilled share (β = 0.006516, p &lt; 0.001, N = 5,608; bootstrap p = 0.007), consistent with the Section 3 prediction, while the aggregate cumulative and annual-flow share models are not significant. In the bilateral PPML comparison, the measured high-skilled count is positive and significant while the total employment-permit count is not, pointing to a change in composition within the retained corridors rather than a proven increase in overall permit volume.</w:t>
      </w:r>
    </w:p>
    <w:p ns2:paraId="5867808E" ns2:textId="77777777" w:rsidR="00C70AE2" w:rsidRDefault="00A36F18" w:rsidP="0069536D">
      <w:pPr>
        <w:pStyle w:val="BodyText"/>
        <w:jc w:val="both"/>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ns2:paraId="15BBB715" ns2:textId="77777777" w:rsidR="00C70AE2" w:rsidRDefault="00A36F18" w:rsidP="0069536D">
      <w:pPr>
        <w:pStyle w:val="BodyText"/>
        <w:jc w:val="both"/>
      </w:pPr>
      <w:r>
        <w:lastRenderedPageBreak/>
        <w:t>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When broader employment rules tighten, some recruitment may be redirected from other employment routes into dedicated high-skilled categories, increasing measured HSNumber without increasing total skilled arrivals. Because the data do not follow individuals across routes, this mechanism cannot be tested directly. Table 9 reports a permit-category decomposition of the bilateral PPML result: only the highly-skilled-worker category has a significant positive coefficient, while researcher permits, Blue Card permits, and the residual employment-permit count are all statistically indistinguishable from zero. Because the category models use different samples with different zero-outcome patterns, the coefficients are read as separate diagnostics rather than as a formal decomposition. The preferred share estimate also remains positive and significant when 2020 is reintroduced (Section 8.1, R1) but becomes smaller and insignificant when destination-specific trends are added (Section 8.1, R12). These diagnostics are compatible with, but do not establish, reallocation.</w:t>
      </w:r>
    </w:p>
    <w:p>
      <w:pPr>
        <w:keepNext/>
        <w:jc w:val="center"/>
        <w:rPr>
          <w:b/>
          <w:bCs/>
          <w:i/>
          <w:iCs/>
        </w:rPr>
      </w:pPr>
      <w:r>
        <w:rPr>
          <w:b/>
          <w:bCs/>
          <w:i/>
          <w:iCs/>
        </w:rPr>
        <w:t>Table 9. Permit-category decomposition of the bilateral PPML result.</w:t>
      </w:r>
    </w:p>
    <w:tbl>
      <w:tblPr>
        <w:tblW w:w="9423" w:type="dxa"/>
        <w:jc w:val="center"/>
        <w:tblLayout w:type="fixed"/>
        <w:tblLook w:val="04A0" w:firstRow="1" w:lastRow="0" w:firstColumn="1" w:lastColumn="0" w:noHBand="0" w:noVBand="1"/>
      </w:tblPr>
      <w:tblGrid>
        <w:gridCol w:w="3800"/>
        <w:gridCol w:w="1200"/>
        <w:gridCol w:w="1150"/>
        <w:gridCol w:w="900"/>
        <w:gridCol w:w="1000"/>
        <w:gridCol w:w="1373"/>
      </w:tblGrid>
      <w:tr>
        <w:trPr>
          <w:cantSplit/>
          <w:tblHeader/>
          <w:jc w:val="center"/>
        </w:trPr>
        <w:tc>
          <w:tcPr>
            <w:tcW w:w="3800"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Outcome (PPML)</w:t>
            </w:r>
          </w:p>
        </w:tc>
        <w:tc>
          <w:tcPr>
            <w:tcW w:w="1200"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β</w:t>
            </w:r>
          </w:p>
        </w:tc>
        <w:tc>
          <w:tcPr>
            <w:tcW w:w="1150"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SE</w:t>
            </w:r>
          </w:p>
        </w:tc>
        <w:tc>
          <w:tcPr>
            <w:tcW w:w="900"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p</w:t>
            </w:r>
          </w:p>
        </w:tc>
        <w:tc>
          <w:tcPr>
            <w:tcW w:w="1000"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N</w:t>
            </w:r>
          </w:p>
        </w:tc>
        <w:tc>
          <w:tcPr>
            <w:tcW w:w="1373" w:type="dxa"/>
            <w:tcBorders>
              <w:top w:val="single" w:sz="10" w:space="0" w:color="000000"/>
              <w:left w:val="nil"/>
              <w:bottom w:val="single" w:sz="8" w:space="0" w:color="000000"/>
              <w:right w:val="nil"/>
            </w:tcBorders>
            <w:shd w:val="clear" w:color="auto" w:fill="EDEDED"/>
            <w:vAlign w:val="center"/>
          </w:tcPr>
          <w:p>
            <w:pPr>
              <w:spacing w:after="0" w:line="240" w:lineRule="auto"/>
            </w:pPr>
            <w:r>
              <w:rPr>
                <w:rFonts w:ascii="Times New Roman" w:eastAsia="Times New Roman" w:hAnsi="Times New Roman"/>
                <w:b/>
                <w:sz w:val="21"/>
                <w:szCs w:val="20"/>
              </w:rPr>
              <w:t xml:space="preserve">G</w:t>
            </w:r>
          </w:p>
        </w:tc>
      </w:tr>
      <w:tr>
        <w:trPr>
          <w:cantSplit/>
          <w:jc w:val="center"/>
        </w:trPr>
        <w:tc>
          <w:tcPr>
            <w:tcW w:w="38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Highly skilled worker permits</w:t>
            </w:r>
          </w:p>
        </w:tc>
        <w:tc>
          <w:tcPr>
            <w:tcW w:w="12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0.064455***</w:t>
            </w:r>
          </w:p>
        </w:tc>
        <w:tc>
          <w:tcPr>
            <w:tcW w:w="115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(0.018836)</w:t>
            </w:r>
          </w:p>
        </w:tc>
        <w:tc>
          <w:tcPr>
            <w:tcW w:w="9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0.003</w:t>
            </w:r>
          </w:p>
        </w:tc>
        <w:tc>
          <w:tcPr>
            <w:tcW w:w="10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4,579</w:t>
            </w:r>
          </w:p>
        </w:tc>
        <w:tc>
          <w:tcPr>
            <w:tcW w:w="1373"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21</w:t>
            </w:r>
          </w:p>
        </w:tc>
      </w:tr>
      <w:tr>
        <w:trPr>
          <w:cantSplit/>
          <w:jc w:val="center"/>
        </w:trPr>
        <w:tc>
          <w:tcPr>
            <w:tcW w:w="38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Researcher permits</w:t>
            </w:r>
          </w:p>
        </w:tc>
        <w:tc>
          <w:tcPr>
            <w:tcW w:w="12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-0.001194</w:t>
            </w:r>
          </w:p>
        </w:tc>
        <w:tc>
          <w:tcPr>
            <w:tcW w:w="115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(0.020105)</w:t>
            </w:r>
          </w:p>
        </w:tc>
        <w:tc>
          <w:tcPr>
            <w:tcW w:w="9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0.953</w:t>
            </w:r>
          </w:p>
        </w:tc>
        <w:tc>
          <w:tcPr>
            <w:tcW w:w="10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4,786</w:t>
            </w:r>
          </w:p>
        </w:tc>
        <w:tc>
          <w:tcPr>
            <w:tcW w:w="1373"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25</w:t>
            </w:r>
          </w:p>
        </w:tc>
      </w:tr>
      <w:tr>
        <w:trPr>
          <w:cantSplit/>
          <w:jc w:val="center"/>
        </w:trPr>
        <w:tc>
          <w:tcPr>
            <w:tcW w:w="38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EU Blue Card permits</w:t>
            </w:r>
          </w:p>
        </w:tc>
        <w:tc>
          <w:tcPr>
            <w:tcW w:w="12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-0.057399</w:t>
            </w:r>
          </w:p>
        </w:tc>
        <w:tc>
          <w:tcPr>
            <w:tcW w:w="115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(0.046704)</w:t>
            </w:r>
          </w:p>
        </w:tc>
        <w:tc>
          <w:tcPr>
            <w:tcW w:w="9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0.232</w:t>
            </w:r>
          </w:p>
        </w:tc>
        <w:tc>
          <w:tcPr>
            <w:tcW w:w="1000"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3,624</w:t>
            </w:r>
          </w:p>
        </w:tc>
        <w:tc>
          <w:tcPr>
            <w:tcW w:w="1373" w:type="dxa"/>
            <w:tcBorders>
              <w:top w:val="nil"/>
              <w:left w:val="nil"/>
              <w:bottom w:val="nil"/>
              <w:right w:val="nil"/>
            </w:tcBorders>
            <w:vAlign w:val="center"/>
          </w:tcPr>
          <w:p>
            <w:pPr>
              <w:spacing w:after="0" w:line="240" w:lineRule="auto"/>
            </w:pPr>
            <w:r>
              <w:rPr>
                <w:rFonts w:ascii="Times New Roman" w:eastAsia="Times New Roman" w:hAnsi="Times New Roman"/>
                <w:sz w:val="21"/>
                <w:szCs w:val="20"/>
              </w:rPr>
              <w:t xml:space="preserve">23</w:t>
            </w:r>
          </w:p>
        </w:tc>
      </w:tr>
      <w:tr>
        <w:trPr>
          <w:cantSplit/>
          <w:jc w:val="center"/>
        </w:trPr>
        <w:tc>
          <w:tcPr>
            <w:tcW w:w="3800"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Residual employment permits (EMP − HSNumber)</w:t>
            </w:r>
          </w:p>
        </w:tc>
        <w:tc>
          <w:tcPr>
            <w:tcW w:w="1200"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-0.029493</w:t>
            </w:r>
          </w:p>
        </w:tc>
        <w:tc>
          <w:tcPr>
            <w:tcW w:w="1150"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(0.018175)</w:t>
            </w:r>
          </w:p>
        </w:tc>
        <w:tc>
          <w:tcPr>
            <w:tcW w:w="900"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0.115</w:t>
            </w:r>
          </w:p>
        </w:tc>
        <w:tc>
          <w:tcPr>
            <w:tcW w:w="1000"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5,607</w:t>
            </w:r>
          </w:p>
        </w:tc>
        <w:tc>
          <w:tcPr>
            <w:tcW w:w="1373" w:type="dxa"/>
            <w:tcBorders>
              <w:top w:val="nil"/>
              <w:left w:val="nil"/>
              <w:bottom w:val="single" w:sz="8" w:space="0" w:color="000000"/>
              <w:right w:val="nil"/>
            </w:tcBorders>
            <w:vAlign w:val="center"/>
          </w:tcPr>
          <w:p>
            <w:pPr>
              <w:spacing w:after="0" w:line="240" w:lineRule="auto"/>
            </w:pPr>
            <w:r>
              <w:rPr>
                <w:rFonts w:ascii="Times New Roman" w:eastAsia="Times New Roman" w:hAnsi="Times New Roman"/>
                <w:sz w:val="21"/>
                <w:szCs w:val="20"/>
              </w:rPr>
              <w:t xml:space="preserve">30</w:t>
            </w:r>
          </w:p>
        </w:tc>
      </w:tr>
    </w:tbl>
    <w:p>
      <w:pPr>
        <w:jc w:val="center"/>
      </w:pPr>
      <w:r>
        <w:rPr>
          <w:rFonts w:ascii="Times New Roman" w:eastAsia="Times New Roman" w:hAnsi="Times New Roman"/>
          <w:sz w:val="18"/>
          <w:szCs w:val="18"/>
        </w:rPr>
        <w:t xml:space="preserve">Table 9 note. *** p &lt; 0.01, ** p &lt; 0.05, * p &lt; 0.10. Each row is a separate PPML regression that replaces HSNumber in Equation (4) with the listed permit category. All rows use destination and origin-year fixed effects, the skill-target policy controls, and lagged destination unemployment and GDP growth. Fixed-effect groups with all-zero outcomes are removed before estimation, so the permit-category samples differ and the coefficients are read as separate diagnostics rather than as a formal decomposition. The focal regressor is the lagged cumulative all-migrant-worker score. Standard errors are clustered by destination.</w:t>
      </w:r>
    </w:p>
    <w:p ns2:paraId="5D6B6A5B" ns2:textId="77777777" w:rsidR="00C70AE2" w:rsidRDefault="00A36F18" w:rsidP="0069536D">
      <w:pPr>
        <w:pStyle w:val="BodyText"/>
        <w:jc w:val="both"/>
      </w:pPr>
      <w:r>
        <w:t>This interpretation is also consistent with the contrast between aggregate and bilateral specifications. Under the same policy definition, neither the aggregate cumulative model nor the aggregate annual-flow model is significant (Table 6), while the preferred bilateral model remains significant after controlling for skilled/high-skilled and low-skilled target-group policy paths (Table 7). The substantive story is therefore narrower and more precise than a simple aggregate reading would suggest: general restrictions are associated with composition when the specification absorbs origin-year migration pressures, accounts for noisy small-denominator cells, and separates broad all-migrant-worker reforms from targeted skill-selective reforms.</w:t>
      </w:r>
    </w:p>
    <w:p ns2:paraId="7CDC1B11" ns2:textId="77777777" w:rsidR="00846083" w:rsidRDefault="00846083">
      <w:pPr>
        <w:spacing w:after="0" w:line="240" w:lineRule="auto"/>
        <w:rPr>
          <w:rFonts w:ascii="Cambria" w:eastAsia="Cambria" w:hAnsi="Cambria" w:cs="Cambria"/>
          <w:b/>
          <w:bCs/>
          <w:color w:val="000000"/>
          <w:sz w:val="34"/>
          <w:szCs w:val="28"/>
        </w:rPr>
      </w:pPr>
      <w:r>
        <w:br w:type="page"/>
      </w:r>
    </w:p>
    <w:p ns2:paraId="23075E9A" ns2:textId="77777777" w:rsidR="00961C7F" w:rsidRDefault="008A042F">
      <w:pPr>
        <w:pStyle w:val="Heading1"/>
      </w:pPr>
      <w:r>
        <w:lastRenderedPageBreak/>
        <w:t>8. Robustness, Sensitivity, and Diagnostic Checks</w:t>
      </w:r>
    </w:p>
    <w:p ns2:paraId="6CC50459" ns2:textId="77777777" w:rsidR="008F026E" w:rsidRDefault="00A36F18" w:rsidP="00A835A0">
      <w:pPr>
        <w:jc w:val="both"/>
      </w:pPr>
      <w:r>
        <w:t>Section 8 separates robustness checks from placebo diagnostics. Section 8.1 reports changes to the preferred bilateral model, while Section 8.2 reports the aggregate benchmark and EU27 placebo diagnostics. The two sets of estimates answer different questions and should not be read as one common model.</w:t>
      </w:r>
    </w:p>
    <w:p ns2:paraId="5D44B255" ns2:textId="77777777" w:rsidR="00B76B02" w:rsidRDefault="00000000">
      <w:pPr>
        <w:pStyle w:val="Heading2"/>
      </w:pPr>
      <w:r>
        <w:t>8.1 Robustness and Sensitivity Checks</w:t>
      </w:r>
    </w:p>
    <w:p ns2:paraId="2F7A4537" ns2:textId="77777777" w:rsidR="00961C7F" w:rsidRPr="0038122C" w:rsidRDefault="008A042F">
      <w:pPr>
        <w:keepNext/>
        <w:jc w:val="center"/>
        <w:rPr>
          <w:b/>
          <w:bCs/>
          <w:i/>
          <w:iCs/>
        </w:rPr>
      </w:pPr>
      <w:r>
        <w:rPr>
          <w:b/>
          <w:bCs/>
          <w:i/>
          <w:iCs/>
        </w:rPr>
        <w:t>Table 10. Robustness and sensitivity checks for the preferred bilateral model.</w:t>
      </w:r>
    </w:p>
    <w:tbl>
      <w:tblPr>
        <w:tblW w:w="9423" w:type="dxa"/>
        <w:jc w:val="center"/>
        <w:tblLayout w:type="fixed"/>
        <w:tblLook w:val="04A0" w:firstRow="1" w:lastRow="0" w:firstColumn="1" w:lastColumn="0" w:noHBand="0" w:noVBand="1"/>
      </w:tblPr>
      <w:tblGrid>
        <w:gridCol w:w="1812"/>
        <w:gridCol w:w="3552"/>
        <w:gridCol w:w="1044"/>
        <w:gridCol w:w="695"/>
        <w:gridCol w:w="2320"/>
      </w:tblGrid>
      <w:tr w:rsidR="00C70AE2" ns2:paraId="5B0661BC" ns2:textId="77777777" w:rsidTr="00CD1970">
        <w:trPr>
          <w:cantSplit/>
          <w:trHeight w:val="165"/>
          <w:tblHeader/>
          <w:jc w:val="center"/>
        </w:trPr>
        <w:tc>
          <w:tcPr>
            <w:tcW w:w="1812" w:type="dxa"/>
            <w:tcBorders>
              <w:top w:val="single" w:sz="10" w:space="0" w:color="000000"/>
              <w:left w:val="nil"/>
              <w:bottom w:val="single" w:sz="8" w:space="0" w:color="000000"/>
              <w:right w:val="nil"/>
            </w:tcBorders>
            <w:shd w:val="clear" w:color="auto" w:fill="EDEDED"/>
            <w:vAlign w:val="center"/>
          </w:tcPr>
          <w:p ns2:paraId="00BE1CC3" ns2:textId="77777777" w:rsidR="00C70AE2" w:rsidRDefault="00A36F18">
            <w:pPr>
              <w:spacing w:after="0" w:line="240" w:lineRule="auto"/>
            </w:pPr>
            <w:r>
              <w:rPr>
                <w:rFonts w:ascii="Times New Roman" w:hAnsi="Times New Roman"/>
                <w:b/>
                <w:sz w:val="14"/>
              </w:rPr>
              <w:t>Design / check</w:t>
            </w:r>
          </w:p>
        </w:tc>
        <w:tc>
          <w:tcPr>
            <w:tcW w:w="3552" w:type="dxa"/>
            <w:tcBorders>
              <w:top w:val="single" w:sz="10" w:space="0" w:color="000000"/>
              <w:left w:val="nil"/>
              <w:bottom w:val="single" w:sz="8" w:space="0" w:color="000000"/>
              <w:right w:val="nil"/>
            </w:tcBorders>
            <w:shd w:val="clear" w:color="auto" w:fill="EDEDED"/>
            <w:vAlign w:val="center"/>
          </w:tcPr>
          <w:p ns2:paraId="186206C9" ns2:textId="77777777" w:rsidR="00C70AE2" w:rsidRDefault="00A36F18">
            <w:pPr>
              <w:spacing w:after="0" w:line="240" w:lineRule="auto"/>
              <w:jc w:val="center"/>
            </w:pPr>
            <w:r>
              <w:rPr>
                <w:rFonts w:ascii="Times New Roman" w:hAnsi="Times New Roman"/>
                <w:b/>
                <w:sz w:val="14"/>
              </w:rPr>
              <w:t>Change relative to the reference model</w:t>
            </w:r>
          </w:p>
        </w:tc>
        <w:tc>
          <w:tcPr>
            <w:tcW w:w="1044" w:type="dxa"/>
            <w:tcBorders>
              <w:top w:val="single" w:sz="10" w:space="0" w:color="000000"/>
              <w:left w:val="nil"/>
              <w:bottom w:val="single" w:sz="8" w:space="0" w:color="000000"/>
              <w:right w:val="nil"/>
            </w:tcBorders>
            <w:shd w:val="clear" w:color="auto" w:fill="EDEDED"/>
            <w:vAlign w:val="center"/>
          </w:tcPr>
          <w:p ns2:paraId="03AB0B5D" ns2:textId="77777777" w:rsidR="00C70AE2" w:rsidRDefault="00A36F18">
            <w:pPr>
              <w:spacing w:after="0" w:line="240" w:lineRule="auto"/>
              <w:jc w:val="center"/>
            </w:pPr>
            <w:r>
              <w:rPr>
                <w:rFonts w:ascii="Times New Roman" w:hAnsi="Times New Roman"/>
                <w:b/>
                <w:sz w:val="14"/>
              </w:rPr>
              <w:t>β</w:t>
            </w:r>
          </w:p>
        </w:tc>
        <w:tc>
          <w:tcPr>
            <w:tcW w:w="695" w:type="dxa"/>
            <w:tcBorders>
              <w:top w:val="single" w:sz="10" w:space="0" w:color="000000"/>
              <w:left w:val="nil"/>
              <w:bottom w:val="single" w:sz="8" w:space="0" w:color="000000"/>
              <w:right w:val="nil"/>
            </w:tcBorders>
            <w:shd w:val="clear" w:color="auto" w:fill="EDEDED"/>
            <w:vAlign w:val="center"/>
          </w:tcPr>
          <w:p ns2:paraId="53DFB28F" ns2:textId="77777777" w:rsidR="00C70AE2" w:rsidRDefault="00A36F18">
            <w:pPr>
              <w:spacing w:after="0" w:line="240" w:lineRule="auto"/>
              <w:jc w:val="center"/>
            </w:pPr>
            <w:r>
              <w:rPr>
                <w:rFonts w:ascii="Times New Roman" w:hAnsi="Times New Roman"/>
                <w:b/>
                <w:sz w:val="14"/>
              </w:rPr>
              <w:t>p</w:t>
            </w:r>
          </w:p>
        </w:tc>
        <w:tc>
          <w:tcPr>
            <w:tcW w:w="2320" w:type="dxa"/>
            <w:tcBorders>
              <w:top w:val="single" w:sz="10" w:space="0" w:color="000000"/>
              <w:left w:val="nil"/>
              <w:bottom w:val="single" w:sz="8" w:space="0" w:color="000000"/>
              <w:right w:val="nil"/>
            </w:tcBorders>
            <w:shd w:val="clear" w:color="auto" w:fill="EDEDED"/>
            <w:vAlign w:val="center"/>
          </w:tcPr>
          <w:p ns2:paraId="47D1E9E2" ns2:textId="77777777" w:rsidR="00C70AE2" w:rsidRDefault="00A36F18">
            <w:pPr>
              <w:spacing w:after="0" w:line="240" w:lineRule="auto"/>
              <w:jc w:val="center"/>
            </w:pPr>
            <w:r>
              <w:rPr>
                <w:rFonts w:ascii="Times New Roman" w:hAnsi="Times New Roman"/>
                <w:b/>
                <w:sz w:val="14"/>
              </w:rPr>
              <w:t>Inference</w:t>
            </w:r>
          </w:p>
        </w:tc>
      </w:tr>
      <w:tr w:rsidR="00C70AE2" ns2:paraId="555AF5AA" ns2:textId="77777777" w:rsidTr="00CD1970">
        <w:trPr>
          <w:cantSplit/>
          <w:trHeight w:val="329"/>
          <w:jc w:val="center"/>
        </w:trPr>
        <w:tc>
          <w:tcPr>
            <w:tcW w:w="1812" w:type="dxa"/>
            <w:tcBorders>
              <w:top w:val="nil"/>
              <w:left w:val="nil"/>
              <w:bottom w:val="nil"/>
              <w:right w:val="nil"/>
            </w:tcBorders>
            <w:vAlign w:val="center"/>
          </w:tcPr>
          <w:p ns2:paraId="1EE052F3" ns2:textId="77777777" w:rsidR="00C70AE2" w:rsidRDefault="00A36F18">
            <w:pPr>
              <w:spacing w:after="0" w:line="240" w:lineRule="auto"/>
            </w:pPr>
            <w:r>
              <w:rPr>
                <w:rFonts w:ascii="Times New Roman" w:hAnsi="Times New Roman"/>
                <w:sz w:val="14"/>
              </w:rPr>
              <w:t>R1. Bilateral: include 2020 pandemic year</w:t>
            </w:r>
          </w:p>
        </w:tc>
        <w:tc>
          <w:tcPr>
            <w:tcW w:w="3552" w:type="dxa"/>
            <w:tcBorders>
              <w:top w:val="nil"/>
              <w:left w:val="nil"/>
              <w:bottom w:val="nil"/>
              <w:right w:val="nil"/>
            </w:tcBorders>
            <w:vAlign w:val="center"/>
          </w:tcPr>
          <w:p ns2:paraId="1EDAEC1A" ns2:textId="77777777" w:rsidR="00C70AE2" w:rsidRDefault="00A36F18">
            <w:pPr>
              <w:spacing w:after="0" w:line="240" w:lineRule="auto"/>
              <w:jc w:val="center"/>
            </w:pPr>
            <w:r>
              <w:rPr>
                <w:rFonts w:ascii="Times New Roman" w:hAnsi="Times New Roman"/>
                <w:sz w:val="14"/>
              </w:rPr>
              <w:t>Extends the baseline outcome window from 2008-2019 to 2008-2020</w:t>
            </w:r>
          </w:p>
        </w:tc>
        <w:tc>
          <w:tcPr>
            <w:tcW w:w="1044" w:type="dxa"/>
            <w:tcBorders>
              <w:top w:val="nil"/>
              <w:left w:val="nil"/>
              <w:bottom w:val="nil"/>
              <w:right w:val="nil"/>
            </w:tcBorders>
            <w:vAlign w:val="center"/>
          </w:tcPr>
          <w:p ns2:paraId="4FA06149" ns2:textId="77777777" w:rsidR="00C70AE2" w:rsidRDefault="00A36F18">
            <w:pPr>
              <w:spacing w:after="0" w:line="240" w:lineRule="auto"/>
              <w:jc w:val="center"/>
            </w:pPr>
            <w:r>
              <w:rPr>
                <w:rFonts w:ascii="Times New Roman" w:hAnsi="Times New Roman"/>
                <w:sz w:val="14"/>
              </w:rPr>
              <w:t>0.005446***</w:t>
            </w:r>
          </w:p>
        </w:tc>
        <w:tc>
          <w:tcPr>
            <w:tcW w:w="695" w:type="dxa"/>
            <w:tcBorders>
              <w:top w:val="nil"/>
              <w:left w:val="nil"/>
              <w:bottom w:val="nil"/>
              <w:right w:val="nil"/>
            </w:tcBorders>
            <w:vAlign w:val="center"/>
          </w:tcPr>
          <w:p ns2:paraId="56C0FE11" ns2:textId="77777777" w:rsidR="00C70AE2" w:rsidRDefault="00A36F18">
            <w:pPr>
              <w:spacing w:after="0" w:line="240" w:lineRule="auto"/>
              <w:jc w:val="center"/>
            </w:pPr>
            <w:r>
              <w:rPr>
                <w:rFonts w:ascii="Times New Roman" w:hAnsi="Times New Roman"/>
                <w:sz w:val="14"/>
              </w:rPr>
              <w:t>0.004</w:t>
            </w:r>
          </w:p>
        </w:tc>
        <w:tc>
          <w:tcPr>
            <w:tcW w:w="2320" w:type="dxa"/>
            <w:tcBorders>
              <w:top w:val="nil"/>
              <w:left w:val="nil"/>
              <w:bottom w:val="nil"/>
              <w:right w:val="nil"/>
            </w:tcBorders>
            <w:vAlign w:val="center"/>
          </w:tcPr>
          <w:p ns2:paraId="44DFB621" ns2:textId="77777777" w:rsidR="00C70AE2" w:rsidRDefault="00A36F18">
            <w:pPr>
              <w:spacing w:after="0" w:line="240" w:lineRule="auto"/>
              <w:jc w:val="center"/>
            </w:pPr>
            <w:r>
              <w:rPr>
                <w:rFonts w:ascii="Times New Roman" w:hAnsi="Times New Roman"/>
                <w:sz w:val="14"/>
              </w:rPr>
              <w:t>Significant; bootstrap p = 0.024</w:t>
            </w:r>
          </w:p>
        </w:tc>
      </w:tr>
      <w:tr w:rsidR="00C70AE2" ns2:paraId="41A2B65A" ns2:textId="77777777" w:rsidTr="00CD1970">
        <w:trPr>
          <w:cantSplit/>
          <w:trHeight w:val="329"/>
          <w:jc w:val="center"/>
        </w:trPr>
        <w:tc>
          <w:tcPr>
            <w:tcW w:w="1812" w:type="dxa"/>
            <w:tcBorders>
              <w:top w:val="nil"/>
              <w:left w:val="nil"/>
              <w:bottom w:val="nil"/>
              <w:right w:val="nil"/>
            </w:tcBorders>
            <w:vAlign w:val="center"/>
          </w:tcPr>
          <w:p ns2:paraId="1D8F6742" ns2:textId="77777777" w:rsidR="00C70AE2" w:rsidRDefault="00A36F18">
            <w:pPr>
              <w:spacing w:after="0" w:line="240" w:lineRule="auto"/>
            </w:pPr>
            <w:r>
              <w:rPr>
                <w:rFonts w:ascii="Times New Roman" w:hAnsi="Times New Roman"/>
                <w:sz w:val="14"/>
              </w:rPr>
              <w:t>R2. Bilateral: no minimum-cell cutoff</w:t>
            </w:r>
          </w:p>
        </w:tc>
        <w:tc>
          <w:tcPr>
            <w:tcW w:w="3552" w:type="dxa"/>
            <w:tcBorders>
              <w:top w:val="nil"/>
              <w:left w:val="nil"/>
              <w:bottom w:val="nil"/>
              <w:right w:val="nil"/>
            </w:tcBorders>
            <w:vAlign w:val="center"/>
          </w:tcPr>
          <w:p ns2:paraId="2179030E" ns2:textId="77777777" w:rsidR="00C70AE2" w:rsidRDefault="00A36F18">
            <w:pPr>
              <w:spacing w:after="0" w:line="240" w:lineRule="auto"/>
              <w:jc w:val="center"/>
            </w:pPr>
            <w:r>
              <w:rPr>
                <w:rFonts w:ascii="Times New Roman" w:hAnsi="Times New Roman"/>
                <w:sz w:val="14"/>
              </w:rPr>
              <w:t>Retains every positive employment-permit denominator</w:t>
            </w:r>
          </w:p>
        </w:tc>
        <w:tc>
          <w:tcPr>
            <w:tcW w:w="1044" w:type="dxa"/>
            <w:tcBorders>
              <w:top w:val="nil"/>
              <w:left w:val="nil"/>
              <w:bottom w:val="nil"/>
              <w:right w:val="nil"/>
            </w:tcBorders>
            <w:vAlign w:val="center"/>
          </w:tcPr>
          <w:p ns2:paraId="3A76ECC7" ns2:textId="77777777" w:rsidR="00C70AE2" w:rsidRDefault="00A36F18">
            <w:pPr>
              <w:spacing w:after="0" w:line="240" w:lineRule="auto"/>
              <w:jc w:val="center"/>
            </w:pPr>
            <w:r>
              <w:rPr>
                <w:rFonts w:ascii="Times New Roman" w:hAnsi="Times New Roman"/>
                <w:sz w:val="14"/>
              </w:rPr>
              <w:t>0.005978***</w:t>
            </w:r>
          </w:p>
        </w:tc>
        <w:tc>
          <w:tcPr>
            <w:tcW w:w="695" w:type="dxa"/>
            <w:tcBorders>
              <w:top w:val="nil"/>
              <w:left w:val="nil"/>
              <w:bottom w:val="nil"/>
              <w:right w:val="nil"/>
            </w:tcBorders>
            <w:vAlign w:val="center"/>
          </w:tcPr>
          <w:p ns2:paraId="7F666D13" ns2: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ns2:paraId="1773697E" ns2:textId="77777777" w:rsidR="00C70AE2" w:rsidRDefault="00A36F18">
            <w:pPr>
              <w:spacing w:after="0" w:line="240" w:lineRule="auto"/>
              <w:jc w:val="center"/>
            </w:pPr>
            <w:r>
              <w:rPr>
                <w:rFonts w:ascii="Times New Roman" w:hAnsi="Times New Roman"/>
                <w:sz w:val="14"/>
              </w:rPr>
              <w:t>Significant; not created by cutoff</w:t>
            </w:r>
          </w:p>
        </w:tc>
      </w:tr>
      <w:tr w:rsidR="00C70AE2" ns2:paraId="0F143078" ns2:textId="77777777" w:rsidTr="00CD1970">
        <w:trPr>
          <w:cantSplit/>
          <w:trHeight w:val="343"/>
          <w:jc w:val="center"/>
        </w:trPr>
        <w:tc>
          <w:tcPr>
            <w:tcW w:w="1812" w:type="dxa"/>
            <w:tcBorders>
              <w:top w:val="nil"/>
              <w:left w:val="nil"/>
              <w:bottom w:val="nil"/>
              <w:right w:val="nil"/>
            </w:tcBorders>
            <w:vAlign w:val="center"/>
          </w:tcPr>
          <w:p ns2:paraId="1A3A81A6" ns2:textId="77777777" w:rsidR="00C70AE2" w:rsidRDefault="00A36F18">
            <w:pPr>
              <w:spacing w:after="0" w:line="240" w:lineRule="auto"/>
            </w:pPr>
            <w:r>
              <w:rPr>
                <w:rFonts w:ascii="Times New Roman" w:hAnsi="Times New Roman"/>
                <w:sz w:val="14"/>
              </w:rPr>
              <w:t>R3. Bilateral: all-first-permits denominator</w:t>
            </w:r>
          </w:p>
        </w:tc>
        <w:tc>
          <w:tcPr>
            <w:tcW w:w="3552" w:type="dxa"/>
            <w:tcBorders>
              <w:top w:val="nil"/>
              <w:left w:val="nil"/>
              <w:bottom w:val="nil"/>
              <w:right w:val="nil"/>
            </w:tcBorders>
            <w:vAlign w:val="center"/>
          </w:tcPr>
          <w:p ns2:paraId="518C86CF" ns2:textId="77777777" w:rsidR="00C70AE2" w:rsidRDefault="00A36F18">
            <w:pPr>
              <w:spacing w:after="0" w:line="240" w:lineRule="auto"/>
              <w:jc w:val="center"/>
            </w:pPr>
            <w:r>
              <w:rPr>
                <w:rFonts w:ascii="Times New Roman" w:hAnsi="Times New Roman"/>
                <w:sz w:val="14"/>
              </w:rPr>
              <w:t>Replaces the employment-permit denominator with all first residence permits</w:t>
            </w:r>
          </w:p>
        </w:tc>
        <w:tc>
          <w:tcPr>
            <w:tcW w:w="1044" w:type="dxa"/>
            <w:tcBorders>
              <w:top w:val="nil"/>
              <w:left w:val="nil"/>
              <w:bottom w:val="nil"/>
              <w:right w:val="nil"/>
            </w:tcBorders>
            <w:vAlign w:val="center"/>
          </w:tcPr>
          <w:p ns2:paraId="171C944F" ns2:textId="77777777" w:rsidR="00C70AE2" w:rsidRDefault="00A36F18">
            <w:pPr>
              <w:spacing w:after="0" w:line="240" w:lineRule="auto"/>
              <w:jc w:val="center"/>
            </w:pPr>
            <w:r>
              <w:rPr>
                <w:rFonts w:ascii="Times New Roman" w:hAnsi="Times New Roman"/>
                <w:sz w:val="14"/>
              </w:rPr>
              <w:t>0.000958***</w:t>
            </w:r>
          </w:p>
        </w:tc>
        <w:tc>
          <w:tcPr>
            <w:tcW w:w="695" w:type="dxa"/>
            <w:tcBorders>
              <w:top w:val="nil"/>
              <w:left w:val="nil"/>
              <w:bottom w:val="nil"/>
              <w:right w:val="nil"/>
            </w:tcBorders>
            <w:vAlign w:val="center"/>
          </w:tcPr>
          <w:p ns2:paraId="3E725DC3" ns2:textId="77777777" w:rsidR="00C70AE2" w:rsidRDefault="00A36F18">
            <w:pPr>
              <w:spacing w:after="0" w:line="240" w:lineRule="auto"/>
              <w:jc w:val="center"/>
            </w:pPr>
            <w:r>
              <w:rPr>
                <w:rFonts w:ascii="Times New Roman" w:hAnsi="Times New Roman"/>
                <w:sz w:val="14"/>
              </w:rPr>
              <w:t>0.004</w:t>
            </w:r>
          </w:p>
        </w:tc>
        <w:tc>
          <w:tcPr>
            <w:tcW w:w="2320" w:type="dxa"/>
            <w:tcBorders>
              <w:top w:val="nil"/>
              <w:left w:val="nil"/>
              <w:bottom w:val="nil"/>
              <w:right w:val="nil"/>
            </w:tcBorders>
            <w:vAlign w:val="center"/>
          </w:tcPr>
          <w:p ns2:paraId="4483CB1F" ns2:textId="77777777" w:rsidR="00C70AE2" w:rsidRDefault="00A36F18">
            <w:pPr>
              <w:spacing w:after="0" w:line="240" w:lineRule="auto"/>
              <w:jc w:val="center"/>
            </w:pPr>
            <w:r>
              <w:rPr>
                <w:rFonts w:ascii="Times New Roman" w:hAnsi="Times New Roman"/>
                <w:sz w:val="14"/>
              </w:rPr>
              <w:t>Significant; survives broader denominator</w:t>
            </w:r>
          </w:p>
        </w:tc>
      </w:tr>
      <w:tr w:rsidR="00C70AE2" ns2:paraId="1203A82E" ns2:textId="77777777" w:rsidTr="00CD1970">
        <w:trPr>
          <w:cantSplit/>
          <w:trHeight w:val="329"/>
          <w:jc w:val="center"/>
        </w:trPr>
        <w:tc>
          <w:tcPr>
            <w:tcW w:w="1812" w:type="dxa"/>
            <w:tcBorders>
              <w:top w:val="nil"/>
              <w:left w:val="nil"/>
              <w:bottom w:val="nil"/>
              <w:right w:val="nil"/>
            </w:tcBorders>
            <w:vAlign w:val="center"/>
          </w:tcPr>
          <w:p ns2:paraId="149414A8" ns2:textId="77777777" w:rsidR="00C70AE2" w:rsidRDefault="00A36F18">
            <w:pPr>
              <w:spacing w:after="0" w:line="240" w:lineRule="auto"/>
            </w:pPr>
            <w:r>
              <w:rPr>
                <w:rFonts w:ascii="Times New Roman" w:hAnsi="Times New Roman"/>
                <w:sz w:val="14"/>
              </w:rPr>
              <w:t>R4. Bilateral: ILOSTAT, no UK</w:t>
            </w:r>
          </w:p>
        </w:tc>
        <w:tc>
          <w:tcPr>
            <w:tcW w:w="3552" w:type="dxa"/>
            <w:tcBorders>
              <w:top w:val="nil"/>
              <w:left w:val="nil"/>
              <w:bottom w:val="nil"/>
              <w:right w:val="nil"/>
            </w:tcBorders>
            <w:vAlign w:val="center"/>
          </w:tcPr>
          <w:p ns2:paraId="0FE93931" ns2:textId="77777777" w:rsidR="00C70AE2" w:rsidRDefault="00A36F18">
            <w:pPr>
              <w:spacing w:after="0" w:line="240" w:lineRule="auto"/>
              <w:jc w:val="center"/>
            </w:pPr>
            <w:r>
              <w:rPr>
                <w:rFonts w:ascii="Times New Roman" w:hAnsi="Times New Roman"/>
                <w:sz w:val="14"/>
              </w:rPr>
              <w:t>Replaces Eurostat unemployment with ILOSTAT</w:t>
            </w:r>
          </w:p>
        </w:tc>
        <w:tc>
          <w:tcPr>
            <w:tcW w:w="1044" w:type="dxa"/>
            <w:tcBorders>
              <w:top w:val="nil"/>
              <w:left w:val="nil"/>
              <w:bottom w:val="nil"/>
              <w:right w:val="nil"/>
            </w:tcBorders>
            <w:vAlign w:val="center"/>
          </w:tcPr>
          <w:p ns2:paraId="0143BD35" ns2:textId="77777777" w:rsidR="00C70AE2" w:rsidRDefault="00A36F18">
            <w:pPr>
              <w:spacing w:after="0" w:line="240" w:lineRule="auto"/>
              <w:jc w:val="center"/>
            </w:pPr>
            <w:r>
              <w:rPr>
                <w:rFonts w:ascii="Times New Roman" w:hAnsi="Times New Roman"/>
                <w:sz w:val="14"/>
              </w:rPr>
              <w:t>0.005547***</w:t>
            </w:r>
          </w:p>
        </w:tc>
        <w:tc>
          <w:tcPr>
            <w:tcW w:w="695" w:type="dxa"/>
            <w:tcBorders>
              <w:top w:val="nil"/>
              <w:left w:val="nil"/>
              <w:bottom w:val="nil"/>
              <w:right w:val="nil"/>
            </w:tcBorders>
            <w:vAlign w:val="center"/>
          </w:tcPr>
          <w:p ns2:paraId="1EBE5AC5" ns2: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ns2:paraId="07ACFA1C" ns2:textId="77777777" w:rsidR="00C70AE2" w:rsidRDefault="00A36F18">
            <w:pPr>
              <w:spacing w:after="0" w:line="240" w:lineRule="auto"/>
              <w:jc w:val="center"/>
            </w:pPr>
            <w:r>
              <w:rPr>
                <w:rFonts w:ascii="Times New Roman" w:hAnsi="Times New Roman"/>
                <w:sz w:val="14"/>
              </w:rPr>
              <w:t>Significant; survives source change</w:t>
            </w:r>
          </w:p>
        </w:tc>
      </w:tr>
      <w:tr w:rsidR="00C70AE2" ns2:paraId="5C69477F" ns2:textId="77777777" w:rsidTr="00CD1970">
        <w:trPr>
          <w:cantSplit/>
          <w:trHeight w:val="329"/>
          <w:jc w:val="center"/>
        </w:trPr>
        <w:tc>
          <w:tcPr>
            <w:tcW w:w="1812" w:type="dxa"/>
            <w:tcBorders>
              <w:top w:val="nil"/>
              <w:left w:val="nil"/>
              <w:bottom w:val="nil"/>
              <w:right w:val="nil"/>
            </w:tcBorders>
            <w:vAlign w:val="center"/>
          </w:tcPr>
          <w:p ns2:paraId="315797AF" ns2:textId="77777777" w:rsidR="00C70AE2" w:rsidRDefault="00A36F18">
            <w:pPr>
              <w:spacing w:after="0" w:line="240" w:lineRule="auto"/>
            </w:pPr>
            <w:r>
              <w:rPr>
                <w:rFonts w:ascii="Times New Roman" w:hAnsi="Times New Roman"/>
                <w:sz w:val="14"/>
              </w:rPr>
              <w:t>R5. Bilateral: ILOSTAT, with UK</w:t>
            </w:r>
          </w:p>
        </w:tc>
        <w:tc>
          <w:tcPr>
            <w:tcW w:w="3552" w:type="dxa"/>
            <w:tcBorders>
              <w:top w:val="nil"/>
              <w:left w:val="nil"/>
              <w:bottom w:val="nil"/>
              <w:right w:val="nil"/>
            </w:tcBorders>
            <w:vAlign w:val="center"/>
          </w:tcPr>
          <w:p ns2:paraId="0862E1CB" ns2:textId="77777777" w:rsidR="00C70AE2" w:rsidRDefault="00A36F18">
            <w:pPr>
              <w:spacing w:after="0" w:line="240" w:lineRule="auto"/>
              <w:jc w:val="center"/>
            </w:pPr>
            <w:r>
              <w:rPr>
                <w:rFonts w:ascii="Times New Roman" w:hAnsi="Times New Roman"/>
                <w:sz w:val="14"/>
              </w:rPr>
              <w:t>Adds the United Kingdom using ILOSTAT unemployment</w:t>
            </w:r>
          </w:p>
        </w:tc>
        <w:tc>
          <w:tcPr>
            <w:tcW w:w="1044" w:type="dxa"/>
            <w:tcBorders>
              <w:top w:val="nil"/>
              <w:left w:val="nil"/>
              <w:bottom w:val="nil"/>
              <w:right w:val="nil"/>
            </w:tcBorders>
            <w:vAlign w:val="center"/>
          </w:tcPr>
          <w:p ns2:paraId="547CCFF8" ns2:textId="77777777" w:rsidR="00C70AE2" w:rsidRDefault="00A36F18">
            <w:pPr>
              <w:spacing w:after="0" w:line="240" w:lineRule="auto"/>
              <w:jc w:val="center"/>
            </w:pPr>
            <w:r>
              <w:rPr>
                <w:rFonts w:ascii="Times New Roman" w:hAnsi="Times New Roman"/>
                <w:sz w:val="14"/>
              </w:rPr>
              <w:t>0.000883</w:t>
            </w:r>
          </w:p>
        </w:tc>
        <w:tc>
          <w:tcPr>
            <w:tcW w:w="695" w:type="dxa"/>
            <w:tcBorders>
              <w:top w:val="nil"/>
              <w:left w:val="nil"/>
              <w:bottom w:val="nil"/>
              <w:right w:val="nil"/>
            </w:tcBorders>
            <w:vAlign w:val="center"/>
          </w:tcPr>
          <w:p ns2:paraId="53434D86" ns2:textId="77777777" w:rsidR="00C70AE2" w:rsidRDefault="00A36F18">
            <w:pPr>
              <w:spacing w:after="0" w:line="240" w:lineRule="auto"/>
              <w:jc w:val="center"/>
            </w:pPr>
            <w:r>
              <w:rPr>
                <w:rFonts w:ascii="Times New Roman" w:hAnsi="Times New Roman"/>
                <w:sz w:val="14"/>
              </w:rPr>
              <w:t>0.774</w:t>
            </w:r>
          </w:p>
        </w:tc>
        <w:tc>
          <w:tcPr>
            <w:tcW w:w="2320" w:type="dxa"/>
            <w:tcBorders>
              <w:top w:val="nil"/>
              <w:left w:val="nil"/>
              <w:bottom w:val="nil"/>
              <w:right w:val="nil"/>
            </w:tcBorders>
            <w:vAlign w:val="center"/>
          </w:tcPr>
          <w:p ns2:paraId="5801E98A" ns2:textId="77777777" w:rsidR="00C70AE2" w:rsidRDefault="00A36F18">
            <w:pPr>
              <w:spacing w:after="0" w:line="240" w:lineRule="auto"/>
              <w:jc w:val="center"/>
            </w:pPr>
            <w:r>
              <w:rPr>
                <w:rFonts w:ascii="Times New Roman" w:hAnsi="Times New Roman"/>
                <w:sz w:val="14"/>
              </w:rPr>
              <w:t>Not significant</w:t>
            </w:r>
          </w:p>
        </w:tc>
      </w:tr>
      <w:tr w:rsidR="00C70AE2" ns2:paraId="22B1733E" ns2:textId="77777777" w:rsidTr="00CD1970">
        <w:trPr>
          <w:cantSplit/>
          <w:trHeight w:val="343"/>
          <w:jc w:val="center"/>
        </w:trPr>
        <w:tc>
          <w:tcPr>
            <w:tcW w:w="1812" w:type="dxa"/>
            <w:tcBorders>
              <w:top w:val="nil"/>
              <w:left w:val="nil"/>
              <w:bottom w:val="nil"/>
              <w:right w:val="nil"/>
            </w:tcBorders>
            <w:vAlign w:val="center"/>
          </w:tcPr>
          <w:p ns2:paraId="4DE8B059" ns2:textId="77777777" w:rsidR="00C70AE2" w:rsidRDefault="00A36F18">
            <w:pPr>
              <w:spacing w:after="0" w:line="240" w:lineRule="auto"/>
            </w:pPr>
            <w:r>
              <w:rPr>
                <w:rFonts w:ascii="Times New Roman" w:hAnsi="Times New Roman"/>
                <w:sz w:val="14"/>
              </w:rPr>
              <w:t>R6. Bilateral: core labor-entry measure</w:t>
            </w:r>
          </w:p>
        </w:tc>
        <w:tc>
          <w:tcPr>
            <w:tcW w:w="3552" w:type="dxa"/>
            <w:tcBorders>
              <w:top w:val="nil"/>
              <w:left w:val="nil"/>
              <w:bottom w:val="nil"/>
              <w:right w:val="nil"/>
            </w:tcBorders>
            <w:vAlign w:val="center"/>
          </w:tcPr>
          <w:p ns2:paraId="72C21EAB" ns2:textId="77777777" w:rsidR="00C70AE2" w:rsidRDefault="00A36F18">
            <w:pPr>
              <w:spacing w:after="0" w:line="240" w:lineRule="auto"/>
              <w:jc w:val="center"/>
            </w:pPr>
            <w:r>
              <w:rPr>
                <w:rFonts w:ascii="Times New Roman" w:hAnsi="Times New Roman"/>
                <w:sz w:val="14"/>
              </w:rPr>
              <w:t>Restricts the policy index to core labor-entry and administrative tools</w:t>
            </w:r>
          </w:p>
        </w:tc>
        <w:tc>
          <w:tcPr>
            <w:tcW w:w="1044" w:type="dxa"/>
            <w:tcBorders>
              <w:top w:val="nil"/>
              <w:left w:val="nil"/>
              <w:bottom w:val="nil"/>
              <w:right w:val="nil"/>
            </w:tcBorders>
            <w:vAlign w:val="center"/>
          </w:tcPr>
          <w:p ns2:paraId="1C1F8C3F" ns2:textId="77777777" w:rsidR="00C70AE2" w:rsidRDefault="00A36F18">
            <w:pPr>
              <w:spacing w:after="0" w:line="240" w:lineRule="auto"/>
              <w:jc w:val="center"/>
            </w:pPr>
            <w:r>
              <w:rPr>
                <w:rFonts w:ascii="Times New Roman" w:hAnsi="Times New Roman"/>
                <w:sz w:val="14"/>
              </w:rPr>
              <w:t>0.004389**</w:t>
            </w:r>
          </w:p>
        </w:tc>
        <w:tc>
          <w:tcPr>
            <w:tcW w:w="695" w:type="dxa"/>
            <w:tcBorders>
              <w:top w:val="nil"/>
              <w:left w:val="nil"/>
              <w:bottom w:val="nil"/>
              <w:right w:val="nil"/>
            </w:tcBorders>
            <w:vAlign w:val="center"/>
          </w:tcPr>
          <w:p ns2:paraId="0154059D" ns2:textId="77777777" w:rsidR="00C70AE2" w:rsidRDefault="00A36F18">
            <w:pPr>
              <w:spacing w:after="0" w:line="240" w:lineRule="auto"/>
              <w:jc w:val="center"/>
            </w:pPr>
            <w:r>
              <w:rPr>
                <w:rFonts w:ascii="Times New Roman" w:hAnsi="Times New Roman"/>
                <w:sz w:val="14"/>
              </w:rPr>
              <w:t>0.015</w:t>
            </w:r>
          </w:p>
        </w:tc>
        <w:tc>
          <w:tcPr>
            <w:tcW w:w="2320" w:type="dxa"/>
            <w:tcBorders>
              <w:top w:val="nil"/>
              <w:left w:val="nil"/>
              <w:bottom w:val="nil"/>
              <w:right w:val="nil"/>
            </w:tcBorders>
            <w:vAlign w:val="center"/>
          </w:tcPr>
          <w:p ns2:paraId="0F67F868" ns2:textId="77777777" w:rsidR="00C70AE2" w:rsidRDefault="00A36F18">
            <w:pPr>
              <w:spacing w:after="0" w:line="240" w:lineRule="auto"/>
              <w:jc w:val="center"/>
            </w:pPr>
            <w:r>
              <w:rPr>
                <w:rFonts w:ascii="Times New Roman" w:hAnsi="Times New Roman"/>
                <w:sz w:val="14"/>
              </w:rPr>
              <w:t>Positive and significant</w:t>
            </w:r>
          </w:p>
        </w:tc>
      </w:tr>
      <w:tr w:rsidR="00C70AE2" ns2:paraId="515D9FD8" ns2:textId="77777777" w:rsidTr="00CD1970">
        <w:trPr>
          <w:cantSplit/>
          <w:trHeight w:val="329"/>
          <w:jc w:val="center"/>
        </w:trPr>
        <w:tc>
          <w:tcPr>
            <w:tcW w:w="1812" w:type="dxa"/>
            <w:tcBorders>
              <w:top w:val="nil"/>
              <w:left w:val="nil"/>
              <w:bottom w:val="nil"/>
              <w:right w:val="nil"/>
            </w:tcBorders>
            <w:vAlign w:val="center"/>
          </w:tcPr>
          <w:p ns2:paraId="0C9EDF1D" ns2:textId="77777777" w:rsidR="00C70AE2" w:rsidRDefault="00A36F18">
            <w:pPr>
              <w:spacing w:after="0" w:line="240" w:lineRule="auto"/>
            </w:pPr>
            <w:r>
              <w:rPr>
                <w:rFonts w:ascii="Times New Roman" w:hAnsi="Times New Roman"/>
                <w:sz w:val="14"/>
              </w:rPr>
              <w:t>R7. Bilateral: work-visa tool only</w:t>
            </w:r>
          </w:p>
        </w:tc>
        <w:tc>
          <w:tcPr>
            <w:tcW w:w="3552" w:type="dxa"/>
            <w:tcBorders>
              <w:top w:val="nil"/>
              <w:left w:val="nil"/>
              <w:bottom w:val="nil"/>
              <w:right w:val="nil"/>
            </w:tcBorders>
            <w:vAlign w:val="center"/>
          </w:tcPr>
          <w:p ns2:paraId="45E2259A" ns2:textId="77777777" w:rsidR="00C70AE2" w:rsidRDefault="00A36F18">
            <w:pPr>
              <w:spacing w:after="0" w:line="240" w:lineRule="auto"/>
              <w:jc w:val="center"/>
            </w:pPr>
            <w:r>
              <w:rPr>
                <w:rFonts w:ascii="Times New Roman" w:hAnsi="Times New Roman"/>
                <w:sz w:val="14"/>
              </w:rPr>
              <w:t>Restricts the policy index to work-visa and work-permit events</w:t>
            </w:r>
          </w:p>
        </w:tc>
        <w:tc>
          <w:tcPr>
            <w:tcW w:w="1044" w:type="dxa"/>
            <w:tcBorders>
              <w:top w:val="nil"/>
              <w:left w:val="nil"/>
              <w:bottom w:val="nil"/>
              <w:right w:val="nil"/>
            </w:tcBorders>
            <w:vAlign w:val="center"/>
          </w:tcPr>
          <w:p ns2:paraId="0FC960C6" ns2:textId="77777777" w:rsidR="00C70AE2" w:rsidRDefault="00A36F18">
            <w:pPr>
              <w:spacing w:after="0" w:line="240" w:lineRule="auto"/>
              <w:jc w:val="center"/>
            </w:pPr>
            <w:r>
              <w:rPr>
                <w:rFonts w:ascii="Times New Roman" w:hAnsi="Times New Roman"/>
                <w:sz w:val="14"/>
              </w:rPr>
              <w:t>0.008190***</w:t>
            </w:r>
          </w:p>
        </w:tc>
        <w:tc>
          <w:tcPr>
            <w:tcW w:w="695" w:type="dxa"/>
            <w:tcBorders>
              <w:top w:val="nil"/>
              <w:left w:val="nil"/>
              <w:bottom w:val="nil"/>
              <w:right w:val="nil"/>
            </w:tcBorders>
            <w:vAlign w:val="center"/>
          </w:tcPr>
          <w:p ns2:paraId="3B92434D" ns2: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ns2:paraId="752CC3BA" ns2:textId="77777777" w:rsidR="00C70AE2" w:rsidRDefault="00A36F18">
            <w:pPr>
              <w:spacing w:after="0" w:line="240" w:lineRule="auto"/>
              <w:jc w:val="center"/>
            </w:pPr>
            <w:r>
              <w:rPr>
                <w:rFonts w:ascii="Times New Roman" w:hAnsi="Times New Roman"/>
                <w:sz w:val="14"/>
              </w:rPr>
              <w:t>Significant; larger estimate</w:t>
            </w:r>
          </w:p>
        </w:tc>
      </w:tr>
      <w:tr w:rsidR="00C70AE2" ns2:paraId="28F1553A" ns2:textId="77777777" w:rsidTr="00CD1970">
        <w:trPr>
          <w:cantSplit/>
          <w:trHeight w:val="508"/>
          <w:jc w:val="center"/>
        </w:trPr>
        <w:tc>
          <w:tcPr>
            <w:tcW w:w="1812" w:type="dxa"/>
            <w:tcBorders>
              <w:top w:val="nil"/>
              <w:left w:val="nil"/>
              <w:bottom w:val="nil"/>
              <w:right w:val="nil"/>
            </w:tcBorders>
            <w:vAlign w:val="center"/>
          </w:tcPr>
          <w:p ns2:paraId="0FCA0341" ns2:textId="77777777" w:rsidR="00C70AE2" w:rsidRDefault="00A36F18">
            <w:pPr>
              <w:spacing w:after="0" w:line="240" w:lineRule="auto"/>
            </w:pPr>
            <w:r>
              <w:rPr>
                <w:rFonts w:ascii="Times New Roman" w:hAnsi="Times New Roman"/>
                <w:sz w:val="14"/>
              </w:rPr>
              <w:t>R8. Bilateral: origin-income strata</w:t>
            </w:r>
          </w:p>
        </w:tc>
        <w:tc>
          <w:tcPr>
            <w:tcW w:w="3552" w:type="dxa"/>
            <w:tcBorders>
              <w:top w:val="nil"/>
              <w:left w:val="nil"/>
              <w:bottom w:val="nil"/>
              <w:right w:val="nil"/>
            </w:tcBorders>
            <w:vAlign w:val="center"/>
          </w:tcPr>
          <w:p ns2:paraId="53EB89A9" ns2:textId="77777777" w:rsidR="00C70AE2" w:rsidRDefault="00A36F18">
            <w:pPr>
              <w:spacing w:after="0" w:line="240" w:lineRule="auto"/>
              <w:jc w:val="center"/>
            </w:pPr>
            <w:r>
              <w:rPr>
                <w:rFonts w:ascii="Times New Roman" w:hAnsi="Times New Roman"/>
                <w:sz w:val="14"/>
              </w:rPr>
              <w:t>Re-estimates the preferred model by World Bank FY2020 origin-income group</w:t>
            </w:r>
          </w:p>
        </w:tc>
        <w:tc>
          <w:tcPr>
            <w:tcW w:w="1044" w:type="dxa"/>
            <w:tcBorders>
              <w:top w:val="nil"/>
              <w:left w:val="nil"/>
              <w:bottom w:val="nil"/>
              <w:right w:val="nil"/>
            </w:tcBorders>
            <w:vAlign w:val="center"/>
          </w:tcPr>
          <w:p ns2:paraId="0E0D0951" ns2:textId="77777777" w:rsidR="00C70AE2" w:rsidRDefault="00A36F18">
            <w:pPr>
              <w:spacing w:after="0" w:line="240" w:lineRule="auto"/>
              <w:jc w:val="center"/>
            </w:pPr>
            <w:r>
              <w:rPr>
                <w:rFonts w:ascii="Times New Roman" w:hAnsi="Times New Roman"/>
                <w:sz w:val="14"/>
              </w:rPr>
              <w:t>See text</w:t>
            </w:r>
          </w:p>
        </w:tc>
        <w:tc>
          <w:tcPr>
            <w:tcW w:w="695" w:type="dxa"/>
            <w:tcBorders>
              <w:top w:val="nil"/>
              <w:left w:val="nil"/>
              <w:bottom w:val="nil"/>
              <w:right w:val="nil"/>
            </w:tcBorders>
            <w:vAlign w:val="center"/>
          </w:tcPr>
          <w:p ns2:paraId="252B11A3" ns2:textId="77777777" w:rsidR="00C70AE2" w:rsidRDefault="00A36F18">
            <w:pPr>
              <w:spacing w:after="0" w:line="240" w:lineRule="auto"/>
              <w:jc w:val="center"/>
            </w:pPr>
            <w:r>
              <w:rPr>
                <w:rFonts w:ascii="Times New Roman" w:hAnsi="Times New Roman"/>
                <w:sz w:val="14"/>
              </w:rPr>
              <w:t>See text</w:t>
            </w:r>
          </w:p>
        </w:tc>
        <w:tc>
          <w:tcPr>
            <w:tcW w:w="2320" w:type="dxa"/>
            <w:tcBorders>
              <w:top w:val="nil"/>
              <w:left w:val="nil"/>
              <w:bottom w:val="nil"/>
              <w:right w:val="nil"/>
            </w:tcBorders>
            <w:vAlign w:val="center"/>
          </w:tcPr>
          <w:p ns2:paraId="00507050" ns2:textId="77777777" w:rsidR="00C70AE2" w:rsidRDefault="00A36F18">
            <w:pPr>
              <w:spacing w:after="0" w:line="240" w:lineRule="auto"/>
              <w:jc w:val="center"/>
            </w:pPr>
            <w:r>
              <w:rPr>
                <w:rFonts w:ascii="Times New Roman" w:hAnsi="Times New Roman"/>
                <w:sz w:val="14"/>
              </w:rPr>
              <w:t>Positive and significant for H/UM/LM; low-income estimate is negative and marginal</w:t>
            </w:r>
          </w:p>
        </w:tc>
      </w:tr>
      <w:tr w:rsidR="00C70AE2" ns2:paraId="48EBC53F" ns2:textId="77777777" w:rsidTr="00CD1970">
        <w:trPr>
          <w:cantSplit/>
          <w:trHeight w:val="329"/>
          <w:jc w:val="center"/>
        </w:trPr>
        <w:tc>
          <w:tcPr>
            <w:tcW w:w="1812" w:type="dxa"/>
            <w:tcBorders>
              <w:top w:val="nil"/>
              <w:left w:val="nil"/>
              <w:bottom w:val="nil"/>
              <w:right w:val="nil"/>
            </w:tcBorders>
            <w:vAlign w:val="center"/>
          </w:tcPr>
          <w:p ns2:paraId="4D5F5355" ns2:textId="77777777" w:rsidR="00C70AE2" w:rsidRDefault="00A36F18">
            <w:pPr>
              <w:spacing w:after="0" w:line="240" w:lineRule="auto"/>
            </w:pPr>
            <w:r>
              <w:rPr>
                <w:rFonts w:ascii="Times New Roman" w:hAnsi="Times New Roman"/>
                <w:sz w:val="14"/>
              </w:rPr>
              <w:t>R9. Bilateral: EU directive windows</w:t>
            </w:r>
          </w:p>
        </w:tc>
        <w:tc>
          <w:tcPr>
            <w:tcW w:w="3552" w:type="dxa"/>
            <w:tcBorders>
              <w:top w:val="nil"/>
              <w:left w:val="nil"/>
              <w:bottom w:val="nil"/>
              <w:right w:val="nil"/>
            </w:tcBorders>
            <w:vAlign w:val="center"/>
          </w:tcPr>
          <w:p ns2:paraId="5D0CD41F" ns2:textId="77777777" w:rsidR="00C70AE2" w:rsidRDefault="00A36F18">
            <w:pPr>
              <w:spacing w:after="0" w:line="240" w:lineRule="auto"/>
              <w:jc w:val="center"/>
            </w:pPr>
            <w:r>
              <w:rPr>
                <w:rFonts w:ascii="Times New Roman" w:hAnsi="Times New Roman"/>
                <w:sz w:val="14"/>
              </w:rPr>
              <w:t>Adds four destination-year directive-window controls where legally applicable</w:t>
            </w:r>
          </w:p>
        </w:tc>
        <w:tc>
          <w:tcPr>
            <w:tcW w:w="1044" w:type="dxa"/>
            <w:tcBorders>
              <w:top w:val="nil"/>
              <w:left w:val="nil"/>
              <w:bottom w:val="nil"/>
              <w:right w:val="nil"/>
            </w:tcBorders>
            <w:vAlign w:val="center"/>
          </w:tcPr>
          <w:p ns2:paraId="503286D9" ns2:textId="77777777" w:rsidR="00C70AE2" w:rsidRDefault="00A36F18">
            <w:pPr>
              <w:spacing w:after="0" w:line="240" w:lineRule="auto"/>
              <w:jc w:val="center"/>
            </w:pPr>
            <w:r>
              <w:rPr>
                <w:rFonts w:ascii="Times New Roman" w:hAnsi="Times New Roman"/>
                <w:sz w:val="14"/>
              </w:rPr>
              <w:t>0.006587***</w:t>
            </w:r>
          </w:p>
        </w:tc>
        <w:tc>
          <w:tcPr>
            <w:tcW w:w="695" w:type="dxa"/>
            <w:tcBorders>
              <w:top w:val="nil"/>
              <w:left w:val="nil"/>
              <w:bottom w:val="nil"/>
              <w:right w:val="nil"/>
            </w:tcBorders>
            <w:vAlign w:val="center"/>
          </w:tcPr>
          <w:p ns2:paraId="3D6C07A7" ns2: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ns2:paraId="746E5CD1" ns2:textId="77777777" w:rsidR="00C70AE2" w:rsidRDefault="00A36F18">
            <w:pPr>
              <w:spacing w:after="0" w:line="240" w:lineRule="auto"/>
              <w:jc w:val="center"/>
            </w:pPr>
            <w:r>
              <w:rPr>
                <w:rFonts w:ascii="Times New Roman" w:hAnsi="Times New Roman"/>
                <w:sz w:val="14"/>
              </w:rPr>
              <w:t>Preferred coefficient remains stable</w:t>
            </w:r>
          </w:p>
        </w:tc>
      </w:tr>
      <w:tr w:rsidR="00C70AE2" ns2:paraId="152BB825" ns2:textId="77777777" w:rsidTr="00CD1970">
        <w:trPr>
          <w:cantSplit/>
          <w:trHeight w:val="329"/>
          <w:jc w:val="center"/>
        </w:trPr>
        <w:tc>
          <w:tcPr>
            <w:tcW w:w="1812" w:type="dxa"/>
            <w:tcBorders>
              <w:top w:val="nil"/>
              <w:left w:val="nil"/>
              <w:bottom w:val="nil"/>
              <w:right w:val="nil"/>
            </w:tcBorders>
            <w:vAlign w:val="center"/>
          </w:tcPr>
          <w:p ns2:paraId="17FADD60" ns2:textId="77777777" w:rsidR="00C70AE2" w:rsidRDefault="00A36F18">
            <w:pPr>
              <w:spacing w:after="0" w:line="240" w:lineRule="auto"/>
            </w:pPr>
            <w:r>
              <w:rPr>
                <w:rFonts w:ascii="Times New Roman" w:hAnsi="Times New Roman"/>
                <w:sz w:val="14"/>
              </w:rPr>
              <w:t>R10. Bilateral: prior-year denominator weights</w:t>
            </w:r>
          </w:p>
        </w:tc>
        <w:tc>
          <w:tcPr>
            <w:tcW w:w="3552" w:type="dxa"/>
            <w:tcBorders>
              <w:top w:val="nil"/>
              <w:left w:val="nil"/>
              <w:bottom w:val="nil"/>
              <w:right w:val="nil"/>
            </w:tcBorders>
            <w:vAlign w:val="center"/>
          </w:tcPr>
          <w:p ns2:paraId="0E0B7D66" ns2:textId="77777777" w:rsidR="00C70AE2" w:rsidRDefault="00A36F18">
            <w:pPr>
              <w:spacing w:after="0" w:line="240" w:lineRule="auto"/>
              <w:jc w:val="center"/>
            </w:pPr>
            <w:r>
              <w:rPr>
                <w:rFonts w:ascii="Times New Roman" w:hAnsi="Times New Roman"/>
                <w:sz w:val="14"/>
              </w:rPr>
              <w:t>Replaces the current-year precision weight with the previous year's employment-permit denominator</w:t>
            </w:r>
          </w:p>
        </w:tc>
        <w:tc>
          <w:tcPr>
            <w:tcW w:w="1044" w:type="dxa"/>
            <w:tcBorders>
              <w:top w:val="nil"/>
              <w:left w:val="nil"/>
              <w:bottom w:val="nil"/>
              <w:right w:val="nil"/>
            </w:tcBorders>
            <w:vAlign w:val="center"/>
          </w:tcPr>
          <w:p ns2:paraId="69D67D81" ns2:textId="77777777" w:rsidR="00C70AE2" w:rsidRDefault="00A36F18">
            <w:pPr>
              <w:spacing w:after="0" w:line="240" w:lineRule="auto"/>
              <w:jc w:val="center"/>
            </w:pPr>
            <w:r>
              <w:rPr>
                <w:rFonts w:ascii="Times New Roman" w:hAnsi="Times New Roman"/>
                <w:sz w:val="14"/>
              </w:rPr>
              <w:t>0.006858***</w:t>
            </w:r>
          </w:p>
        </w:tc>
        <w:tc>
          <w:tcPr>
            <w:tcW w:w="695" w:type="dxa"/>
            <w:tcBorders>
              <w:top w:val="nil"/>
              <w:left w:val="nil"/>
              <w:bottom w:val="nil"/>
              <w:right w:val="nil"/>
            </w:tcBorders>
            <w:vAlign w:val="center"/>
          </w:tcPr>
          <w:p ns2:paraId="6499BAB1" ns2: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ns2:paraId="789C09AA" ns2:textId="77777777" w:rsidR="00C70AE2" w:rsidRDefault="00A36F18">
            <w:pPr>
              <w:spacing w:after="0" w:line="240" w:lineRule="auto"/>
              <w:jc w:val="center"/>
            </w:pPr>
            <w:r>
              <w:rPr>
                <w:rFonts w:ascii="Times New Roman" w:hAnsi="Times New Roman"/>
                <w:sz w:val="14"/>
              </w:rPr>
              <w:t>Significant; bootstrap p = 0.0025</w:t>
            </w:r>
          </w:p>
        </w:tc>
      </w:tr>
      <w:tr w:rsidR="00C70AE2" ns2:paraId="45AE4037" ns2:textId="77777777" w:rsidTr="00CD1970">
        <w:trPr>
          <w:cantSplit/>
          <w:trHeight w:val="343"/>
          <w:jc w:val="center"/>
        </w:trPr>
        <w:tc>
          <w:tcPr>
            <w:tcW w:w="1812" w:type="dxa"/>
            <w:tcBorders>
              <w:top w:val="nil"/>
              <w:left w:val="nil"/>
              <w:bottom w:val="nil"/>
              <w:right w:val="nil"/>
            </w:tcBorders>
            <w:vAlign w:val="center"/>
          </w:tcPr>
          <w:p ns2:paraId="494420CF" ns2:textId="77777777" w:rsidR="00C70AE2" w:rsidRDefault="00A36F18">
            <w:pPr>
              <w:spacing w:after="0" w:line="240" w:lineRule="auto"/>
            </w:pPr>
            <w:r>
              <w:rPr>
                <w:rFonts w:ascii="Times New Roman" w:hAnsi="Times New Roman"/>
                <w:sz w:val="14"/>
              </w:rPr>
              <w:t>R11. Bilateral: leave-one-destination-out</w:t>
            </w:r>
          </w:p>
        </w:tc>
        <w:tc>
          <w:tcPr>
            <w:tcW w:w="3552" w:type="dxa"/>
            <w:tcBorders>
              <w:top w:val="nil"/>
              <w:left w:val="nil"/>
              <w:bottom w:val="nil"/>
              <w:right w:val="nil"/>
            </w:tcBorders>
            <w:vAlign w:val="center"/>
          </w:tcPr>
          <w:p ns2:paraId="55AB75F9" ns2:textId="77777777" w:rsidR="00C70AE2" w:rsidRDefault="00A36F18">
            <w:pPr>
              <w:spacing w:after="0" w:line="240" w:lineRule="auto"/>
              <w:jc w:val="center"/>
            </w:pPr>
            <w:r>
              <w:rPr>
                <w:rFonts w:ascii="Times New Roman" w:hAnsi="Times New Roman"/>
                <w:sz w:val="14"/>
              </w:rPr>
              <w:t>Re-estimates the preferred model omitting each of the 30 destinations in turn</w:t>
            </w:r>
          </w:p>
        </w:tc>
        <w:tc>
          <w:tcPr>
            <w:tcW w:w="1044" w:type="dxa"/>
            <w:tcBorders>
              <w:top w:val="nil"/>
              <w:left w:val="nil"/>
              <w:bottom w:val="nil"/>
              <w:right w:val="nil"/>
            </w:tcBorders>
            <w:vAlign w:val="center"/>
          </w:tcPr>
          <w:p ns2:paraId="2DD9A3F4" ns2:textId="77777777" w:rsidR="00C70AE2" w:rsidRDefault="00A36F18">
            <w:pPr>
              <w:spacing w:after="0" w:line="240" w:lineRule="auto"/>
              <w:jc w:val="center"/>
            </w:pPr>
            <w:r>
              <w:rPr>
                <w:rFonts w:ascii="Times New Roman" w:hAnsi="Times New Roman"/>
                <w:sz w:val="14"/>
              </w:rPr>
              <w:t>0.0039 to 0.0073</w:t>
            </w:r>
          </w:p>
        </w:tc>
        <w:tc>
          <w:tcPr>
            <w:tcW w:w="695" w:type="dxa"/>
            <w:tcBorders>
              <w:top w:val="nil"/>
              <w:left w:val="nil"/>
              <w:bottom w:val="nil"/>
              <w:right w:val="nil"/>
            </w:tcBorders>
            <w:vAlign w:val="center"/>
          </w:tcPr>
          <w:p ns2:paraId="1173A0F5" ns2:textId="77777777" w:rsidR="00C70AE2" w:rsidRDefault="00A36F18">
            <w:pPr>
              <w:spacing w:after="0" w:line="240" w:lineRule="auto"/>
              <w:jc w:val="center"/>
            </w:pPr>
            <w:r>
              <w:rPr>
                <w:rFonts w:ascii="Times New Roman" w:hAnsi="Times New Roman"/>
                <w:sz w:val="14"/>
              </w:rPr>
              <w:t>See text</w:t>
            </w:r>
          </w:p>
        </w:tc>
        <w:tc>
          <w:tcPr>
            <w:tcW w:w="2320" w:type="dxa"/>
            <w:tcBorders>
              <w:top w:val="nil"/>
              <w:left w:val="nil"/>
              <w:bottom w:val="nil"/>
              <w:right w:val="nil"/>
            </w:tcBorders>
            <w:vAlign w:val="center"/>
          </w:tcPr>
          <w:p ns2:paraId="1BF29E43" ns2:textId="77777777" w:rsidR="00C70AE2" w:rsidRDefault="00A36F18">
            <w:pPr>
              <w:spacing w:after="0" w:line="240" w:lineRule="auto"/>
              <w:jc w:val="center"/>
            </w:pPr>
            <w:r>
              <w:rPr>
                <w:rFonts w:ascii="Times New Roman" w:hAnsi="Times New Roman"/>
                <w:sz w:val="14"/>
              </w:rPr>
              <w:t>Positive and significant in all 30 runs</w:t>
            </w:r>
          </w:p>
        </w:tc>
      </w:tr>
      <w:tr w:rsidR="00C70AE2" ns2:paraId="55AE4038" ns2:textId="77777777" w:rsidTr="00CD1970">
        <w:trPr>
          <w:cantSplit/>
          <w:trHeight w:val="343"/>
          <w:jc w:val="center"/>
        </w:trPr>
        <w:tc>
          <w:tcPr>
            <w:tcW w:w="1812" w:type="dxa"/>
            <w:tcBorders>
              <w:top w:val="nil"/>
              <w:left w:val="nil"/>
              <w:bottom w:val="nil"/>
              <w:right w:val="nil"/>
            </w:tcBorders>
            <w:vAlign w:val="center"/>
          </w:tcPr>
          <w:p ns2:paraId="594420CF" ns2:textId="77777777" w:rsidR="00C70AE2" w:rsidRDefault="00A36F18">
            <w:pPr>
              <w:spacing w:after="0" w:line="240" w:lineRule="auto"/>
            </w:pPr>
            <w:r>
              <w:rPr>
                <w:rFonts w:ascii="Times New Roman" w:hAnsi="Times New Roman"/>
                <w:sz w:val="14"/>
              </w:rPr>
              <w:t>R12. Bilateral: destination-specific linear trends</w:t>
            </w:r>
          </w:p>
        </w:tc>
        <w:tc>
          <w:tcPr>
            <w:tcW w:w="3552" w:type="dxa"/>
            <w:tcBorders>
              <w:top w:val="nil"/>
              <w:left w:val="nil"/>
              <w:bottom w:val="nil"/>
              <w:right w:val="nil"/>
            </w:tcBorders>
            <w:vAlign w:val="center"/>
          </w:tcPr>
          <w:p ns2:paraId="45AB75F9" ns2:textId="77777777" w:rsidR="00C70AE2" w:rsidRDefault="00A36F18">
            <w:pPr>
              <w:spacing w:after="0" w:line="240" w:lineRule="auto"/>
              <w:jc w:val="center"/>
            </w:pPr>
            <w:r>
              <w:rPr>
                <w:rFonts w:ascii="Times New Roman" w:hAnsi="Times New Roman"/>
                <w:sz w:val="14"/>
              </w:rPr>
              <w:t>Adds destination-specific linear time trends to the preferred bilateral model</w:t>
            </w:r>
          </w:p>
        </w:tc>
        <w:tc>
          <w:tcPr>
            <w:tcW w:w="1044" w:type="dxa"/>
            <w:tcBorders>
              <w:top w:val="nil"/>
              <w:left w:val="nil"/>
              <w:bottom w:val="nil"/>
              <w:right w:val="nil"/>
            </w:tcBorders>
            <w:vAlign w:val="center"/>
          </w:tcPr>
          <w:p ns2:paraId="3DD9A3F4" ns2:textId="77777777" w:rsidR="00C70AE2" w:rsidRDefault="00A36F18">
            <w:pPr>
              <w:spacing w:after="0" w:line="240" w:lineRule="auto"/>
              <w:jc w:val="center"/>
            </w:pPr>
            <w:r>
              <w:rPr>
                <w:rFonts w:ascii="Times New Roman" w:hAnsi="Times New Roman"/>
                <w:sz w:val="14"/>
              </w:rPr>
              <w:t>0.002488</w:t>
            </w:r>
          </w:p>
        </w:tc>
        <w:tc>
          <w:tcPr>
            <w:tcW w:w="695" w:type="dxa"/>
            <w:tcBorders>
              <w:top w:val="nil"/>
              <w:left w:val="nil"/>
              <w:bottom w:val="nil"/>
              <w:right w:val="nil"/>
            </w:tcBorders>
            <w:vAlign w:val="center"/>
          </w:tcPr>
          <w:p ns2:paraId="0173A0F5" ns2:textId="77777777" w:rsidR="00C70AE2" w:rsidRDefault="00A36F18">
            <w:pPr>
              <w:spacing w:after="0" w:line="240" w:lineRule="auto"/>
              <w:jc w:val="center"/>
            </w:pPr>
            <w:r>
              <w:rPr>
                <w:rFonts w:ascii="Times New Roman" w:hAnsi="Times New Roman"/>
                <w:sz w:val="14"/>
              </w:rPr>
              <w:t>0.198</w:t>
            </w:r>
          </w:p>
        </w:tc>
        <w:tc>
          <w:tcPr>
            <w:tcW w:w="2320" w:type="dxa"/>
            <w:tcBorders>
              <w:top w:val="nil"/>
              <w:left w:val="nil"/>
              <w:bottom w:val="nil"/>
              <w:right w:val="nil"/>
            </w:tcBorders>
            <w:vAlign w:val="center"/>
          </w:tcPr>
          <w:p ns2:paraId="0BF29E43" ns2:textId="77777777" w:rsidR="00C70AE2" w:rsidRDefault="00A36F18">
            <w:pPr>
              <w:spacing w:after="0" w:line="240" w:lineRule="auto"/>
              <w:jc w:val="center"/>
            </w:pPr>
            <w:r>
              <w:rPr>
                <w:rFonts w:ascii="Times New Roman" w:hAnsi="Times New Roman"/>
                <w:sz w:val="14"/>
              </w:rPr>
              <w:t>Not significant; estimate attenuates and loses significance</w:t>
            </w:r>
          </w:p>
        </w:tc>
      </w:tr>
    </w:tbl>
    <w:p ns2:paraId="48E24995" ns2:textId="77777777" w:rsidR="004818D5" w:rsidRDefault="00A36F18" w:rsidP="00076A46">
      <w:pPr>
        <w:jc w:val="center"/>
      </w:pPr>
      <w:r>
        <w:t>Table 10 note. *** p &lt; 0.01, ** p &lt; 0.05, * p &lt; 0.10. Rows modify the preferred bilateral HSRate framework by changing the sample, outcome denominator, control source, policy definition, weighting, or inference. Coefficients are not always directly comparable because some checks change samples, weights, or definitions. The preferred result remains the bilateral HSRate specification in Table 7, estimated with denominator weights.</w:t>
      </w:r>
    </w:p>
    <w:p ns2:paraId="2C2DBD89" ns2:textId="77777777" w:rsidR="004818D5" w:rsidRDefault="00A36F18" w:rsidP="00A835A0">
      <w:pPr>
        <w:jc w:val="both"/>
      </w:pPr>
      <w:r>
        <w:t>R1 reintroduces the pandemic year. Extending the window to 2008-2020 reduces the coefficient from 0.006516 to 0.005446, still positive and significant (SE = 0.001716, p = 0.004, N = 6,301; wild-cluster bootstrap p = 0.024). Excluding 2020 therefore strengthens the baseline estimate but does not create its sign or significance.</w:t>
      </w:r>
    </w:p>
    <w:p ns2:paraId="71CCF387" ns2:textId="77777777" w:rsidR="008F026E" w:rsidRDefault="00A36F18" w:rsidP="0045164A">
      <w:pPr>
        <w:jc w:val="both"/>
      </w:pPr>
      <w:r>
        <w:t>R2 removes the minimum-cell cutoff while retaining the weights. The coefficient remains significant (β = 0.005978, p &lt; 0.001, N = 21,187), so the result is not created by dropping corridors below 30 permits. The unweighted no-cutoff comparison is positive but imprecise (β = 0.002565, p = 0.283): the evidence is robust to the cutoff but still depends on the precision weighting that defines the estimand.</w:t>
      </w:r>
    </w:p>
    <w:p ns2:paraId="5EA77C2D" ns2:textId="77777777" w:rsidR="0045164A" w:rsidRDefault="0045164A" w:rsidP="0045164A">
      <w:pPr>
        <w:jc w:val="both"/>
      </w:pPr>
      <w:r>
        <w:lastRenderedPageBreak/>
        <w:t>As a separate interpretive diagnostic, the cumulative net policy score is split into restrictive and liberalising stocks. The liberalising stock is negative and significant (β = -0.006893, p = 0.005), while the restrictive stock is imprecise (p = 0.551). This suggests that much of the identifying variation comes from liberalising episodes: opening the general employment channel is associated with a lower high-skilled permit share, which is the mirror image of the preferred positive restrictiveness result.</w:t>
      </w:r>
    </w:p>
    <w:p ns2:paraId="5A53A708" ns2:textId="77777777" w:rsidR="008F026E" w:rsidRDefault="00A36F18" w:rsidP="005941BA">
      <w:pPr>
        <w:pStyle w:val="BodyText"/>
        <w:jc w:val="both"/>
      </w:pPr>
      <w:r>
        <w:t>R3 changes the denominator. The numerator keeps highly skilled worker and researcher permits but is divided by all first residence permits in the cell, including family, education, and other reasons. The weighted coefficient remains significant (β = 0.000958, p = 0.004, N = 4,735), as do the corridor-FE variant (β = 0.000975, p = 0.031) and the version retaining the original permit-scale control (β = 0.001015, p = 0.001, N = 5,608).</w:t>
      </w:r>
    </w:p>
    <w:p ns2:paraId="563BD232" ns2:textId="77777777" w:rsidR="008F026E" w:rsidRDefault="00A36F18" w:rsidP="005941BA">
      <w:pPr>
        <w:pStyle w:val="BodyText"/>
        <w:jc w:val="both"/>
      </w:pPr>
      <w:r>
        <w:t>The result is therefore not only a mechanical feature of the employment-permit denominator. However, this remains a secondary check because the broader denominator includes family, education, and other permit channels that labor-migration policy does not directly target.</w:t>
      </w:r>
    </w:p>
    <w:p ns2:paraId="4FFB9E68" ns2:textId="77777777" w:rsidR="005941BA" w:rsidRDefault="005941BA" w:rsidP="005941BA">
      <w:pPr>
        <w:pStyle w:val="BodyText"/>
        <w:jc w:val="both"/>
      </w:pPr>
      <w:r>
        <w:t>Robustness checks R4 and R5 test whether the results depend on the unemployment data source. Instead of using the Eurostat unemployment series, they use the World Bank’s modeled ILO unemployment rate, which measures unemployment as a percentage of the total labor force. R4 keeps the main sample without the United Kingdom, while R5 adds the United Kingdom back into the sample using the World Bank unemployment data. The main specification excludes the United Kingdom because the Eurostat control data do not provide UK unemployment for the estimation window, and because Brexit is difficult to represent as one ordinary change in the cumulative policy score.</w:t>
      </w:r>
    </w:p>
    <w:p ns2:paraId="02F8D83F" ns2:textId="77777777" w:rsidR="00C70AE2" w:rsidRDefault="00A36F18" w:rsidP="0045164A">
      <w:pPr>
        <w:pStyle w:val="BodyText"/>
        <w:jc w:val="both"/>
      </w:pPr>
      <w:r>
        <w:t>With the United Kingdom excluded, the result is robust to the unemployment source: the Eurostat estimate is β = 0.006516 (SE = 0.001612, p &lt; 0.001, N = 5,608, G = 30) and the ILOSTAT estimate is β = 0.005547 (SE = 0.001258, p &lt; 0.001, N = 5,962, G = 30). Adding the UK through ILOSTAT, however, drops the coefficient to β = 0.000883 (SE = 0.003041, p = 0.774, N = 6,638, G = 31). The preferred bilateral result is therefore not driven by the unemployment source, but it is conditional on excluding a destination whose post-2016 policy regime is poorly captured by the cumulative measure.</w:t>
      </w:r>
    </w:p>
    <w:p ns2:paraId="1F8CA1E9" ns2:textId="77777777" w:rsidR="00C70AE2" w:rsidRDefault="00A36F18" w:rsidP="0045164A">
      <w:pPr>
        <w:pStyle w:val="BodyText"/>
        <w:jc w:val="both"/>
      </w:pPr>
      <w:r>
        <w:t>The UK exercise is a limitation rather than proof that UK inclusion is inappropriate: the preferred result is conditional on the no-UK sample, and the Brexit-era measurement mismatch is a plausible explanation for the difference.</w:t>
      </w:r>
    </w:p>
    <w:p ns2:paraId="712C23E3" ns2:textId="77777777" w:rsidR="00C70AE2" w:rsidRDefault="00A36F18" w:rsidP="0045164A">
      <w:pPr>
        <w:pStyle w:val="BodyText"/>
        <w:jc w:val="both"/>
      </w:pPr>
      <w:r>
        <w:t xml:space="preserve">R6 asks whether the result depends on the exact tool set behind Restrict. The core labor-entry subset keeps only the tools that directly affect the employer-permit entry decision - work </w:t>
        <w:lastRenderedPageBreak/>
        <w:t>visa/permit rules, quota/target, entry visa/stay permit, employer liabilities, and related sanctions - and drops action plans, integration programs, and general access-to-rights categories, which belong to the Legal entry and stay area but do not govern admission under the general channel. With the skill-target controls, the re-estimated coefficient is β = 0.004389 (p = 0.015): positive and significant, so the direction of the preferred result survives narrowing to the core admission tools, though the estimate is smaller than the all-tools baseline.</w:t>
      </w:r>
    </w:p>
    <w:p ns2:paraId="4569ADCE" ns2:textId="77777777" w:rsidR="008F026E" w:rsidRDefault="00A36F18" w:rsidP="0045164A">
      <w:pPr>
        <w:pStyle w:val="BodyText"/>
        <w:jc w:val="both"/>
      </w:pPr>
      <w:r>
        <w:t>R7 narrows Restrict to the Work visa/permit tool, the instrument most directly tied to the general employment-permit channel and re-estimates the full preferred specification on the same sample. The work-visa-only coefficient is β = 0.008190 (SE = 0.001620, t = 5.05, p &lt; 0.001; wild-cluster bootstrap p = 0.0048), moderately larger than the all-tools 0.006516. This is consistent with the proposed mechanism, since the measure now targets the tool governing the general work-permit track.</w:t>
      </w:r>
    </w:p>
    <w:p ns2:paraId="023D98B9" ns2:textId="77777777" w:rsidR="008F026E" w:rsidRDefault="00A36F18" w:rsidP="00442D74">
      <w:pPr>
        <w:pStyle w:val="BodyText"/>
        <w:jc w:val="both"/>
      </w:pPr>
      <w:r>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verifying evidence; the all-tools measure remains preferred because it matches the Section 6.2 policy-area definition.</w:t>
      </w:r>
    </w:p>
    <w:p ns2:paraId="10189F5E" ns2:textId="77777777" w:rsidR="00C70AE2" w:rsidRDefault="00442D74" w:rsidP="00442D74">
      <w:pPr>
        <w:pStyle w:val="BodyText"/>
        <w:jc w:val="both"/>
      </w:pPr>
      <w:r>
        <w:t>R8 divides migrant-origin countries into income groups using the World Bank’s FY2020 country income classification, such as high-income, upper-middle-income, lower-middle-income, and low-income origins. It then re-runs the preferred model separately for each group to see whether the relationship between policy restrictiveness and the high-skilled share is stronger, weaker, or absent for migrants from different income levels.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w:t>
      </w:r>
    </w:p>
    <w:p ns2:paraId="1BA6886F" ns2:textId="77777777" w:rsidR="00FF6912" w:rsidRDefault="00846083" w:rsidP="00846083">
      <w:pPr>
        <w:pStyle w:val="BodyText"/>
        <w:jc w:val="both"/>
      </w:pPr>
      <w:r>
        <w:t>R9 checks whether the preferred result is driven by common EU directive periods.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ns2:paraId="5ECCC60A" ns2:textId="77777777" w:rsidR="008F026E" w:rsidRDefault="00A36F18" w:rsidP="00CF07BA">
      <w:pPr>
        <w:pStyle w:val="BodyText"/>
        <w:jc w:val="both"/>
      </w:pPr>
      <w:r>
        <w:t xml:space="preserve">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main result remains after controlling for broad EU directive periods, so it does </w:t>
        <w:lastRenderedPageBreak/>
        <w:t>not appear to be driven by those directive windows. However, these controls are only rough timing indicators and should not be interpreted as causal estimates of the effects of specific reforms. Graph 3 reports the directive coefficients and the windows used to construct them.</w:t>
      </w:r>
    </w:p>
    <w:p ns2:paraId="70D664EA" ns2:textId="77777777" w:rsidR="00F84AC3" w:rsidRDefault="0038122C" w:rsidP="003A7F85">
      <w:pPr>
        <w:keepNext/>
        <w:jc w:val="both"/>
      </w:pPr>
      <w:r>
        <w:t>R10 checks whether the preferred result depends on using the current year’s permit denominator as the regression weight. In the preferred model, cells with larger current employment-permit denominators receive more weight because their high-skilled shares are measured more precisely. However, the current denominator could itself be affected by the same policy environment being studied. R10 therefore replaces the current-year weight with the previous year’s employment-permit denominator. Weighting by the previous year's denominator leaves the estimate essentially unchanged and slightly more precise (β = 0.006858, SE = 0.001502, p &lt; 0.001; wild-cluster bootstrap p = 0.0025, N = 5,540). Same-period weighting therefore does not create the result, although the lagged denominator can still reflect earlier policy history.</w:t>
      </w:r>
    </w:p>
    <w:p ns2:paraId="6BEA6BCD" ns2:textId="77777777" w:rsidR="003A7C7E" w:rsidRDefault="0038122C" w:rsidP="003A7F85">
      <w:pPr>
        <w:keepNext/>
        <w:jc w:val="both"/>
      </w:pPr>
      <w:r>
        <w:t>R11 tests whether the preferred result is driven by any single destination country. The preferred bilateral model is re-estimated 30 times, each time omitting one destination. The coefficient stays positive and significant at five percent in all 30 runs, ranging from 0.0039 to 0.0073; the most influential omission, France, gives β = 0.003884 (p = 0.029). No single destination drives the sign or significance of the baseline result.</w:t>
      </w:r>
    </w:p>
    <w:p ns2:paraId="1B368EFC" ns2:textId="77777777" w:rsidR="00FF6912" w:rsidRDefault="00FF6912" w:rsidP="0038122C">
      <w:pPr>
        <w:pStyle w:val="BodyText"/>
        <w:jc w:val="both"/>
      </w:pPr>
      <w:r>
        <w:t>Overall, the preferred result is robust across most specification checks. It remains positive and statistically significant when 2020 is reintroduced, the minimum-cell cutoff is removed, the all-first-permits denominator is used, unemployment is replaced with no-UK ILOSTAT data, the policy measure is narrowed to core labor-entry or work-visa tools, prior-year weights are used, and EU-directive windows are added. The origin-income checks are more heterogeneous, the UK-inclusive ILOSTAT model and aggregate placebo coefficients are not significant, and destination-specific trends substantially weaken the estimate. In the leave-one-destination-out exercise, every coefficient remains positive and significant at the five-percent level.</w:t>
      </w:r>
    </w:p>
    <w:p ns2:paraId="17182899" ns2:textId="77777777" w:rsidR="00B76B02" w:rsidRDefault="00000000">
      <w:pPr>
        <w:pStyle w:val="Heading2"/>
      </w:pPr>
      <w:r>
        <w:lastRenderedPageBreak/>
        <w:t>8.2 Aggregate Benchmark and EU27 Placebo Diagnostics</w:t>
      </w:r>
    </w:p>
    <w:tbl>
      <w:tblPr>
        <w:tblpPr w:leftFromText="180" w:rightFromText="180" w:vertAnchor="text" w:horzAnchor="margin" w:tblpY="2793"/>
        <w:tblW w:w="9437" w:type="dxa"/>
        <w:tblLayout w:type="fixed"/>
        <w:tblLook w:val="04A0" w:firstRow="1" w:lastRow="0" w:firstColumn="1" w:lastColumn="0" w:noHBand="0" w:noVBand="1"/>
      </w:tblPr>
      <w:tblGrid>
        <w:gridCol w:w="1815"/>
        <w:gridCol w:w="3558"/>
        <w:gridCol w:w="1045"/>
        <w:gridCol w:w="696"/>
        <w:gridCol w:w="2323"/>
      </w:tblGrid>
      <w:tr w:rsidR="0038122C" ns2:paraId="71B366AB" ns2:textId="77777777" w:rsidTr="0038122C">
        <w:trPr>
          <w:cantSplit/>
          <w:trHeight w:val="177"/>
          <w:tblHeader/>
        </w:trPr>
        <w:tc>
          <w:tcPr>
            <w:tcW w:w="1815" w:type="dxa"/>
            <w:tcBorders>
              <w:top w:val="single" w:sz="10" w:space="0" w:color="000000"/>
              <w:left w:val="nil"/>
              <w:bottom w:val="single" w:sz="8" w:space="0" w:color="000000"/>
              <w:right w:val="nil"/>
            </w:tcBorders>
            <w:shd w:val="clear" w:color="auto" w:fill="EDEDED"/>
            <w:vAlign w:val="center"/>
          </w:tcPr>
          <w:p ns2:paraId="14DA4143" ns2:textId="77777777" w:rsidR="0038122C" w:rsidRDefault="0038122C" w:rsidP="0038122C">
            <w:pPr>
              <w:spacing w:after="0" w:line="240" w:lineRule="auto"/>
            </w:pPr>
            <w:r>
              <w:rPr>
                <w:rFonts w:ascii="Times New Roman" w:hAnsi="Times New Roman"/>
                <w:b/>
                <w:sz w:val="14"/>
              </w:rPr>
              <w:t>Design / check</w:t>
            </w:r>
          </w:p>
        </w:tc>
        <w:tc>
          <w:tcPr>
            <w:tcW w:w="3558" w:type="dxa"/>
            <w:tcBorders>
              <w:top w:val="single" w:sz="10" w:space="0" w:color="000000"/>
              <w:left w:val="nil"/>
              <w:bottom w:val="single" w:sz="8" w:space="0" w:color="000000"/>
              <w:right w:val="nil"/>
            </w:tcBorders>
            <w:shd w:val="clear" w:color="auto" w:fill="EDEDED"/>
            <w:vAlign w:val="center"/>
          </w:tcPr>
          <w:p ns2:paraId="14066C5A" ns2:textId="77777777" w:rsidR="0038122C" w:rsidRDefault="0038122C" w:rsidP="0038122C">
            <w:pPr>
              <w:spacing w:after="0" w:line="240" w:lineRule="auto"/>
              <w:jc w:val="center"/>
            </w:pPr>
            <w:r>
              <w:rPr>
                <w:rFonts w:ascii="Times New Roman" w:hAnsi="Times New Roman"/>
                <w:b/>
                <w:sz w:val="14"/>
              </w:rPr>
              <w:t>Change relative to the reference model</w:t>
            </w:r>
          </w:p>
        </w:tc>
        <w:tc>
          <w:tcPr>
            <w:tcW w:w="1045" w:type="dxa"/>
            <w:tcBorders>
              <w:top w:val="single" w:sz="10" w:space="0" w:color="000000"/>
              <w:left w:val="nil"/>
              <w:bottom w:val="single" w:sz="8" w:space="0" w:color="000000"/>
              <w:right w:val="nil"/>
            </w:tcBorders>
            <w:shd w:val="clear" w:color="auto" w:fill="EDEDED"/>
            <w:vAlign w:val="center"/>
          </w:tcPr>
          <w:p ns2:paraId="55777756" ns2:textId="77777777" w:rsidR="0038122C" w:rsidRDefault="0038122C" w:rsidP="0038122C">
            <w:pPr>
              <w:spacing w:after="0" w:line="240" w:lineRule="auto"/>
              <w:jc w:val="center"/>
            </w:pPr>
            <w:r>
              <w:rPr>
                <w:rFonts w:ascii="Times New Roman" w:hAnsi="Times New Roman"/>
                <w:b/>
                <w:sz w:val="14"/>
              </w:rPr>
              <w:t>β</w:t>
            </w:r>
          </w:p>
        </w:tc>
        <w:tc>
          <w:tcPr>
            <w:tcW w:w="696" w:type="dxa"/>
            <w:tcBorders>
              <w:top w:val="single" w:sz="10" w:space="0" w:color="000000"/>
              <w:left w:val="nil"/>
              <w:bottom w:val="single" w:sz="8" w:space="0" w:color="000000"/>
              <w:right w:val="nil"/>
            </w:tcBorders>
            <w:shd w:val="clear" w:color="auto" w:fill="EDEDED"/>
            <w:vAlign w:val="center"/>
          </w:tcPr>
          <w:p ns2:paraId="6329F263" ns2:textId="77777777" w:rsidR="0038122C" w:rsidRDefault="0038122C" w:rsidP="0038122C">
            <w:pPr>
              <w:spacing w:after="0" w:line="240" w:lineRule="auto"/>
              <w:jc w:val="center"/>
            </w:pPr>
            <w:r>
              <w:rPr>
                <w:rFonts w:ascii="Times New Roman" w:hAnsi="Times New Roman"/>
                <w:b/>
                <w:sz w:val="14"/>
              </w:rPr>
              <w:t>p</w:t>
            </w:r>
          </w:p>
        </w:tc>
        <w:tc>
          <w:tcPr>
            <w:tcW w:w="2323" w:type="dxa"/>
            <w:tcBorders>
              <w:top w:val="single" w:sz="10" w:space="0" w:color="000000"/>
              <w:left w:val="nil"/>
              <w:bottom w:val="single" w:sz="8" w:space="0" w:color="000000"/>
              <w:right w:val="nil"/>
            </w:tcBorders>
            <w:shd w:val="clear" w:color="auto" w:fill="EDEDED"/>
            <w:vAlign w:val="center"/>
          </w:tcPr>
          <w:p ns2:paraId="5B449921" ns2:textId="77777777" w:rsidR="0038122C" w:rsidRDefault="0038122C" w:rsidP="0038122C">
            <w:pPr>
              <w:spacing w:after="0" w:line="240" w:lineRule="auto"/>
              <w:jc w:val="center"/>
            </w:pPr>
            <w:r>
              <w:rPr>
                <w:rFonts w:ascii="Times New Roman" w:hAnsi="Times New Roman"/>
                <w:b/>
                <w:sz w:val="14"/>
              </w:rPr>
              <w:t>Inference</w:t>
            </w:r>
          </w:p>
        </w:tc>
      </w:tr>
      <w:tr w:rsidR="0038122C" ns2:paraId="437D28DE" ns2:textId="77777777" w:rsidTr="0038122C">
        <w:trPr>
          <w:cantSplit/>
          <w:trHeight w:val="353"/>
        </w:trPr>
        <w:tc>
          <w:tcPr>
            <w:tcW w:w="1815" w:type="dxa"/>
            <w:tcBorders>
              <w:top w:val="nil"/>
              <w:left w:val="nil"/>
              <w:bottom w:val="nil"/>
              <w:right w:val="nil"/>
            </w:tcBorders>
            <w:vAlign w:val="center"/>
          </w:tcPr>
          <w:p ns2:paraId="0A76AC9B" ns2:textId="77777777" w:rsidR="0038122C" w:rsidRDefault="0038122C" w:rsidP="0038122C">
            <w:pPr>
              <w:spacing w:after="0" w:line="240" w:lineRule="auto"/>
            </w:pPr>
            <w:r>
              <w:rPr>
                <w:rFonts w:ascii="Times New Roman" w:hAnsi="Times New Roman"/>
                <w:sz w:val="14"/>
              </w:rPr>
              <w:t>Non-EU group, cumulative score</w:t>
            </w:r>
          </w:p>
        </w:tc>
        <w:tc>
          <w:tcPr>
            <w:tcW w:w="3558" w:type="dxa"/>
            <w:tcBorders>
              <w:top w:val="nil"/>
              <w:left w:val="nil"/>
              <w:bottom w:val="nil"/>
              <w:right w:val="nil"/>
            </w:tcBorders>
            <w:vAlign w:val="center"/>
          </w:tcPr>
          <w:p ns2:paraId="05C85ACD" ns2:textId="77777777" w:rsidR="0038122C" w:rsidRDefault="0038122C" w:rsidP="0038122C">
            <w:pPr>
              <w:spacing w:after="0" w:line="240" w:lineRule="auto"/>
              <w:jc w:val="center"/>
            </w:pPr>
            <w:r>
              <w:rPr>
                <w:rFonts w:ascii="Times New Roman" w:hAnsi="Times New Roman"/>
                <w:sz w:val="14"/>
              </w:rPr>
              <w:t>Aggregate treated-group benchmark</w:t>
            </w:r>
          </w:p>
        </w:tc>
        <w:tc>
          <w:tcPr>
            <w:tcW w:w="1045" w:type="dxa"/>
            <w:tcBorders>
              <w:top w:val="nil"/>
              <w:left w:val="nil"/>
              <w:bottom w:val="nil"/>
              <w:right w:val="nil"/>
            </w:tcBorders>
            <w:vAlign w:val="center"/>
          </w:tcPr>
          <w:p ns2:paraId="72502F8E" ns2:textId="77777777" w:rsidR="0038122C" w:rsidRDefault="0038122C" w:rsidP="0038122C">
            <w:pPr>
              <w:spacing w:after="0" w:line="240" w:lineRule="auto"/>
              <w:jc w:val="center"/>
            </w:pPr>
            <w:r>
              <w:rPr>
                <w:rFonts w:ascii="Times New Roman" w:hAnsi="Times New Roman"/>
                <w:sz w:val="14"/>
              </w:rPr>
              <w:t>0.002296</w:t>
            </w:r>
          </w:p>
        </w:tc>
        <w:tc>
          <w:tcPr>
            <w:tcW w:w="696" w:type="dxa"/>
            <w:tcBorders>
              <w:top w:val="nil"/>
              <w:left w:val="nil"/>
              <w:bottom w:val="nil"/>
              <w:right w:val="nil"/>
            </w:tcBorders>
            <w:vAlign w:val="center"/>
          </w:tcPr>
          <w:p ns2:paraId="093D4690" ns2:textId="77777777" w:rsidR="0038122C" w:rsidRDefault="0038122C" w:rsidP="0038122C">
            <w:pPr>
              <w:spacing w:after="0" w:line="240" w:lineRule="auto"/>
              <w:jc w:val="center"/>
            </w:pPr>
            <w:r>
              <w:rPr>
                <w:rFonts w:ascii="Times New Roman" w:hAnsi="Times New Roman"/>
                <w:sz w:val="14"/>
              </w:rPr>
              <w:t>0.243</w:t>
            </w:r>
          </w:p>
        </w:tc>
        <w:tc>
          <w:tcPr>
            <w:tcW w:w="2323" w:type="dxa"/>
            <w:tcBorders>
              <w:top w:val="nil"/>
              <w:left w:val="nil"/>
              <w:bottom w:val="nil"/>
              <w:right w:val="nil"/>
            </w:tcBorders>
            <w:vAlign w:val="center"/>
          </w:tcPr>
          <w:p ns2:paraId="0EC8AC0D" ns2:textId="77777777" w:rsidR="0038122C" w:rsidRDefault="0038122C" w:rsidP="0038122C">
            <w:pPr>
              <w:spacing w:after="0" w:line="240" w:lineRule="auto"/>
              <w:jc w:val="center"/>
            </w:pPr>
            <w:r>
              <w:rPr>
                <w:rFonts w:ascii="Times New Roman" w:hAnsi="Times New Roman"/>
                <w:sz w:val="14"/>
              </w:rPr>
              <w:t>Not significant (N=280; G=30)</w:t>
            </w:r>
          </w:p>
        </w:tc>
      </w:tr>
      <w:tr w:rsidR="0038122C" ns2:paraId="218A9CFA" ns2:textId="77777777" w:rsidTr="0038122C">
        <w:trPr>
          <w:cantSplit/>
          <w:trHeight w:val="353"/>
        </w:trPr>
        <w:tc>
          <w:tcPr>
            <w:tcW w:w="1815" w:type="dxa"/>
            <w:tcBorders>
              <w:top w:val="nil"/>
              <w:left w:val="nil"/>
              <w:bottom w:val="nil"/>
              <w:right w:val="nil"/>
            </w:tcBorders>
            <w:vAlign w:val="center"/>
          </w:tcPr>
          <w:p ns2:paraId="3395A4B1" ns2:textId="77777777" w:rsidR="0038122C" w:rsidRDefault="0038122C" w:rsidP="0038122C">
            <w:pPr>
              <w:spacing w:after="0" w:line="240" w:lineRule="auto"/>
            </w:pPr>
            <w:r>
              <w:rPr>
                <w:rFonts w:ascii="Times New Roman" w:hAnsi="Times New Roman"/>
                <w:sz w:val="14"/>
              </w:rPr>
              <w:t>EU27 placebo, cumulative score</w:t>
            </w:r>
          </w:p>
        </w:tc>
        <w:tc>
          <w:tcPr>
            <w:tcW w:w="3558" w:type="dxa"/>
            <w:tcBorders>
              <w:top w:val="nil"/>
              <w:left w:val="nil"/>
              <w:bottom w:val="nil"/>
              <w:right w:val="nil"/>
            </w:tcBorders>
            <w:vAlign w:val="center"/>
          </w:tcPr>
          <w:p ns2:paraId="0EDBDE30" ns2:textId="77777777" w:rsidR="0038122C" w:rsidRDefault="0038122C" w:rsidP="0038122C">
            <w:pPr>
              <w:spacing w:after="0" w:line="240" w:lineRule="auto"/>
              <w:jc w:val="center"/>
            </w:pPr>
            <w:r>
              <w:rPr>
                <w:rFonts w:ascii="Times New Roman" w:hAnsi="Times New Roman"/>
                <w:sz w:val="14"/>
              </w:rPr>
              <w:t>Applies the aggregate model to the fixed EU27-2020 citizenship group</w:t>
            </w:r>
          </w:p>
        </w:tc>
        <w:tc>
          <w:tcPr>
            <w:tcW w:w="1045" w:type="dxa"/>
            <w:tcBorders>
              <w:top w:val="nil"/>
              <w:left w:val="nil"/>
              <w:bottom w:val="nil"/>
              <w:right w:val="nil"/>
            </w:tcBorders>
            <w:vAlign w:val="center"/>
          </w:tcPr>
          <w:p ns2:paraId="23E7A0A5" ns2:textId="77777777" w:rsidR="0038122C" w:rsidRDefault="0038122C" w:rsidP="0038122C">
            <w:pPr>
              <w:spacing w:after="0" w:line="240" w:lineRule="auto"/>
              <w:jc w:val="center"/>
            </w:pPr>
            <w:r>
              <w:rPr>
                <w:rFonts w:ascii="Times New Roman" w:hAnsi="Times New Roman"/>
                <w:sz w:val="14"/>
              </w:rPr>
              <w:t>0.021964</w:t>
            </w:r>
          </w:p>
        </w:tc>
        <w:tc>
          <w:tcPr>
            <w:tcW w:w="696" w:type="dxa"/>
            <w:tcBorders>
              <w:top w:val="nil"/>
              <w:left w:val="nil"/>
              <w:bottom w:val="nil"/>
              <w:right w:val="nil"/>
            </w:tcBorders>
            <w:vAlign w:val="center"/>
          </w:tcPr>
          <w:p ns2:paraId="080A9F2E" ns2:textId="77777777" w:rsidR="0038122C" w:rsidRDefault="0038122C" w:rsidP="0038122C">
            <w:pPr>
              <w:spacing w:after="0" w:line="240" w:lineRule="auto"/>
              <w:jc w:val="center"/>
            </w:pPr>
            <w:r>
              <w:rPr>
                <w:rFonts w:ascii="Times New Roman" w:hAnsi="Times New Roman"/>
                <w:sz w:val="14"/>
              </w:rPr>
              <w:t>0.217</w:t>
            </w:r>
          </w:p>
        </w:tc>
        <w:tc>
          <w:tcPr>
            <w:tcW w:w="2323" w:type="dxa"/>
            <w:tcBorders>
              <w:top w:val="nil"/>
              <w:left w:val="nil"/>
              <w:bottom w:val="nil"/>
              <w:right w:val="nil"/>
            </w:tcBorders>
            <w:vAlign w:val="center"/>
          </w:tcPr>
          <w:p ns2:paraId="1A8954E5" ns2:textId="77777777" w:rsidR="0038122C" w:rsidRDefault="0038122C" w:rsidP="0038122C">
            <w:pPr>
              <w:spacing w:after="0" w:line="240" w:lineRule="auto"/>
              <w:jc w:val="center"/>
            </w:pPr>
            <w:r>
              <w:rPr>
                <w:rFonts w:ascii="Times New Roman" w:hAnsi="Times New Roman"/>
                <w:sz w:val="14"/>
              </w:rPr>
              <w:t>Not significant; small sample (N=38; G=13)</w:t>
            </w:r>
          </w:p>
        </w:tc>
      </w:tr>
      <w:tr w:rsidR="0038122C" ns2:paraId="7F7A24B1" ns2:textId="77777777" w:rsidTr="0038122C">
        <w:trPr>
          <w:cantSplit/>
          <w:trHeight w:val="367"/>
        </w:trPr>
        <w:tc>
          <w:tcPr>
            <w:tcW w:w="1815" w:type="dxa"/>
            <w:tcBorders>
              <w:top w:val="nil"/>
              <w:left w:val="nil"/>
              <w:bottom w:val="nil"/>
              <w:right w:val="nil"/>
            </w:tcBorders>
            <w:vAlign w:val="center"/>
          </w:tcPr>
          <w:p ns2:paraId="5DB4D6BE" ns2:textId="77777777" w:rsidR="0038122C" w:rsidRDefault="0038122C" w:rsidP="0038122C">
            <w:pPr>
              <w:spacing w:after="0" w:line="240" w:lineRule="auto"/>
            </w:pPr>
            <w:r>
              <w:rPr>
                <w:rFonts w:ascii="Times New Roman" w:hAnsi="Times New Roman"/>
                <w:sz w:val="14"/>
              </w:rPr>
              <w:t>Non-EU group, annual policy flow</w:t>
            </w:r>
          </w:p>
        </w:tc>
        <w:tc>
          <w:tcPr>
            <w:tcW w:w="3558" w:type="dxa"/>
            <w:tcBorders>
              <w:top w:val="nil"/>
              <w:left w:val="nil"/>
              <w:bottom w:val="nil"/>
              <w:right w:val="nil"/>
            </w:tcBorders>
            <w:vAlign w:val="center"/>
          </w:tcPr>
          <w:p ns2:paraId="7D9F3280" ns2:textId="77777777" w:rsidR="0038122C" w:rsidRDefault="0038122C" w:rsidP="0038122C">
            <w:pPr>
              <w:spacing w:after="0" w:line="240" w:lineRule="auto"/>
              <w:jc w:val="center"/>
            </w:pPr>
            <w:r>
              <w:rPr>
                <w:rFonts w:ascii="Times New Roman" w:hAnsi="Times New Roman"/>
                <w:sz w:val="14"/>
              </w:rPr>
              <w:t>Tests newly adopted policy changes against the following year's outcome</w:t>
            </w:r>
          </w:p>
        </w:tc>
        <w:tc>
          <w:tcPr>
            <w:tcW w:w="1045" w:type="dxa"/>
            <w:tcBorders>
              <w:top w:val="nil"/>
              <w:left w:val="nil"/>
              <w:bottom w:val="nil"/>
              <w:right w:val="nil"/>
            </w:tcBorders>
            <w:vAlign w:val="center"/>
          </w:tcPr>
          <w:p ns2:paraId="5F6165E3" ns2:textId="77777777" w:rsidR="0038122C" w:rsidRDefault="0038122C" w:rsidP="0038122C">
            <w:pPr>
              <w:spacing w:after="0" w:line="240" w:lineRule="auto"/>
              <w:jc w:val="center"/>
            </w:pPr>
            <w:r>
              <w:rPr>
                <w:rFonts w:ascii="Times New Roman" w:hAnsi="Times New Roman"/>
                <w:sz w:val="14"/>
              </w:rPr>
              <w:t>0.000796</w:t>
            </w:r>
          </w:p>
        </w:tc>
        <w:tc>
          <w:tcPr>
            <w:tcW w:w="696" w:type="dxa"/>
            <w:tcBorders>
              <w:top w:val="nil"/>
              <w:left w:val="nil"/>
              <w:bottom w:val="nil"/>
              <w:right w:val="nil"/>
            </w:tcBorders>
            <w:vAlign w:val="center"/>
          </w:tcPr>
          <w:p ns2:paraId="368EAC60" ns2:textId="77777777" w:rsidR="0038122C" w:rsidRDefault="0038122C" w:rsidP="0038122C">
            <w:pPr>
              <w:spacing w:after="0" w:line="240" w:lineRule="auto"/>
              <w:jc w:val="center"/>
            </w:pPr>
            <w:r>
              <w:rPr>
                <w:rFonts w:ascii="Times New Roman" w:hAnsi="Times New Roman"/>
                <w:sz w:val="14"/>
              </w:rPr>
              <w:t>0.736</w:t>
            </w:r>
          </w:p>
        </w:tc>
        <w:tc>
          <w:tcPr>
            <w:tcW w:w="2323" w:type="dxa"/>
            <w:tcBorders>
              <w:top w:val="nil"/>
              <w:left w:val="nil"/>
              <w:bottom w:val="nil"/>
              <w:right w:val="nil"/>
            </w:tcBorders>
            <w:vAlign w:val="center"/>
          </w:tcPr>
          <w:p ns2:paraId="1A77C2D5" ns2:textId="77777777" w:rsidR="0038122C" w:rsidRDefault="0038122C" w:rsidP="0038122C">
            <w:pPr>
              <w:spacing w:after="0" w:line="240" w:lineRule="auto"/>
              <w:jc w:val="center"/>
            </w:pPr>
            <w:r>
              <w:rPr>
                <w:rFonts w:ascii="Times New Roman" w:hAnsi="Times New Roman"/>
                <w:sz w:val="14"/>
              </w:rPr>
              <w:t>Not significant (N=280; G=30)</w:t>
            </w:r>
          </w:p>
        </w:tc>
      </w:tr>
      <w:tr w:rsidR="0038122C" ns2:paraId="37870994" ns2:textId="77777777" w:rsidTr="0038122C">
        <w:trPr>
          <w:cantSplit/>
          <w:trHeight w:val="353"/>
        </w:trPr>
        <w:tc>
          <w:tcPr>
            <w:tcW w:w="1815" w:type="dxa"/>
            <w:tcBorders>
              <w:top w:val="nil"/>
              <w:left w:val="nil"/>
              <w:bottom w:val="single" w:sz="10" w:space="0" w:color="000000"/>
              <w:right w:val="nil"/>
            </w:tcBorders>
            <w:vAlign w:val="center"/>
          </w:tcPr>
          <w:p ns2:paraId="0BDE86CD" ns2:textId="77777777" w:rsidR="0038122C" w:rsidRDefault="0038122C" w:rsidP="0038122C">
            <w:pPr>
              <w:spacing w:after="0" w:line="240" w:lineRule="auto"/>
            </w:pPr>
            <w:r>
              <w:rPr>
                <w:rFonts w:ascii="Times New Roman" w:hAnsi="Times New Roman"/>
                <w:sz w:val="14"/>
              </w:rPr>
              <w:t>EU27 placebo, annual policy flow</w:t>
            </w:r>
          </w:p>
        </w:tc>
        <w:tc>
          <w:tcPr>
            <w:tcW w:w="3558" w:type="dxa"/>
            <w:tcBorders>
              <w:top w:val="nil"/>
              <w:left w:val="nil"/>
              <w:bottom w:val="single" w:sz="10" w:space="0" w:color="000000"/>
              <w:right w:val="nil"/>
            </w:tcBorders>
            <w:vAlign w:val="center"/>
          </w:tcPr>
          <w:p ns2:paraId="72E61A8C" ns2:textId="77777777" w:rsidR="0038122C" w:rsidRDefault="0038122C" w:rsidP="0038122C">
            <w:pPr>
              <w:spacing w:after="0" w:line="240" w:lineRule="auto"/>
              <w:jc w:val="center"/>
            </w:pPr>
            <w:r>
              <w:rPr>
                <w:rFonts w:ascii="Times New Roman" w:hAnsi="Times New Roman"/>
                <w:sz w:val="14"/>
              </w:rPr>
              <w:t>Repeats the annual-flow test for the fixed EU27-2020 citizenship group</w:t>
            </w:r>
          </w:p>
        </w:tc>
        <w:tc>
          <w:tcPr>
            <w:tcW w:w="1045" w:type="dxa"/>
            <w:tcBorders>
              <w:top w:val="nil"/>
              <w:left w:val="nil"/>
              <w:bottom w:val="single" w:sz="10" w:space="0" w:color="000000"/>
              <w:right w:val="nil"/>
            </w:tcBorders>
            <w:vAlign w:val="center"/>
          </w:tcPr>
          <w:p ns2:paraId="00954FEB" ns2:textId="77777777" w:rsidR="0038122C" w:rsidRDefault="0038122C" w:rsidP="0038122C">
            <w:pPr>
              <w:spacing w:after="0" w:line="240" w:lineRule="auto"/>
              <w:jc w:val="center"/>
            </w:pPr>
            <w:r>
              <w:rPr>
                <w:rFonts w:ascii="Times New Roman" w:hAnsi="Times New Roman"/>
                <w:sz w:val="14"/>
              </w:rPr>
              <w:t>0.003328</w:t>
            </w:r>
          </w:p>
        </w:tc>
        <w:tc>
          <w:tcPr>
            <w:tcW w:w="696" w:type="dxa"/>
            <w:tcBorders>
              <w:top w:val="nil"/>
              <w:left w:val="nil"/>
              <w:bottom w:val="single" w:sz="10" w:space="0" w:color="000000"/>
              <w:right w:val="nil"/>
            </w:tcBorders>
            <w:vAlign w:val="center"/>
          </w:tcPr>
          <w:p ns2:paraId="7B27A2CA" ns2:textId="77777777" w:rsidR="0038122C" w:rsidRDefault="0038122C" w:rsidP="0038122C">
            <w:pPr>
              <w:spacing w:after="0" w:line="240" w:lineRule="auto"/>
              <w:jc w:val="center"/>
            </w:pPr>
            <w:r>
              <w:rPr>
                <w:rFonts w:ascii="Times New Roman" w:hAnsi="Times New Roman"/>
                <w:sz w:val="14"/>
              </w:rPr>
              <w:t>0.720</w:t>
            </w:r>
          </w:p>
        </w:tc>
        <w:tc>
          <w:tcPr>
            <w:tcW w:w="2323" w:type="dxa"/>
            <w:tcBorders>
              <w:top w:val="nil"/>
              <w:left w:val="nil"/>
              <w:bottom w:val="single" w:sz="10" w:space="0" w:color="000000"/>
              <w:right w:val="nil"/>
            </w:tcBorders>
            <w:vAlign w:val="center"/>
          </w:tcPr>
          <w:p ns2:paraId="3A9D16F8" ns2:textId="77777777" w:rsidR="0038122C" w:rsidRDefault="0038122C" w:rsidP="0038122C">
            <w:pPr>
              <w:spacing w:after="0" w:line="240" w:lineRule="auto"/>
              <w:jc w:val="center"/>
            </w:pPr>
            <w:r>
              <w:rPr>
                <w:rFonts w:ascii="Times New Roman" w:hAnsi="Times New Roman"/>
                <w:sz w:val="14"/>
              </w:rPr>
              <w:t>Not significant; small sample (N=38; G=13)</w:t>
            </w:r>
          </w:p>
        </w:tc>
      </w:tr>
      <w:tr w:rsidR="0038122C" ns2:paraId="37870994" ns2:textId="77777777" w:rsidTr="0038122C">
        <w:trPr>
          <w:cantSplit/>
          <w:trHeight w:val="353"/>
        </w:trPr>
        <w:tc>
          <w:tcPr>
            <w:tcW w:w="1815" w:type="dxa"/>
            <w:tcBorders>
              <w:top w:val="nil"/>
              <w:left w:val="nil"/>
              <w:bottom w:val="single" w:sz="10" w:space="0" w:color="000000"/>
              <w:right w:val="nil"/>
            </w:tcBorders>
            <w:vAlign w:val="center"/>
          </w:tcPr>
          <w:p ns2:paraId="0BDE86CD" ns2:textId="77777777" w:rsidR="0038122C" w:rsidRDefault="0038122C" w:rsidP="0038122C">
            <w:pPr>
              <w:spacing w:after="0" w:line="240" w:lineRule="auto"/>
            </w:pPr>
            <w:r>
              <w:rPr>
                <w:rFonts w:ascii="Times New Roman" w:hAnsi="Times New Roman"/>
                <w:sz w:val="14"/>
              </w:rPr>
              <w:t>Anticipation placebo: policy flow at t+1</w:t>
            </w:r>
          </w:p>
        </w:tc>
        <w:tc>
          <w:tcPr>
            <w:tcW w:w="3558" w:type="dxa"/>
            <w:tcBorders>
              <w:top w:val="nil"/>
              <w:left w:val="nil"/>
              <w:bottom w:val="single" w:sz="10" w:space="0" w:color="000000"/>
              <w:right w:val="nil"/>
            </w:tcBorders>
            <w:vAlign w:val="center"/>
          </w:tcPr>
          <w:p ns2:paraId="72E61A8C" ns2:textId="77777777" w:rsidR="0038122C" w:rsidRDefault="0038122C" w:rsidP="0038122C">
            <w:pPr>
              <w:spacing w:after="0" w:line="240" w:lineRule="auto"/>
              <w:jc w:val="center"/>
            </w:pPr>
            <w:r>
              <w:rPr>
                <w:rFonts w:ascii="Times New Roman" w:hAnsi="Times New Roman"/>
                <w:sz w:val="14"/>
              </w:rPr>
              <w:t>Regresses the current outcome on the following year's policy-flow score, on the preferred bilateral panel</w:t>
            </w:r>
          </w:p>
        </w:tc>
        <w:tc>
          <w:tcPr>
            <w:tcW w:w="1045" w:type="dxa"/>
            <w:tcBorders>
              <w:top w:val="nil"/>
              <w:left w:val="nil"/>
              <w:bottom w:val="single" w:sz="10" w:space="0" w:color="000000"/>
              <w:right w:val="nil"/>
            </w:tcBorders>
            <w:vAlign w:val="center"/>
          </w:tcPr>
          <w:p ns2:paraId="00954FEB" ns2:textId="77777777" w:rsidR="0038122C" w:rsidRDefault="0038122C" w:rsidP="0038122C">
            <w:pPr>
              <w:spacing w:after="0" w:line="240" w:lineRule="auto"/>
              <w:jc w:val="center"/>
            </w:pPr>
            <w:r>
              <w:rPr>
                <w:rFonts w:ascii="Times New Roman" w:hAnsi="Times New Roman"/>
                <w:sz w:val="14"/>
              </w:rPr>
              <w:t>-0.000881</w:t>
            </w:r>
          </w:p>
        </w:tc>
        <w:tc>
          <w:tcPr>
            <w:tcW w:w="696" w:type="dxa"/>
            <w:tcBorders>
              <w:top w:val="nil"/>
              <w:left w:val="nil"/>
              <w:bottom w:val="single" w:sz="10" w:space="0" w:color="000000"/>
              <w:right w:val="nil"/>
            </w:tcBorders>
            <w:vAlign w:val="center"/>
          </w:tcPr>
          <w:p ns2:paraId="7B27A2CA" ns2:textId="77777777" w:rsidR="0038122C" w:rsidRDefault="0038122C" w:rsidP="0038122C">
            <w:pPr>
              <w:spacing w:after="0" w:line="240" w:lineRule="auto"/>
              <w:jc w:val="center"/>
            </w:pPr>
            <w:r>
              <w:rPr>
                <w:rFonts w:ascii="Times New Roman" w:hAnsi="Times New Roman"/>
                <w:sz w:val="14"/>
              </w:rPr>
              <w:t>0.385</w:t>
            </w:r>
          </w:p>
        </w:tc>
        <w:tc>
          <w:tcPr>
            <w:tcW w:w="2323" w:type="dxa"/>
            <w:tcBorders>
              <w:top w:val="nil"/>
              <w:left w:val="nil"/>
              <w:bottom w:val="single" w:sz="10" w:space="0" w:color="000000"/>
              <w:right w:val="nil"/>
            </w:tcBorders>
            <w:vAlign w:val="center"/>
          </w:tcPr>
          <w:p ns2:paraId="3A9D16F8" ns2:textId="77777777" w:rsidR="0038122C" w:rsidRDefault="0038122C" w:rsidP="0038122C">
            <w:pPr>
              <w:spacing w:after="0" w:line="240" w:lineRule="auto"/>
              <w:jc w:val="center"/>
            </w:pPr>
            <w:r>
              <w:rPr>
                <w:rFonts w:ascii="Times New Roman" w:hAnsi="Times New Roman"/>
                <w:sz w:val="14"/>
              </w:rPr>
              <w:t>Not significant (N=5,608; G=30)</w:t>
            </w:r>
          </w:p>
        </w:tc>
      </w:tr>
    </w:tbl>
    <w:p ns2:paraId="5287324E" ns2:textId="77777777" w:rsidR="0038122C" w:rsidRDefault="00000000">
      <w:pPr>
        <w:jc w:val="both"/>
      </w:pPr>
      <w:r>
        <w:t>Table 11 combines two diagnostic groups. The Non-EU rows are aggregate benchmarks that apply the aggregate specification to the migrant group used in the main analysis; they are not placebo tests. The EU27 rows repeat the same specification for EU citizens, who are less directly exposed to national labor-migration rules because they generally move under free-movement rights. The final row is a lead-policy anticipation placebo: it re-estimates the preferred bilateral model with the following year's policy-flow score in place of the lagged score. A positive coefficient here would indicate that current permit composition responds to reforms that have not yet occurred, which would undermine the timing assumption of the main model.</w:t>
      </w:r>
    </w:p>
    <w:p ns2:paraId="27A1B560" ns2:textId="77777777" w:rsidR="0038122C" w:rsidRPr="0038122C" w:rsidRDefault="0038122C" w:rsidP="0038122C">
      <w:pPr>
        <w:jc w:val="center"/>
        <w:rPr>
          <w:b/>
          <w:bCs/>
          <w:i/>
          <w:iCs/>
        </w:rPr>
      </w:pPr>
      <w:r>
        <w:rPr>
          <w:b/>
          <w:bCs/>
          <w:i/>
          <w:iCs/>
        </w:rPr>
        <w:t>Table 11. Aggregate benchmark and EU27 placebo diagnostics.</w:t>
      </w:r>
    </w:p>
    <w:p ns2:paraId="01B7F1F4" ns2:textId="77777777" w:rsidR="00B76B02" w:rsidRDefault="00000000" w:rsidP="0038122C">
      <w:pPr>
        <w:jc w:val="center"/>
      </w:pPr>
      <w:r>
        <w:t>Table 11 note. *** p &lt; 0.01, ** p &lt; 0.05, * p &lt; 0.10. The Non-EU rows are aggregate benchmark counterparts for the main migrant group; the EU27 rows are limited placebo diagnostics. Bilateral and aggregate coefficients are not directly comparable because the designs, fixed effects, weighting, outcomes, and samples differ.</w:t>
      </w:r>
    </w:p>
    <w:p ns2:paraId="42F4EBBA" ns2:textId="77777777" w:rsidR="002F6AA4" w:rsidRPr="002F6AA4" w:rsidRDefault="002F6AA4" w:rsidP="002F6AA4">
      <w:pPr>
        <w:jc w:val="both"/>
      </w:pPr>
      <w:r>
        <w:t>The EU27 placebo results are not statistically significant. The cumulative EU27 estimate is positive but imprecise (β = 0.021964, p = 0.217), and the annual-flow EU27 estimate is also insignificant (β = 0.003328, p = 0.720). The corresponding Non-EU aggregate benchmark estimates are also insignificant. This means that the aggregate models do not show a clear policy-composition association for either group.</w:t>
      </w:r>
    </w:p>
    <w:p ns2:paraId="49040F55" ns2:textId="77777777" w:rsidR="002F6AA4" w:rsidRPr="002F6AA4" w:rsidRDefault="002F6AA4" w:rsidP="002F6AA4">
      <w:pPr>
        <w:jc w:val="both"/>
      </w:pPr>
      <w:r>
        <w:t>These placebo results should be read cautiously. The EU27 sample is small, with only 38 observations and 13 destination clusters, and EU permit reporting is sparse because EU citizens often do not need the residence permits measured in the Eurostat data. The fixed EU27-2020 citizenship definition also covers Croatia’s accession period and transitional labor-market restrictions. For this reason, the EU27 placebo is only a limited diagnostic, not a clean untreated control group.</w:t>
      </w:r>
    </w:p>
    <w:p ns2:paraId="3BCD1974" ns2:textId="77777777" w:rsidR="002F6AA4" w:rsidRDefault="002F6AA4" w:rsidP="002F6AA4">
      <w:pPr>
        <w:jc w:val="both"/>
      </w:pPr>
      <w:r>
        <w:lastRenderedPageBreak/>
        <w:t>Overall, Table 11 does not validate the preferred bilateral result, but it also does not contradict it. The placebo group does not reproduce a significant aggregate relationship, and the Non-EU aggregate benchmark remains insignificant. This supports the interpretation that the main evidence comes from the preferred bilateral model, where origin-year pressures and permit-denominator differences are better controlled.</w:t>
      </w:r>
    </w:p>
    <w:p ns2:paraId="46564E5B" ns2:textId="77777777" w:rsidR="00714729" w:rsidRPr="002F6AA4" w:rsidRDefault="00714729" w:rsidP="002F6AA4">
      <w:pPr>
        <w:jc w:val="both"/>
      </w:pPr>
      <w:r>
        <w:t>I also checked Eurostat’s education-by-citizenship stock data for working-age EU27 citizens living in another EU country. Because this source measures resident stocks rather than annual inflows, I do not treat it as a formal migration-flow robustness check; nevertheless, a destination-year diagnostic shows no statistically significant association between lagged all-migrant-worker restrictiveness and the tertiary-educated share of resident EU citizens once destination and year fixed effects, skill-targeted policy controls, and macro controls are included (β = -0.088 percentage points, p = 0.656).</w:t>
      </w:r>
    </w:p>
    <w:p ns2:paraId="7808E361" ns2:textId="77777777" w:rsidR="002F6AA4" w:rsidRPr="002F6AA4" w:rsidRDefault="002F6AA4" w:rsidP="002F6AA4">
      <w:pPr>
        <w:keepNext/>
        <w:jc w:val="both"/>
      </w:pPr>
      <w:r>
        <w:t>Graph 2 summarizes the main estimates, robustness checks, and placebo diagnostics visually. The dots show coefficient estimates, the bars show 95-percent confidence intervals, and the dashed vertical line marks zero.</w:t>
      </w:r>
    </w:p>
    <w:p ns2:paraId="0807F6C7" ns2:textId="77777777" w:rsidR="00961C7F" w:rsidRDefault="008A042F">
      <w:pPr>
        <w:jc w:val="center"/>
      </w:pPr>
      <w:r>
        <w:rPr>
          <w:noProof/>
        </w:rPr>
        <w:drawing>
          <ns3:inline distT="0" distB="0" distL="0" distR="0" ns4:anchorId="7080212A" ns4:editId="3D69AE76">
            <ns3:extent cx="5444455" cy="4338439"/>
            <ns3:effectExtent l="0" t="0" r="4445" b="5080"/>
            <ns3:docPr id="3" name="Graph 2 coefficient plot" descr="Coefficient estimates with 95 percent confidence intervals across main, robustness, and placebo specifications."/>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rotWithShape="1">
                    <ns5:blip ns7:embed="rId10"/>
                    <ns5:srcRect l="18200"/>
                    <ns5:stretch>
                      <ns5:fillRect/>
                    </ns5:stretch>
                  </ns6:blipFill>
                  <ns6:spPr bwMode="auto">
                    <ns5:xfrm>
                      <ns5:off x="0" y="0"/>
                      <ns5:ext cx="5591420" cy="4455549"/>
                    </ns5:xfrm>
                    <ns5:prstGeom prst="rect">
                      <ns5:avLst/>
                    </ns5:prstGeom>
                    <ns5:noFill/>
                    <ns5:ln>
                      <ns5:noFill/>
                    </ns5:ln>
                    <ns5:extLst>
                      <ns5:ext uri="{53640926-AAD7-44D8-BBD7-CCE9431645EC}">
                        <ns9:shadowObscured/>
                      </ns5:ext>
                    </ns5:extLst>
                  </ns6:spPr>
                </ns6:pic>
              </ns5:graphicData>
            </ns5:graphic>
          </ns3:inline>
        </w:drawing>
      </w:r>
    </w:p>
    <w:p ns2:paraId="3492F168" ns2:textId="77777777" w:rsidR="008F026E" w:rsidRDefault="00A36F18">
      <w:pPr>
        <w:jc w:val="center"/>
      </w:pPr>
      <w:r>
        <w:lastRenderedPageBreak/>
        <w:t>Graph 2. Coefficient estimates across specifications. Coefficients are in percentage-point units; bars show 95-percent confidence intervals and the dashed line marks zero. Preferred bilateral and robustness rows report the all-migrant-worker coefficient with skill-targeted policy controls where applicable. The EU27 row is an aggregate placebo; models and samples differ across rows.</w:t>
      </w:r>
    </w:p>
    <w:p ns2:paraId="0443F6B4" ns2:textId="77777777" w:rsidR="00C70AE2" w:rsidRDefault="00A36F18" w:rsidP="00C16AF5">
      <w:pPr>
        <w:pStyle w:val="BodyText"/>
        <w:jc w:val="both"/>
      </w:pPr>
      <w:r>
        <w:t>Graph 2 reinforces the tables: evidence is strongest in the controlled bilateral specifications. The aggregate estimates, the UK-inclusive ILOSTAT check, and the EU27 placebo are not significant. R1, R2, R3, R4, R6, R7, the high-income-origin point from R8, R9, and R10 remain statistically significant; R5 is not significant. R11 is not plotted because Table 10 reports a coefficient range from the leave-one-destination-out exercise rather than one point estimate.</w:t>
      </w:r>
    </w:p>
    <w:p ns2:paraId="3E5C1BA7" ns2:textId="77777777" w:rsidR="007830C2" w:rsidRDefault="008A042F">
      <w:pPr>
        <w:jc w:val="center"/>
      </w:pPr>
      <w:r>
        <w:rPr>
          <w:noProof/>
        </w:rPr>
        <w:drawing>
          <ns3:inline distT="0" distB="0" distL="0" distR="0" ns4:anchorId="47844AFD" ns4:editId="59DEC7F9">
            <ns3:extent cx="5756117" cy="2860646"/>
            <ns3:effectExtent l="0" t="0" r="0" b="0"/>
            <ns3:docPr id="4" name="Picture 4"/>
            <ns3:cNvGraphicFramePr>
              <ns5:graphicFrameLocks noChangeAspect="1"/>
            </ns3:cNvGraphicFramePr>
            <ns5:graphic>
              <ns5:graphicData uri="http://schemas.openxmlformats.org/drawingml/2006/picture">
                <ns6:pic>
                  <ns6:nvPicPr>
                    <ns6:cNvPr id="0" name="graph3_eu_directives.png"/>
                    <ns6:cNvPicPr/>
                  </ns6:nvPicPr>
                  <ns6:blipFill>
                    <ns5:blip ns7:embed="rId11"/>
                    <ns5:stretch>
                      <ns5:fillRect/>
                    </ns5:stretch>
                  </ns6:blipFill>
                  <ns6:spPr>
                    <ns5:xfrm>
                      <ns5:off x="0" y="0"/>
                      <ns5:ext cx="5838185" cy="2901432"/>
                    </ns5:xfrm>
                    <ns5:prstGeom prst="rect">
                      <ns5:avLst/>
                    </ns5:prstGeom>
                  </ns6:spPr>
                </ns6:pic>
              </ns5:graphicData>
            </ns5:graphic>
          </ns3:inline>
        </w:drawing>
      </w:r>
    </w:p>
    <w:p ns2:paraId="6E9D9B59" ns2:textId="77777777" w:rsidR="007830C2" w:rsidRDefault="008A042F" w:rsidP="002B1731">
      <w:pPr>
        <w:jc w:val="both"/>
      </w:pPr>
      <w:r>
        <w:t>Graph 3. EU labor-migration directives in the panel window.</w:t>
      </w:r>
    </w:p>
    <w:p ns2:paraId="2F5DA2B0" ns2:textId="77777777" w:rsidR="00FC7713" w:rsidRDefault="008A042F" w:rsidP="002B1731">
      <w:pPr>
        <w:jc w:val="both"/>
      </w:pPr>
      <w:r>
        <w:t>Panel A shows that none of the four directive-window coefficients is statistically significant. More importantly, the preferred Restrict coefficient remains positive and significant (β = 0.006587, p &lt; 0.001), indicating that the main association is not accounted for by these measured directive windows. Panel B shows the broad adoption and implementation periods used to create the EU directive controls. These controls only approximate the timing of EU-level policy changes and should not be read as causal estimates of the effect of each directive.</w:t>
      </w:r>
    </w:p>
    <w:p ns2:paraId="36370F6E" ns2:textId="77777777" w:rsidR="007830C2" w:rsidRDefault="008A042F">
      <w:pPr>
        <w:pageBreakBefore/>
        <w:jc w:val="center"/>
      </w:pPr>
      <w:r>
        <w:rPr>
          <w:noProof/>
        </w:rPr>
        <w:lastRenderedPageBreak/>
        <w:drawing>
          <ns3:inline distT="0" distB="0" distL="0" distR="0" ns4:anchorId="0AB3C374" ns4:editId="3B8B078B">
            <ns3:extent cx="5487830" cy="3129094"/>
            <ns3:effectExtent l="0" t="0" r="0" b="0"/>
            <ns3:docPr id="5" name="Picture 5"/>
            <ns3:cNvGraphicFramePr>
              <ns5:graphicFrameLocks noChangeAspect="1"/>
            </ns3:cNvGraphicFramePr>
            <ns5:graphic>
              <ns5:graphicData uri="http://schemas.openxmlformats.org/drawingml/2006/picture">
                <ns6:pic>
                  <ns6:nvPicPr>
                    <ns6:cNvPr id="0" name="graph4_per_tool.png"/>
                    <ns6:cNvPicPr/>
                  </ns6:nvPicPr>
                  <ns6:blipFill rotWithShape="1">
                    <ns5:blip ns7:embed="rId12"/>
                    <ns5:srcRect l="3656"/>
                    <ns5:stretch>
                      <ns5:fillRect/>
                    </ns5:stretch>
                  </ns6:blipFill>
                  <ns6:spPr bwMode="auto">
                    <ns5:xfrm>
                      <ns5:off x="0" y="0"/>
                      <ns5:ext cx="5885449" cy="3355812"/>
                    </ns5:xfrm>
                    <ns5:prstGeom prst="rect">
                      <ns5:avLst/>
                    </ns5:prstGeom>
                    <ns5:ln>
                      <ns5:noFill/>
                    </ns5:ln>
                    <ns5:extLst>
                      <ns5:ext uri="{53640926-AAD7-44D8-BBD7-CCE9431645EC}">
                        <ns9:shadowObscured/>
                      </ns5:ext>
                    </ns5:extLst>
                  </ns6:spPr>
                </ns6:pic>
              </ns5:graphicData>
            </ns5:graphic>
          </ns3:inline>
        </w:drawing>
      </w:r>
    </w:p>
    <w:p ns2:paraId="7957D276" ns2:textId="77777777" w:rsidR="007830C2" w:rsidRDefault="008A042F" w:rsidP="00EB43CE">
      <w:pPr>
        <w:jc w:val="center"/>
      </w:pPr>
      <w:r>
        <w:t>Graph 4. Tool-specific estimates for DEMIG-QuantMig policy tools with at least three retained events: each row reports the tool's separate association with HSRate and HSNumber.</w:t>
      </w:r>
    </w:p>
    <w:p ns2:paraId="39320176" ns2:textId="77777777" w:rsidR="007830C2" w:rsidRDefault="008A042F" w:rsidP="002B1731">
      <w:pPr>
        <w:jc w:val="both"/>
      </w:pPr>
      <w:r>
        <w:t>Graph 4 is a tool-specific diagnostic. Each row re-estimates the preferred specification using one policy tool. The PPML count estimates use a smaller sample because fixed-effect groups with only zero high-skilled permit counts are automatically dropped; these groups provide no variation for estimating count changes.</w:t>
      </w:r>
    </w:p>
    <w:p ns2:paraId="4E6EEACD" ns2: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ns2:paraId="103299A3" ns2:textId="77777777" w:rsidR="007830C2" w:rsidRDefault="008A042F" w:rsidP="006A0F4A">
      <w:pPr>
        <w:jc w:val="both"/>
      </w:pPr>
      <w:r>
        <w:t>The lighter-blue tools - Other sanctions, Access to justice and political rights, and Institutional capacities - 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ns2:paraId="003CA98E" ns2:textId="77777777" w:rsidR="00961C7F" w:rsidRDefault="008A042F">
      <w:pPr>
        <w:pStyle w:val="Heading1"/>
        <w:pageBreakBefore/>
      </w:pPr>
      <w:r>
        <w:lastRenderedPageBreak/>
        <w:t>9. Discussion and Limitations</w:t>
      </w:r>
    </w:p>
    <w:p ns2:paraId="32416DED" ns2:textId="77777777" w:rsidR="008F026E" w:rsidRPr="00CE7D5A" w:rsidRDefault="00A36F18">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HSRate in the preferred bilateral model estimated with denominator weights after skill-targeted policy paths are held constant. The coefficient remains positive in the unweighted and corridor-fixed-effects comparisons and remains significant across the Section 8 checks: 2020 reintroduction, no minimum-cell cutoff, the all-first-permits denominator, no-UK ILOSTAT unemployment, core and work-visa policy measures, prior-year weights, and EU-directive windows.</w:t>
      </w:r>
    </w:p>
    <w:p ns2:paraId="1322DF90" ns2:textId="77777777" w:rsidR="00176216" w:rsidRPr="00CE7D5A" w:rsidRDefault="00176216" w:rsidP="00176216">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supporting PPML model also returns a positive, statistically significant association with the measured high-skilled permit count, while the total employment-permit count does not show a statistically detectable change. The pattern therefore combines a compositional shift with a higher measured administrative count in the retained corridors. Reallocation between permit categories is one possible explanation, but the aggregate data do not identify route switching or show that overall employment-permit inflows rise; the count result remains associational.</w:t>
      </w:r>
    </w:p>
    <w:p ns2:paraId="3BE75D99"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thesis is designed to show whether observed policy changes are systematically related to the skill composition of employment-related permits, conditional on the fixed effects and available controls. It does not estimate the welfare effect of migration policy, governments' decision processes, or the causal response of individual migrants to a specific reform. The policy implications of the preferred bilateral result are developed in Section 10.</w:t>
      </w:r>
    </w:p>
    <w:p ns2:paraId="35FE7898" ns2: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first limitation concerns the weighting estimand and sample rule. Denominator weighting is defensible because HSRate is measured with different precision across cells, but it gives larger corridors more influence and is not an equal-cell causal effect, and the current denominator may itself respond to policy. The prior-year-weight check leaves the estimate essentially unchanged, which reduces the same-period concern without making the lagged weight exogenous to earlier policy history. The EMP &gt;= 30 rule also uses the current denominator; the weighted no-cutoff estimate remains significant, so the rule does not create the result. The weighted no-cutoff check reduces concern that the result is mechanically created by the permit-share cutoff, but the weaker unweighted no-cutoff estimate shows that the preferred finding still depends on the denominator-weighted estimand.</w:t>
      </w:r>
    </w:p>
    <w:p ns2:paraId="7E653A07" ns2: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At the same time, the aggregate, annual-flow, UK-inclusive, and destination-trend specifications are not statistically significant, so the evidence should be read as model-dependent rather than uniform across all specifications; the unweighted bilateral evidence also weakens under the wild-</w:t>
        <w:lastRenderedPageBreak/>
        <w:t>cluster bootstrap. Destination-specific linear trends reduce the coefficient to β = 0.002488 (p = 0.198): because the cumulative policy score changes slowly, these trends absorb much of its within-destination variation, and the result cannot be cleanly separated from smooth destination-specific trajectories.</w:t>
      </w:r>
    </w:p>
    <w:p ns2:paraId="0C702471" ns2: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Multiple testing is a further concern because many specifications use the same panel. The design limits this problem by defining the bilateral model with denominator weights in advance as the preferred specification and by using wild-cluster bootstrap inference for its main coefficient. The appropriate conclusion is evidence of a conditional, denominator-weighted composition association, not a settled causal effect.</w:t>
      </w:r>
    </w:p>
    <w:p ns2:paraId="4532CD4E"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Non-EU origin, but it omits specific-nationality reforms that may affect some corridors.</w:t>
      </w:r>
    </w:p>
    <w:p ns2:paraId="48FB0366" ns2: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feedback between economic conditions and policy choice. Governments may liberalize when employers face shortages or tighten during downturns, and same labor-demand conditions can independently change the level and composition of permits: a downturn could raise HSRate because lower-skilled permits fall more sharply, not because restrictions attract skilled workers. Lagged unemployment and GDP growth, destination fixed effects, and origin-year fixed effects reduce this concern but cannot remove all anticipatory policy changes.</w:t>
      </w:r>
    </w:p>
    <w:p ns2:paraId="60BE46A1" ns2: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related political limitation is that immigration policy responds to more than macroeconomic indicators. Public opinion, electoral competition, coalition politics, employer lobbying, union pressure, administrative capacity, and media salience can all shape when governments tighten or liberalize, consistent with evidence that immigration preferences reflect labor-market position and welfare-state concerns (Facchini and Mayda 2009). These forces are hard to measure consistently across the panel and are not fully captured by the controls or fixed effects.</w:t>
      </w:r>
    </w:p>
    <w:p ns2:paraId="7EA881E0" ns2:textId="77777777" w:rsidR="00C70AE2" w:rsidRPr="00CE7D5A" w:rsidRDefault="00A36F18">
      <w:pPr>
        <w:pStyle w:val="BodyText"/>
      </w:pPr>
      <w:r>
        <w:t>A useful extension would add harmonized controls for migrant networks, wage premia, origin unemployment, quality of life, and origin-destination migration costs. The current panel does not contain a complete set of these measures. Origin-year fixed effects are preferable to adding incomplete controls solely to lower a reported p-value, but richer data would allow these mechanisms to be tested directly.</w:t>
      </w:r>
    </w:p>
    <w:p ns2:paraId="218B6417" ns2:textId="77777777" w:rsidR="007830C2" w:rsidRDefault="008A042F">
      <w:pPr>
        <w:pStyle w:val="Heading1"/>
      </w:pPr>
      <w:r>
        <w:lastRenderedPageBreak/>
        <w:t>10. Policy Implications</w:t>
      </w:r>
    </w:p>
    <w:p ns2:paraId="7B8B879D" ns2:textId="77777777" w:rsidR="00042715" w:rsidRPr="00F93585" w:rsidRDefault="00042715" w:rsidP="00E6742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preferred bilateral result carries three policy implications, developed in turn below.</w:t>
      </w:r>
    </w:p>
    <w:p ns2:paraId="32DE9A42"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First, the preferred estimate suggests that net restrictive change in general labor-migration policy is not compositionally neutral in this sample: general all-migrant-worker reforms are associated with a higher HSRate among permits issued in the following year, a pattern consistent with high-skilled permit counts changing more favorably than other permit counts, although the count evidence remains associational (Section 7.3).</w:t>
      </w:r>
    </w:p>
    <w:p ns2:paraId="20D091FF" ns2: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the preferred model uses denominator weights, larger permit corridors carry more influence than small cells where a few permits can move the ratio sharply. A reform package described as across-the-board may therefore still be associated with a higher high-skilled share in substantial employment-permit flows - a statement about the composition of permit issuance, not proof that the reform attracted additional skilled workers.</w:t>
      </w:r>
    </w:p>
    <w:p ns2:paraId="7C7DAA11" ns2:textId="77777777" w:rsidR="00042715" w:rsidRPr="00F93585" w:rsidRDefault="00042715" w:rsidP="00042715">
      <w:pPr>
        <w:pStyle w:val="NormalWeb"/>
        <w:suppressAutoHyphens/>
        <w:spacing w:line="360" w:lineRule="auto"/>
        <w:jc w:val="both"/>
        <w:rPr>
          <w:rFonts w:asciiTheme="minorHAnsi" w:hAnsiTheme="minorHAnsi"/>
          <w:sz w:val="22"/>
          <w:szCs w:val="22"/>
        </w:rPr>
      </w:pPr>
      <w:r>
        <w:rPr>
          <w:rFonts w:asciiTheme="minorHAnsi" w:hAnsiTheme="minorHAnsi"/>
          <w:sz w:val="22"/>
          <w:szCs w:val="22"/>
        </w:rPr>
        <w:t>Second, the result is relevant for the design of dual-track migration systems. Parallel national schemes, such as Germany's Skilled Immigration Act, France's Talent Passport, and the Dutch Highly Skilled Migrant scheme, operate alongside general work-permit rules. The preferred coefficient remains positive after controlling for reforms aimed specifically at skilled/high-skilled workers, which means the result should not be read simply as the direct effect of those targeted routes.</w:t>
      </w:r>
    </w:p>
    <w:p ns2:paraId="7BF2447C" ns2:textId="77777777" w:rsidR="00042715" w:rsidRPr="00042715" w:rsidRDefault="00042715" w:rsidP="00042715">
      <w:pPr>
        <w:pStyle w:val="NormalWeb"/>
        <w:suppressAutoHyphens/>
        <w:spacing w:line="360" w:lineRule="auto"/>
        <w:jc w:val="both"/>
        <w:rPr>
          <w:rFonts w:asciiTheme="minorHAnsi" w:hAnsiTheme="minorHAnsi"/>
          <w:sz w:val="22"/>
          <w:szCs w:val="22"/>
        </w:rPr>
      </w:pPr>
      <w:r>
        <w:rPr>
          <w:rFonts w:asciiTheme="minorHAnsi" w:hAnsiTheme="minorHAnsi"/>
          <w:sz w:val="22"/>
          <w:szCs w:val="22"/>
        </w:rPr>
        <w:t>Third, the UK robustness exercise offers a methodological lesson. DEMIG-QuantMig records individual policy events, while Brexit was a regime-level rupture in UK labor-migration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ns2:paraId="183A420F" ns2:textId="77777777" w:rsidR="00D300B4" w:rsidRDefault="00D300B4">
      <w:pPr>
        <w:spacing w:after="0" w:line="240" w:lineRule="auto"/>
        <w:rPr>
          <w:rFonts w:ascii="Cambria" w:eastAsia="Cambria" w:hAnsi="Cambria" w:cs="Cambria"/>
          <w:b/>
          <w:bCs/>
          <w:color w:val="000000"/>
          <w:sz w:val="34"/>
          <w:szCs w:val="28"/>
        </w:rPr>
      </w:pPr>
      <w:r>
        <w:br w:type="page"/>
      </w:r>
    </w:p>
    <w:p ns2:paraId="0E04FA6A" ns2:textId="77777777" w:rsidR="00961C7F" w:rsidRDefault="008A042F">
      <w:pPr>
        <w:pStyle w:val="Heading1"/>
      </w:pPr>
      <w:r>
        <w:lastRenderedPageBreak/>
        <w:t>11. Conclusion</w:t>
      </w:r>
    </w:p>
    <w:p ns2:paraId="70077A7D" ns2:textId="77777777"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policy restrictiveness is associated with the skill composition of long-term employment-related immigration in European destinations between 2008 and 2019. The aggregate country-year models do not show a significant association between general all-migrant-worker restrictions and the high-skilled share. The preferred bilateral model estimated with denominator weights,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Reintroducing 2020 as a pandemic-year robustness check attenuates but does not overturn that result, and the work-visa-only narrowing produces a larger estimate.</w:t>
      </w:r>
    </w:p>
    <w:p ns2:paraId="69F30046" ns2: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preferred estimate implies that one additional unit of the lagged cumulative net policy-change score for all-migrant-worker reforms is associated with roughly a 0.65-percentage-point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preferred bilateral model, not on the aggregate policy-flow evidence.</w:t>
      </w:r>
    </w:p>
    <w:p ns2:paraId="2A5E68CE" ns2:textId="77777777" w:rsidR="00C47373" w:rsidRPr="00F93585" w:rsidRDefault="00C47373" w:rsidP="00C47373">
      <w:pPr>
        <w:pStyle w:val="NormalWeb"/>
        <w:suppressAutoHyphens/>
        <w:spacing w:line="360" w:lineRule="auto"/>
        <w:jc w:val="both"/>
        <w:rPr>
          <w:rFonts w:asciiTheme="minorHAnsi" w:hAnsiTheme="minorHAnsi"/>
          <w:sz w:val="22"/>
          <w:szCs w:val="22"/>
        </w:rPr>
      </w:pPr>
      <w:r>
        <w:rPr>
          <w:sz w:val="22"/>
        </w:rPr>
        <w:t>Overall, larger cumulative net restrictive changes for all-migrant-worker reforms are associated with a higher skill ratio once the bilateral model accounts for origin-year pressures, denominator weighting, and targeted skill policy paths. The PPML evidence points the same way: a higher measured high-skilled count with no detectable change in the total count, compatible with but not establishing reallocation into dedicated high-skilled categories. Future work should extend the panel beyond the pandemic endpoint, add harmonized origin-side controls, and model regime-level breaks such as Brexit separately.</w:t>
      </w:r>
    </w:p>
    <w:p ns2:paraId="02E7657B" ns2: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findings also carry a measurement lesson beyond the question studied here. Eurostat first-permit categories record the legal route of entry, not underlying skill. When policy shifts the relative attractiveness of routes, category counts can move without any change in who arrives, as the Section 7.3 diagnostics illustrate. Studies that use administrative permit categories as direct skill measures inherit this re-routing problem, and their estimates are best read as statements about the mix of legal categories.</w:t>
      </w:r>
    </w:p>
    <w:p ns2:paraId="022CCD78" ns2: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regressions hold observed skill-targeted policy changes constant but do not estimate the separate causal effect of the EU Blue Card or any other dedicated route, so the policy </w:t>
        <w:lastRenderedPageBreak/>
        <w:t>interpretation is mechanism-based rather than an evaluation of those schemes. Within this limit, the result is consistent with dedicated high-skill channels helping to preserve the skill composition of large employment-permit flows when general work-permit rules tighten - not evidence that any particular talent scheme causes this outcome.</w:t>
      </w:r>
    </w:p>
    <w:p ns2:paraId="0BD32767" ns2:textId="77777777" w:rsidR="00961C7F" w:rsidRDefault="007A1105" w:rsidP="007A1105">
      <w:pPr>
        <w:spacing w:after="0" w:line="240" w:lineRule="auto"/>
        <w:rPr>
          <w:rFonts w:ascii="Cambria" w:hAnsi="Cambria" w:cstheme="majorHAnsi"/>
          <w:b/>
          <w:bCs/>
          <w:sz w:val="34"/>
          <w:szCs w:val="34"/>
        </w:rPr>
      </w:pPr>
      <w:r>
        <w:br w:type="page"/>
      </w:r>
      <w:r>
        <w:rPr>
          <w:rFonts w:ascii="Cambria" w:hAnsi="Cambria" w:cstheme="majorHAnsi"/>
          <w:b/>
          <w:bCs/>
          <w:sz w:val="34"/>
          <w:szCs w:val="34"/>
        </w:rPr>
        <w:lastRenderedPageBreak/>
        <w:t>12. References</w:t>
      </w:r>
    </w:p>
    <w:p ns2:paraId="3E9B4460" ns2:textId="77777777" w:rsidR="00150861" w:rsidRPr="00150861" w:rsidRDefault="00150861" w:rsidP="007A1105">
      <w:pPr>
        <w:spacing w:after="0" w:line="240" w:lineRule="auto"/>
        <w:rPr>
          <w:rFonts w:ascii="Cambria" w:eastAsia="Cambria" w:hAnsi="Cambria" w:cstheme="majorHAnsi"/>
          <w:b/>
          <w:bCs/>
          <w:color w:val="000000"/>
          <w:sz w:val="34"/>
          <w:szCs w:val="34"/>
        </w:rPr>
      </w:pPr>
    </w:p>
    <w:p ns2:paraId="659ADE4C" ns2:textId="77777777" w:rsidR="00961C7F" w:rsidRDefault="008A042F">
      <w:pPr>
        <w:spacing w:after="120" w:line="240" w:lineRule="auto"/>
        <w:ind w:left="720" w:hanging="720"/>
      </w:pPr>
      <w:r>
        <w:t xml:space="preserve">Akcigit, U., Grigsby, J., &amp; Nicholas, T. (2017). </w:t>
      </w:r>
      <w:r>
        <w:rPr>
          <w:i/>
        </w:rPr>
        <w:t>Immigration and the Rise of American Ingenuity</w:t>
      </w:r>
      <w:r>
        <w:t>. NBER Working Paper No. 23137. National Bureau of Economic Research.</w:t>
      </w:r>
    </w:p>
    <w:p ns2:paraId="014F05EB" ns2:textId="77777777" w:rsidR="00961C7F" w:rsidRDefault="008A042F">
      <w:pPr>
        <w:spacing w:after="120" w:line="240" w:lineRule="auto"/>
        <w:ind w:left="720" w:hanging="720"/>
      </w:pPr>
      <w:r>
        <w:t xml:space="preserve">Beine, M., Bertoli, S., &amp; Fernández-Huertas Moraga, J. (2016). A practitioners' guide to gravity models of international migration. </w:t>
      </w:r>
      <w:r>
        <w:rPr>
          <w:i/>
        </w:rPr>
        <w:t>The World Economy, 39</w:t>
      </w:r>
      <w:r>
        <w:t>(4), 496–512.</w:t>
      </w:r>
    </w:p>
    <w:p ns2:paraId="4FA2C8F5" ns2: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ns2:paraId="33044EE0" ns2: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ns2:paraId="4752AD95" ns2:textId="77777777" w:rsidR="00961C7F" w:rsidRDefault="008A042F">
      <w:pPr>
        <w:spacing w:after="120" w:line="240" w:lineRule="auto"/>
        <w:ind w:left="720" w:hanging="720"/>
      </w:pPr>
      <w:r>
        <w:t xml:space="preserve">Boubtane, E., Dumont, J.-C., &amp; Rault, C. (2016). Immigration and Economic Growth in the OECD Countries 1986–2006. </w:t>
      </w:r>
      <w:r>
        <w:rPr>
          <w:i/>
        </w:rPr>
        <w:t>Oxford Economic Papers, 68</w:t>
      </w:r>
      <w:r>
        <w:t>(2), 340–360.</w:t>
      </w:r>
    </w:p>
    <w:p ns2:paraId="49DA0E89" ns2:textId="77777777" w:rsidR="00961C7F" w:rsidRDefault="008A042F">
      <w:pPr>
        <w:spacing w:after="120" w:line="240" w:lineRule="auto"/>
        <w:ind w:left="720" w:hanging="720"/>
      </w:pPr>
      <w:r>
        <w:t xml:space="preserve">Bound, J., Khanna, G., &amp; Morales, N. (2017). </w:t>
      </w:r>
      <w:r>
        <w:rPr>
          <w:i/>
        </w:rPr>
        <w:t>Understanding the Economic Impact of the H-1B Program on the U.S.</w:t>
      </w:r>
      <w:r>
        <w:t xml:space="preserve"> NBER Working Paper No. 23153. National Bureau of Economic Research.</w:t>
      </w:r>
    </w:p>
    <w:p ns2:paraId="4D6C7CB4" ns2: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ns2:paraId="55F8E48C" ns2:textId="77777777" w:rsidR="00961C7F" w:rsidRDefault="008A042F">
      <w:pPr>
        <w:spacing w:after="120" w:line="240" w:lineRule="auto"/>
        <w:ind w:left="720" w:hanging="720"/>
      </w:pPr>
      <w:r>
        <w:t xml:space="preserve">Card, D. (2009). Immigration and Inequality. </w:t>
      </w:r>
      <w:r>
        <w:rPr>
          <w:i/>
        </w:rPr>
        <w:t>American Economic Review, 99</w:t>
      </w:r>
      <w:r>
        <w:t>(2), 1–21.</w:t>
      </w:r>
    </w:p>
    <w:p ns2:paraId="4864C2EC" ns2: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ns2:paraId="5C96BF6F" ns2: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ns2:paraId="1E3AEE27" ns2: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ns2:paraId="55CF0610" ns2: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ns2:paraId="022880FD" ns2: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ns2:paraId="66E90FF9" ns2: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ns2:paraId="1616A7CB" ns2:textId="77777777" w:rsidR="00961C7F" w:rsidRDefault="008A042F">
      <w:pPr>
        <w:spacing w:after="120" w:line="240" w:lineRule="auto"/>
        <w:ind w:left="720" w:hanging="720"/>
      </w:pPr>
      <w:r>
        <w:t xml:space="preserve">Dustmann, C., &amp; Frattini, T. (2014). The Fiscal Effects of Immigration to the UK. </w:t>
      </w:r>
      <w:r>
        <w:rPr>
          <w:i/>
        </w:rPr>
        <w:t>The Economic Journal, 124</w:t>
      </w:r>
      <w:r>
        <w:t>(580), F593–F643.</w:t>
      </w:r>
    </w:p>
    <w:p ns2:paraId="7E2FC32D" ns2:textId="77777777" w:rsidR="00961C7F" w:rsidRDefault="008A042F">
      <w:pPr>
        <w:spacing w:after="120" w:line="240" w:lineRule="auto"/>
        <w:ind w:left="720" w:hanging="720"/>
      </w:pPr>
      <w:r>
        <w:t xml:space="preserve">Eurostat. (2026). </w:t>
      </w:r>
      <w:r>
        <w:rPr>
          <w:i/>
        </w:rPr>
        <w:t>First permits by reason, length of validity and citizenship</w:t>
      </w:r>
      <w:r>
        <w:t>. European Commission.</w:t>
      </w:r>
    </w:p>
    <w:p ns2:paraId="095F8A8A" ns2:textId="77777777" w:rsidR="00961C7F" w:rsidRDefault="008A042F">
      <w:pPr>
        <w:spacing w:after="120" w:line="240" w:lineRule="auto"/>
        <w:ind w:left="720" w:hanging="720"/>
      </w:pPr>
      <w:r>
        <w:t xml:space="preserve">Eurostat. (2026). </w:t>
      </w:r>
      <w:r>
        <w:rPr>
          <w:i/>
        </w:rPr>
        <w:t>First permits issued for remunerated activities by reason, length of validity and citizenship</w:t>
      </w:r>
      <w:r>
        <w:t>. European Commission.</w:t>
      </w:r>
    </w:p>
    <w:p ns2:paraId="315286E8" ns2:textId="77777777" w:rsidR="00961C7F" w:rsidRDefault="008A042F">
      <w:pPr>
        <w:spacing w:after="120" w:line="240" w:lineRule="auto"/>
        <w:ind w:left="720" w:hanging="720"/>
      </w:pPr>
      <w:r>
        <w:t xml:space="preserve">Eurostat. (2026). </w:t>
      </w:r>
      <w:r>
        <w:rPr>
          <w:i/>
        </w:rPr>
        <w:t>Annual unemployment rates by sex and age</w:t>
      </w:r>
      <w:r>
        <w:t>. European Commission.</w:t>
      </w:r>
    </w:p>
    <w:p ns2:paraId="460E43A7" ns2:textId="77777777" w:rsidR="00961C7F" w:rsidRDefault="008A042F">
      <w:pPr>
        <w:spacing w:after="120" w:line="240" w:lineRule="auto"/>
        <w:ind w:left="720" w:hanging="720"/>
      </w:pPr>
      <w:r>
        <w:t xml:space="preserve">Eurostat. (2026). </w:t>
      </w:r>
      <w:r>
        <w:rPr>
          <w:i/>
        </w:rPr>
        <w:t>Gross domestic product and main national-accounts components</w:t>
      </w:r>
      <w:r>
        <w:t>. European Commission.</w:t>
      </w:r>
    </w:p>
    <w:p ns2:paraId="2C46418D" ns2: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lastRenderedPageBreak/>
        <w:t xml:space="preserve">members to move and reside freely within the territory of the Member States. </w:t>
      </w:r>
      <w:r>
        <w:rPr>
          <w:i/>
        </w:rPr>
        <w:t>Official Journal of the European Union, L 158</w:t>
      </w:r>
      <w:r>
        <w:t>, 77-123.</w:t>
      </w:r>
    </w:p>
    <w:p ns2:paraId="1E4D7692" ns2: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ns2:paraId="1CCA894C" ns2: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ns2:paraId="2101DC50" ns2: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ns2:paraId="5F6DA946" ns2: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ns2:paraId="0D03D5D3" ns2: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ns2:paraId="672EA8A3" ns2: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ns2:paraId="04085CC5" ns2: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ns2:paraId="4FDBA617" ns2: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ns2:paraId="387FA6DC" ns2:textId="77777777" w:rsidR="00961C7F" w:rsidRDefault="008A042F">
      <w:pPr>
        <w:spacing w:after="120" w:line="240" w:lineRule="auto"/>
        <w:ind w:left="720" w:hanging="720"/>
      </w:pPr>
      <w:r>
        <w:t xml:space="preserve">Kerr, W. R., &amp; Lincoln, W. F. (2010). The Supply Side of Innovation: H-1B Visa Reforms and U.S. Ethnic Invention. </w:t>
      </w:r>
      <w:r>
        <w:rPr>
          <w:i/>
        </w:rPr>
        <w:t>Journal of Labor Economics, 28</w:t>
      </w:r>
      <w:r>
        <w:t>(3), 473–508.</w:t>
      </w:r>
    </w:p>
    <w:p ns2:paraId="14310BFC" ns2: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ns2:paraId="38A56FA8" ns2:textId="77777777" w:rsidR="00961C7F" w:rsidRDefault="008A042F">
      <w:pPr>
        <w:spacing w:after="120" w:line="240" w:lineRule="auto"/>
        <w:ind w:left="720" w:hanging="720"/>
      </w:pPr>
      <w:r>
        <w:t xml:space="preserve">Liebig, T., &amp; Mo, J. (2013). The Fiscal Impact of Immigration in OECD Countries. In OECD, </w:t>
      </w:r>
      <w:r>
        <w:rPr>
          <w:i/>
        </w:rPr>
        <w:t>International Migration Outlook 2013</w:t>
      </w:r>
      <w:r>
        <w:t>, Chapter 3. OECD Publishing.</w:t>
      </w:r>
    </w:p>
    <w:p ns2:paraId="3DB940D8" ns2: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ns2:paraId="06F97CE2" ns2: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ns2:paraId="2C38987C" ns2: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ns2:paraId="123E913C" ns2: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ns2:paraId="05566984" ns2: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ns2:paraId="5F1AA1B3" ns2: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ns2:paraId="1BBA4B70" ns2: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ns2:paraId="54ECC162" ns2: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ns2:paraId="19C3A133" ns2: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ns2:paraId="010BD7C8" ns2: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w:t>
      </w:r>
    </w:p>
    <w:p ns2:paraId="3E61B440" ns2: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ns2:paraId="454CD59D" ns2:textId="77777777" w:rsidR="00961C7F" w:rsidRDefault="008A042F">
      <w:pPr>
        <w:spacing w:after="120" w:line="240" w:lineRule="auto"/>
        <w:ind w:left="720" w:hanging="720"/>
      </w:pPr>
      <w:r>
        <w:t xml:space="preserve">World Bank. (2026). </w:t>
      </w:r>
      <w:r>
        <w:rPr>
          <w:i/>
          <w:iCs/>
        </w:rPr>
        <w:t>Unemployment, total (% of total labor force) (modeled ILO estimate), indicator SL.UEM.TOTL.ZS</w:t>
      </w:r>
      <w:r>
        <w:t>. World Development Indicators. Source: ILOSTAT.</w:t>
      </w:r>
    </w:p>
    <w:p ns2:paraId="2FABCF96" ns2:textId="77777777" w:rsidR="00961C7F" w:rsidRDefault="008A042F">
      <w:pPr>
        <w:spacing w:after="120" w:line="240" w:lineRule="auto"/>
        <w:ind w:left="720" w:hanging="720"/>
      </w:pPr>
      <w:r>
        <w:t xml:space="preserve">World Bank Data Team. (2019). </w:t>
      </w:r>
      <w:r>
        <w:rPr>
          <w:i/>
          <w:iCs/>
        </w:rPr>
        <w:t>New country classifications by income level: 2019-2020</w:t>
      </w:r>
      <w:r>
        <w:t>. World Bank Data Blog, July 1, 2019.</w:t>
      </w:r>
    </w:p>
    <w:p ns2:paraId="6D478861" ns2:textId="77777777" w:rsidR="00A26942" w:rsidRDefault="00A26942">
      <w:pPr>
        <w:spacing w:after="0" w:line="240" w:lineRule="auto"/>
        <w:rPr>
          <w:rFonts w:ascii="Cambria" w:eastAsia="Cambria" w:hAnsi="Cambria" w:cs="Cambria"/>
          <w:b/>
          <w:bCs/>
          <w:color w:val="000000"/>
          <w:sz w:val="34"/>
          <w:szCs w:val="28"/>
        </w:rPr>
      </w:pPr>
      <w:r>
        <w:br w:type="page"/>
      </w:r>
    </w:p>
    <w:p ns2:paraId="6C47D7BD" ns2:textId="77777777" w:rsidR="00961C7F" w:rsidRDefault="00446F2F">
      <w:pPr>
        <w:pStyle w:val="Heading1"/>
      </w:pPr>
      <w:r>
        <w:lastRenderedPageBreak/>
        <w:t>13. Appendix A. Extended-window PPML sensitivity</w:t>
      </w:r>
    </w:p>
    <w:p ns2:paraId="1B2C5A15" ns2:textId="77777777" w:rsidR="00961C7F" w:rsidRDefault="008A042F">
      <w:r>
        <w:t>This appendix reports the PPML count-model results when the outcome window is extended to include the 2020 pandemic year. The corresponding share-model result (weighted OLS HSRate with 2020 added) is reported as R1 in Table 10; the permit-category decomposition and the destination-specific-trend and anticipation checks are reported in Table 9 (§7.3), Table 10 R12 (§8.1), and Table 11 (§8.2).</w:t>
      </w:r>
    </w:p>
    <w:p ns2:paraId="0F88AB2D" ns2:textId="77777777" w:rsidR="00696B3F" w:rsidRDefault="00696B3F"/>
    <w:p ns2:paraId="091BA522" ns2:textId="77777777" w:rsidR="00196C82" w:rsidRDefault="00A36F18">
      <w:r>
        <w:t>Table A.1. Extended-window PPML sensitivity (2020 reintroduced).</w:t>
      </w:r>
    </w:p>
    <w:tbl>
      <w:tblPr>
        <w:tblStyle w:val="TableGrid"/>
        <w:tblLook w:val="04A0" w:firstRow="1" w:lastRow="0" w:firstColumn="1" w:lastColumn="0" w:noHBand="0" w:noVBand="1"/>
        <w:tblW w:w="9300" w:type="dxa"/>
        <w:jc w:val="center"/>
        <w:tblLayout w:type="fixed"/>
        <w:tblBorders>
          <w:top w:val="single" w:sz="12" w:space="0" w:color="000000"/>
          <w:left w:val="nil"/>
          <w:bottom w:val="single" w:sz="12" w:space="0" w:color="000000"/>
          <w:right w:val="nil"/>
          <w:insideH w:val="nil"/>
          <w:insideV w:val="nil"/>
        </w:tblBorders>
      </w:tblPr>
      <w:tblGrid>
        <w:gridCol w:w="3200"/>
        <w:gridCol w:w="1350"/>
        <w:gridCol w:w="1500"/>
        <w:gridCol w:w="1150"/>
        <w:gridCol w:w="1150"/>
        <w:gridCol w:w="750"/>
      </w:tblGrid>
      <w:tr w:rsidR="00196C82" ns2:paraId="44FF19BF" ns2:textId="77777777">
        <w:trPr>
          <w:trHeight w:val="360" w:hRule="atLeast"/>
        </w:trPr>
        <w:tc>
          <w:tcPr>
            <w:tcW w:w="3200" w:type="dxa"/>
            <w:tcMar>
              <w:top w:w="70" w:type="dxa"/>
              <w:left w:w="90" w:type="dxa"/>
              <w:bottom w:w="70" w:type="dxa"/>
              <w:right w:w="90" w:type="dxa"/>
            </w:tcMar>
            <w:vAlign w:val="center"/>
            <w:tcBorders>
              <w:top w:val="nil"/>
              <w:left w:val="nil"/>
              <w:right w:val="nil"/>
              <w:bottom w:val="single" w:sz="10" w:space="0" w:color="000000"/>
            </w:tcBorders>
          </w:tcPr>
          <w:p>
            <w:pPr>
              <w:jc w:val="left"/>
              <w:spacing w:before="0" w:after="0" w:line="240" w:lineRule="auto"/>
            </w:pPr>
            <w:r>
              <w:rPr>
                <w:rFonts w:ascii="Times New Roman" w:hAnsi="Times New Roman"/>
                <w:sz w:val="22"/>
                <w:szCs w:val="22"/>
                <w:b/>
              </w:rPr>
              <w:t>Check</w:t>
            </w:r>
          </w:p>
        </w:tc>
        <w:tc>
          <w:tcPr>
            <w:tcW w:w="1350" w:type="dxa"/>
            <w:tcMar>
              <w:top w:w="70" w:type="dxa"/>
              <w:left w:w="90" w:type="dxa"/>
              <w:bottom w:w="70" w:type="dxa"/>
              <w:right w:w="90" w:type="dxa"/>
            </w:tcMar>
            <w:vAlign w:val="center"/>
            <w:tcBorders>
              <w:top w:val="nil"/>
              <w:left w:val="nil"/>
              <w:right w:val="nil"/>
              <w:bottom w:val="single" w:sz="10" w:space="0" w:color="000000"/>
            </w:tcBorders>
          </w:tcPr>
          <w:p>
            <w:pPr>
              <w:jc w:val="center"/>
              <w:spacing w:before="0" w:after="0" w:line="240" w:lineRule="auto"/>
            </w:pPr>
            <w:r>
              <w:rPr>
                <w:rFonts w:ascii="Times New Roman" w:hAnsi="Times New Roman"/>
                <w:sz w:val="22"/>
                <w:szCs w:val="22"/>
                <w:b/>
              </w:rPr>
              <w:t>β</w:t>
            </w:r>
          </w:p>
        </w:tc>
        <w:tc>
          <w:tcPr>
            <w:tcW w:w="1500" w:type="dxa"/>
            <w:tcMar>
              <w:top w:w="70" w:type="dxa"/>
              <w:left w:w="90" w:type="dxa"/>
              <w:bottom w:w="70" w:type="dxa"/>
              <w:right w:w="90" w:type="dxa"/>
            </w:tcMar>
            <w:vAlign w:val="center"/>
            <w:tcBorders>
              <w:top w:val="nil"/>
              <w:left w:val="nil"/>
              <w:right w:val="nil"/>
              <w:bottom w:val="single" w:sz="10" w:space="0" w:color="000000"/>
            </w:tcBorders>
          </w:tcPr>
          <w:p>
            <w:pPr>
              <w:jc w:val="center"/>
              <w:spacing w:before="0" w:after="0" w:line="240" w:lineRule="auto"/>
            </w:pPr>
            <w:r>
              <w:rPr>
                <w:rFonts w:ascii="Times New Roman" w:hAnsi="Times New Roman"/>
                <w:sz w:val="22"/>
                <w:szCs w:val="22"/>
                <w:b/>
              </w:rPr>
              <w:t>SE</w:t>
            </w:r>
          </w:p>
        </w:tc>
        <w:tc>
          <w:tcPr>
            <w:tcW w:w="1150" w:type="dxa"/>
            <w:tcMar>
              <w:top w:w="70" w:type="dxa"/>
              <w:left w:w="90" w:type="dxa"/>
              <w:bottom w:w="70" w:type="dxa"/>
              <w:right w:w="90" w:type="dxa"/>
            </w:tcMar>
            <w:vAlign w:val="center"/>
            <w:tcBorders>
              <w:top w:val="nil"/>
              <w:left w:val="nil"/>
              <w:right w:val="nil"/>
              <w:bottom w:val="single" w:sz="10" w:space="0" w:color="000000"/>
            </w:tcBorders>
          </w:tcPr>
          <w:p>
            <w:pPr>
              <w:jc w:val="center"/>
              <w:spacing w:before="0" w:after="0" w:line="240" w:lineRule="auto"/>
            </w:pPr>
            <w:r>
              <w:rPr>
                <w:rFonts w:ascii="Times New Roman" w:hAnsi="Times New Roman"/>
                <w:sz w:val="22"/>
                <w:szCs w:val="22"/>
                <w:b/>
              </w:rPr>
              <w:t>p</w:t>
            </w:r>
          </w:p>
        </w:tc>
        <w:tc>
          <w:tcPr>
            <w:tcW w:w="1150" w:type="dxa"/>
            <w:tcMar>
              <w:top w:w="70" w:type="dxa"/>
              <w:left w:w="90" w:type="dxa"/>
              <w:bottom w:w="70" w:type="dxa"/>
              <w:right w:w="90" w:type="dxa"/>
            </w:tcMar>
            <w:vAlign w:val="center"/>
            <w:tcBorders>
              <w:top w:val="nil"/>
              <w:left w:val="nil"/>
              <w:right w:val="nil"/>
              <w:bottom w:val="single" w:sz="10" w:space="0" w:color="000000"/>
            </w:tcBorders>
          </w:tcPr>
          <w:p>
            <w:pPr>
              <w:jc w:val="center"/>
              <w:spacing w:before="0" w:after="0" w:line="240" w:lineRule="auto"/>
            </w:pPr>
            <w:r>
              <w:rPr>
                <w:rFonts w:ascii="Times New Roman" w:hAnsi="Times New Roman"/>
                <w:sz w:val="22"/>
                <w:szCs w:val="22"/>
                <w:b/>
              </w:rPr>
              <w:t>N</w:t>
            </w:r>
          </w:p>
        </w:tc>
        <w:tc>
          <w:tcPr>
            <w:tcW w:w="750" w:type="dxa"/>
            <w:tcMar>
              <w:top w:w="70" w:type="dxa"/>
              <w:left w:w="90" w:type="dxa"/>
              <w:bottom w:w="70" w:type="dxa"/>
              <w:right w:w="90" w:type="dxa"/>
            </w:tcMar>
            <w:vAlign w:val="center"/>
            <w:tcBorders>
              <w:top w:val="nil"/>
              <w:left w:val="nil"/>
              <w:right w:val="nil"/>
              <w:bottom w:val="single" w:sz="10" w:space="0" w:color="000000"/>
            </w:tcBorders>
          </w:tcPr>
          <w:p>
            <w:pPr>
              <w:jc w:val="center"/>
              <w:spacing w:before="0" w:after="0" w:line="240" w:lineRule="auto"/>
            </w:pPr>
            <w:r>
              <w:rPr>
                <w:rFonts w:ascii="Times New Roman" w:hAnsi="Times New Roman"/>
                <w:sz w:val="22"/>
                <w:szCs w:val="22"/>
                <w:b/>
              </w:rPr>
              <w:t>G</w:t>
            </w:r>
          </w:p>
        </w:tc>
      </w:tr>
      <w:tr w:rsidR="00196C82" ns2:paraId="656C420B" ns2:textId="77777777">
        <w:trPr>
          <w:trHeight w:val="420" w:hRule="atLeast"/>
        </w:trPr>
        <w:tc>
          <w:tcPr>
            <w:tcW w:w="3200" w:type="dxa"/>
            <w:tcMar>
              <w:top w:w="70" w:type="dxa"/>
              <w:left w:w="90" w:type="dxa"/>
              <w:bottom w:w="70" w:type="dxa"/>
              <w:right w:w="90" w:type="dxa"/>
            </w:tcMar>
            <w:vAlign w:val="center"/>
          </w:tcPr>
          <w:p>
            <w:pPr>
              <w:jc w:val="left"/>
              <w:spacing w:before="0" w:after="0" w:line="240" w:lineRule="auto"/>
            </w:pPr>
            <w:r>
              <w:rPr>
                <w:rFonts w:ascii="Times New Roman" w:hAnsi="Times New Roman"/>
                <w:sz w:val="22"/>
                <w:szCs w:val="22"/>
              </w:rPr>
              <w:t>Extended window: PPML HSNumber</w:t>
            </w:r>
          </w:p>
        </w:tc>
        <w:tc>
          <w:tcPr>
            <w:tcW w:w="13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0.036814**</w:t>
            </w:r>
          </w:p>
        </w:tc>
        <w:tc>
          <w:tcPr>
            <w:tcW w:w="150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(0.013562)</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0.012</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5,863</w:t>
            </w:r>
          </w:p>
        </w:tc>
        <w:tc>
          <w:tcPr>
            <w:tcW w:w="7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27</w:t>
            </w:r>
          </w:p>
        </w:tc>
      </w:tr>
      <w:tr w:rsidR="00196C82" ns2:paraId="5033121B" ns2:textId="77777777">
        <w:trPr>
          <w:trHeight w:val="420" w:hRule="atLeast"/>
        </w:trPr>
        <w:tc>
          <w:tcPr>
            <w:tcW w:w="3200" w:type="dxa"/>
            <w:tcMar>
              <w:top w:w="70" w:type="dxa"/>
              <w:left w:w="90" w:type="dxa"/>
              <w:bottom w:w="70" w:type="dxa"/>
              <w:right w:w="90" w:type="dxa"/>
            </w:tcMar>
            <w:vAlign w:val="center"/>
          </w:tcPr>
          <w:p>
            <w:pPr>
              <w:jc w:val="left"/>
              <w:spacing w:before="0" w:after="0" w:line="240" w:lineRule="auto"/>
            </w:pPr>
            <w:r>
              <w:rPr>
                <w:rFonts w:ascii="Times New Roman" w:hAnsi="Times New Roman"/>
                <w:sz w:val="22"/>
                <w:szCs w:val="22"/>
              </w:rPr>
              <w:t>Extended window: PPML total EMP</w:t>
            </w:r>
          </w:p>
        </w:tc>
        <w:tc>
          <w:tcPr>
            <w:tcW w:w="13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-0.011039</w:t>
            </w:r>
          </w:p>
        </w:tc>
        <w:tc>
          <w:tcPr>
            <w:tcW w:w="150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(0.016584)</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0.511</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6,301</w:t>
            </w:r>
          </w:p>
        </w:tc>
        <w:tc>
          <w:tcPr>
            <w:tcW w:w="7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30</w:t>
            </w:r>
          </w:p>
        </w:tc>
      </w:tr>
      <w:tr w:rsidR="00196C82" ns2:paraId="603D8832" ns2:textId="77777777">
        <w:trPr>
          <w:trHeight w:val="420" w:hRule="atLeast"/>
        </w:trPr>
        <w:tc>
          <w:tcPr>
            <w:tcW w:w="3200" w:type="dxa"/>
            <w:tcMar>
              <w:top w:w="70" w:type="dxa"/>
              <w:left w:w="90" w:type="dxa"/>
              <w:bottom w:w="70" w:type="dxa"/>
              <w:right w:w="90" w:type="dxa"/>
            </w:tcMar>
            <w:vAlign w:val="center"/>
          </w:tcPr>
          <w:p>
            <w:pPr>
              <w:jc w:val="left"/>
              <w:spacing w:before="0" w:after="0" w:line="240" w:lineRule="auto"/>
            </w:pPr>
            <w:r>
              <w:rPr>
                <w:rFonts w:ascii="Times New Roman" w:hAnsi="Times New Roman"/>
                <w:sz w:val="22"/>
                <w:szCs w:val="22"/>
              </w:rPr>
              <w:t>Extended window: PPML residual count</w:t>
            </w:r>
          </w:p>
        </w:tc>
        <w:tc>
          <w:tcPr>
            <w:tcW w:w="13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-0.013270</w:t>
            </w:r>
          </w:p>
        </w:tc>
        <w:tc>
          <w:tcPr>
            <w:tcW w:w="150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(0.016604)</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0.431</w:t>
            </w:r>
          </w:p>
        </w:tc>
        <w:tc>
          <w:tcPr>
            <w:tcW w:w="11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6,300</w:t>
            </w:r>
          </w:p>
        </w:tc>
        <w:tc>
          <w:tcPr>
            <w:tcW w:w="750" w:type="dxa"/>
            <w:tcMar>
              <w:top w:w="70" w:type="dxa"/>
              <w:left w:w="90" w:type="dxa"/>
              <w:bottom w:w="70" w:type="dxa"/>
              <w:right w:w="90" w:type="dxa"/>
            </w:tcMar>
            <w:vAlign w:val="center"/>
          </w:tcPr>
          <w:p>
            <w:pPr>
              <w:jc w:val="center"/>
              <w:spacing w:before="0" w:after="0" w:line="240" w:lineRule="auto"/>
            </w:pPr>
            <w:r>
              <w:rPr>
                <w:rFonts w:ascii="Times New Roman" w:hAnsi="Times New Roman"/>
                <w:sz w:val="22"/>
                <w:szCs w:val="22"/>
              </w:rPr>
              <w:t>30</w:t>
            </w:r>
          </w:p>
        </w:tc>
      </w:tr>
    </w:tbl>
    <w:p>
      <w:pPr>
        <w:jc w:val="center"/>
      </w:pPr>
      <w:r>
        <w:rPr>
          <w:rFonts w:ascii="Times New Roman" w:eastAsia="Times New Roman" w:hAnsi="Times New Roman"/>
          <w:sz w:val="18"/>
          <w:szCs w:val="18"/>
        </w:rPr>
        <w:t xml:space="preserve">Table A.1 note. *** p &lt; 0.01, ** p &lt; 0.05, * p &lt; 0.10. PPML count-model results with the 2020 outcome year added to the estimation window. All rows use destination and origin-year fixed effects, the skill-target policy controls, and lagged destination unemployment and GDP growth. Fixed-effect groups with all-zero outcomes are removed before estimation. The focal regressor is the lagged cumulative all-migrant-worker score. Standard errors are clustered by destination.</w:t>
      </w:r>
    </w:p>
    <w:sectPr w:rsidR="00196C82" w:rsidSect="00110134">
      <w:footerReference w:type="even" ns7:id="rId13"/>
      <w:footerReference w:type="default" ns7:id="rId14"/>
      <w:footerReference w:type="first" ns7: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4305F3" w14:textId="77777777" w:rsidR="002F200E" w:rsidRDefault="002F200E">
      <w:pPr>
        <w:spacing w:after="0" w:line="240" w:lineRule="auto"/>
      </w:pPr>
      <w:r>
        <w:separator/>
      </w:r>
    </w:p>
  </w:endnote>
  <w:endnote w:type="continuationSeparator" w:id="0">
    <w:p w14:paraId="4106839F" w14:textId="77777777" w:rsidR="002F200E" w:rsidRDefault="002F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543E82B2"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7D28BDBA"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6604A147"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AC0E7D"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78D18"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C1348" w14:textId="77777777" w:rsidR="002F200E" w:rsidRDefault="002F200E">
      <w:pPr>
        <w:spacing w:after="0" w:line="240" w:lineRule="auto"/>
      </w:pPr>
      <w:r>
        <w:separator/>
      </w:r>
    </w:p>
  </w:footnote>
  <w:footnote w:type="continuationSeparator" w:id="0">
    <w:p w14:paraId="3B8A8AD4" w14:textId="77777777" w:rsidR="002F200E" w:rsidRDefault="002F2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15A9F"/>
    <w:rsid w:val="0002048E"/>
    <w:rsid w:val="00020699"/>
    <w:rsid w:val="00021A30"/>
    <w:rsid w:val="0002732B"/>
    <w:rsid w:val="00030F12"/>
    <w:rsid w:val="00042715"/>
    <w:rsid w:val="000429BE"/>
    <w:rsid w:val="00047EE9"/>
    <w:rsid w:val="000603F0"/>
    <w:rsid w:val="00070FB9"/>
    <w:rsid w:val="00076A46"/>
    <w:rsid w:val="00081F09"/>
    <w:rsid w:val="000B1F67"/>
    <w:rsid w:val="000B2D80"/>
    <w:rsid w:val="000B2FDA"/>
    <w:rsid w:val="000B4630"/>
    <w:rsid w:val="000E119A"/>
    <w:rsid w:val="000E3DD6"/>
    <w:rsid w:val="000E7EDD"/>
    <w:rsid w:val="000F5E30"/>
    <w:rsid w:val="00110134"/>
    <w:rsid w:val="00113378"/>
    <w:rsid w:val="00121144"/>
    <w:rsid w:val="00122F06"/>
    <w:rsid w:val="00126638"/>
    <w:rsid w:val="0013305C"/>
    <w:rsid w:val="001430F9"/>
    <w:rsid w:val="00145308"/>
    <w:rsid w:val="00150861"/>
    <w:rsid w:val="0015174C"/>
    <w:rsid w:val="00154E3D"/>
    <w:rsid w:val="00155B9B"/>
    <w:rsid w:val="00162473"/>
    <w:rsid w:val="00166245"/>
    <w:rsid w:val="00171D74"/>
    <w:rsid w:val="00176216"/>
    <w:rsid w:val="001766DC"/>
    <w:rsid w:val="00196C82"/>
    <w:rsid w:val="0019712D"/>
    <w:rsid w:val="001A2A72"/>
    <w:rsid w:val="001B050E"/>
    <w:rsid w:val="001B2FA0"/>
    <w:rsid w:val="001B5A82"/>
    <w:rsid w:val="001C2133"/>
    <w:rsid w:val="001C71E0"/>
    <w:rsid w:val="001C76C3"/>
    <w:rsid w:val="001D720F"/>
    <w:rsid w:val="001E10AF"/>
    <w:rsid w:val="001E243F"/>
    <w:rsid w:val="001F01AC"/>
    <w:rsid w:val="001F0399"/>
    <w:rsid w:val="001F1A4D"/>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3D0D"/>
    <w:rsid w:val="002D3F88"/>
    <w:rsid w:val="002D4E46"/>
    <w:rsid w:val="002E65FC"/>
    <w:rsid w:val="002F1220"/>
    <w:rsid w:val="002F200E"/>
    <w:rsid w:val="002F228E"/>
    <w:rsid w:val="002F467F"/>
    <w:rsid w:val="002F6AA4"/>
    <w:rsid w:val="003057D9"/>
    <w:rsid w:val="00306815"/>
    <w:rsid w:val="003125F5"/>
    <w:rsid w:val="00313B8D"/>
    <w:rsid w:val="00316082"/>
    <w:rsid w:val="00316B19"/>
    <w:rsid w:val="00330D13"/>
    <w:rsid w:val="00330DA4"/>
    <w:rsid w:val="00332349"/>
    <w:rsid w:val="00333C79"/>
    <w:rsid w:val="00335227"/>
    <w:rsid w:val="003355F9"/>
    <w:rsid w:val="003578D0"/>
    <w:rsid w:val="00380AD2"/>
    <w:rsid w:val="0038122C"/>
    <w:rsid w:val="00394DC2"/>
    <w:rsid w:val="003A3C70"/>
    <w:rsid w:val="003A48EC"/>
    <w:rsid w:val="003A4ECA"/>
    <w:rsid w:val="003A7C7E"/>
    <w:rsid w:val="003A7F85"/>
    <w:rsid w:val="003B01EC"/>
    <w:rsid w:val="003B1385"/>
    <w:rsid w:val="003B55D1"/>
    <w:rsid w:val="003C6E20"/>
    <w:rsid w:val="003C717D"/>
    <w:rsid w:val="003C7D46"/>
    <w:rsid w:val="003D3B27"/>
    <w:rsid w:val="003D53F0"/>
    <w:rsid w:val="003E1F82"/>
    <w:rsid w:val="003E709B"/>
    <w:rsid w:val="003E7B8F"/>
    <w:rsid w:val="003F1AD1"/>
    <w:rsid w:val="003F7383"/>
    <w:rsid w:val="00400102"/>
    <w:rsid w:val="00405253"/>
    <w:rsid w:val="004076DB"/>
    <w:rsid w:val="00413303"/>
    <w:rsid w:val="00417C44"/>
    <w:rsid w:val="00426988"/>
    <w:rsid w:val="00430DAC"/>
    <w:rsid w:val="004363D6"/>
    <w:rsid w:val="00442D74"/>
    <w:rsid w:val="004435C1"/>
    <w:rsid w:val="00446F2F"/>
    <w:rsid w:val="0045164A"/>
    <w:rsid w:val="004517AA"/>
    <w:rsid w:val="004557DB"/>
    <w:rsid w:val="00465C6B"/>
    <w:rsid w:val="00465E31"/>
    <w:rsid w:val="004818D5"/>
    <w:rsid w:val="00482E0B"/>
    <w:rsid w:val="004854B9"/>
    <w:rsid w:val="004868E9"/>
    <w:rsid w:val="004A7B00"/>
    <w:rsid w:val="004B03E8"/>
    <w:rsid w:val="004B2CEC"/>
    <w:rsid w:val="004B4196"/>
    <w:rsid w:val="004C1830"/>
    <w:rsid w:val="004C3B03"/>
    <w:rsid w:val="004C7B18"/>
    <w:rsid w:val="004E2BF6"/>
    <w:rsid w:val="004E3523"/>
    <w:rsid w:val="004E372B"/>
    <w:rsid w:val="004F2F84"/>
    <w:rsid w:val="004F4900"/>
    <w:rsid w:val="00512C81"/>
    <w:rsid w:val="005263DD"/>
    <w:rsid w:val="00526A4F"/>
    <w:rsid w:val="00530057"/>
    <w:rsid w:val="005415D4"/>
    <w:rsid w:val="005441FF"/>
    <w:rsid w:val="00550ECD"/>
    <w:rsid w:val="0056096A"/>
    <w:rsid w:val="005742DE"/>
    <w:rsid w:val="00584109"/>
    <w:rsid w:val="0058450B"/>
    <w:rsid w:val="005925DD"/>
    <w:rsid w:val="005941BA"/>
    <w:rsid w:val="00595785"/>
    <w:rsid w:val="005A11F9"/>
    <w:rsid w:val="005A1A0F"/>
    <w:rsid w:val="005D3B81"/>
    <w:rsid w:val="005E166E"/>
    <w:rsid w:val="005F1C31"/>
    <w:rsid w:val="006124AC"/>
    <w:rsid w:val="00635963"/>
    <w:rsid w:val="00644C85"/>
    <w:rsid w:val="00647246"/>
    <w:rsid w:val="00651B03"/>
    <w:rsid w:val="00664284"/>
    <w:rsid w:val="0066499F"/>
    <w:rsid w:val="006744B1"/>
    <w:rsid w:val="00683D9D"/>
    <w:rsid w:val="006858D5"/>
    <w:rsid w:val="0069536D"/>
    <w:rsid w:val="00696B3F"/>
    <w:rsid w:val="00696D8A"/>
    <w:rsid w:val="006A0F4A"/>
    <w:rsid w:val="006B0301"/>
    <w:rsid w:val="006B0BBD"/>
    <w:rsid w:val="006B2D63"/>
    <w:rsid w:val="006C70A2"/>
    <w:rsid w:val="006C792F"/>
    <w:rsid w:val="006D136D"/>
    <w:rsid w:val="006E4834"/>
    <w:rsid w:val="006E5755"/>
    <w:rsid w:val="006E7929"/>
    <w:rsid w:val="006F05BB"/>
    <w:rsid w:val="006F3032"/>
    <w:rsid w:val="00700FB9"/>
    <w:rsid w:val="00707635"/>
    <w:rsid w:val="00714729"/>
    <w:rsid w:val="007308F7"/>
    <w:rsid w:val="00733871"/>
    <w:rsid w:val="0073690B"/>
    <w:rsid w:val="007370E2"/>
    <w:rsid w:val="0074059F"/>
    <w:rsid w:val="00753683"/>
    <w:rsid w:val="00755367"/>
    <w:rsid w:val="00762DD7"/>
    <w:rsid w:val="00764EA8"/>
    <w:rsid w:val="00767A2B"/>
    <w:rsid w:val="00767FB5"/>
    <w:rsid w:val="00773048"/>
    <w:rsid w:val="007744FA"/>
    <w:rsid w:val="007830C2"/>
    <w:rsid w:val="0078507D"/>
    <w:rsid w:val="00791657"/>
    <w:rsid w:val="00796565"/>
    <w:rsid w:val="00797718"/>
    <w:rsid w:val="007A068A"/>
    <w:rsid w:val="007A1105"/>
    <w:rsid w:val="007A373B"/>
    <w:rsid w:val="007A5132"/>
    <w:rsid w:val="007C30F5"/>
    <w:rsid w:val="007C6C25"/>
    <w:rsid w:val="007D1ADB"/>
    <w:rsid w:val="007F06D5"/>
    <w:rsid w:val="007F2062"/>
    <w:rsid w:val="007F206C"/>
    <w:rsid w:val="0080086E"/>
    <w:rsid w:val="0080550A"/>
    <w:rsid w:val="00835813"/>
    <w:rsid w:val="008432A6"/>
    <w:rsid w:val="00846083"/>
    <w:rsid w:val="00854085"/>
    <w:rsid w:val="0087224D"/>
    <w:rsid w:val="0087275C"/>
    <w:rsid w:val="008741A0"/>
    <w:rsid w:val="00887E1D"/>
    <w:rsid w:val="008A042F"/>
    <w:rsid w:val="008B4845"/>
    <w:rsid w:val="008B7D16"/>
    <w:rsid w:val="008D02C0"/>
    <w:rsid w:val="008D1D22"/>
    <w:rsid w:val="008D6D9A"/>
    <w:rsid w:val="008F026E"/>
    <w:rsid w:val="008F5A41"/>
    <w:rsid w:val="0090268D"/>
    <w:rsid w:val="00902B26"/>
    <w:rsid w:val="00911FF1"/>
    <w:rsid w:val="009164F4"/>
    <w:rsid w:val="00916BEB"/>
    <w:rsid w:val="0092103A"/>
    <w:rsid w:val="00924A14"/>
    <w:rsid w:val="00931B14"/>
    <w:rsid w:val="0093432A"/>
    <w:rsid w:val="00937886"/>
    <w:rsid w:val="009401EE"/>
    <w:rsid w:val="0094345F"/>
    <w:rsid w:val="009437F8"/>
    <w:rsid w:val="00943825"/>
    <w:rsid w:val="00943A63"/>
    <w:rsid w:val="00947FE5"/>
    <w:rsid w:val="00951F4D"/>
    <w:rsid w:val="0095441C"/>
    <w:rsid w:val="00955246"/>
    <w:rsid w:val="009560CF"/>
    <w:rsid w:val="009572AE"/>
    <w:rsid w:val="00961C7F"/>
    <w:rsid w:val="00967482"/>
    <w:rsid w:val="009730D9"/>
    <w:rsid w:val="00982B48"/>
    <w:rsid w:val="00983C9A"/>
    <w:rsid w:val="00996A6D"/>
    <w:rsid w:val="009A5721"/>
    <w:rsid w:val="009C25B8"/>
    <w:rsid w:val="009C3434"/>
    <w:rsid w:val="009C73F0"/>
    <w:rsid w:val="009D4E6F"/>
    <w:rsid w:val="009E38FF"/>
    <w:rsid w:val="00A15C45"/>
    <w:rsid w:val="00A26942"/>
    <w:rsid w:val="00A30AFB"/>
    <w:rsid w:val="00A36F18"/>
    <w:rsid w:val="00A44E5D"/>
    <w:rsid w:val="00A4574A"/>
    <w:rsid w:val="00A463E3"/>
    <w:rsid w:val="00A53991"/>
    <w:rsid w:val="00A55DD0"/>
    <w:rsid w:val="00A65EA8"/>
    <w:rsid w:val="00A66ED8"/>
    <w:rsid w:val="00A677BC"/>
    <w:rsid w:val="00A817C7"/>
    <w:rsid w:val="00A820E1"/>
    <w:rsid w:val="00A835A0"/>
    <w:rsid w:val="00A93590"/>
    <w:rsid w:val="00A93FEC"/>
    <w:rsid w:val="00A979B9"/>
    <w:rsid w:val="00AA1B72"/>
    <w:rsid w:val="00AA5FAE"/>
    <w:rsid w:val="00AC6339"/>
    <w:rsid w:val="00AD7C4C"/>
    <w:rsid w:val="00AE50C2"/>
    <w:rsid w:val="00AF385B"/>
    <w:rsid w:val="00B13604"/>
    <w:rsid w:val="00B15532"/>
    <w:rsid w:val="00B201DE"/>
    <w:rsid w:val="00B21E8F"/>
    <w:rsid w:val="00B22907"/>
    <w:rsid w:val="00B252B2"/>
    <w:rsid w:val="00B36C51"/>
    <w:rsid w:val="00B42A15"/>
    <w:rsid w:val="00B5491B"/>
    <w:rsid w:val="00B56C27"/>
    <w:rsid w:val="00B7302D"/>
    <w:rsid w:val="00B754C4"/>
    <w:rsid w:val="00B76B02"/>
    <w:rsid w:val="00B85006"/>
    <w:rsid w:val="00B866BE"/>
    <w:rsid w:val="00BA0058"/>
    <w:rsid w:val="00BA3425"/>
    <w:rsid w:val="00BB177F"/>
    <w:rsid w:val="00BB3EB7"/>
    <w:rsid w:val="00BB7186"/>
    <w:rsid w:val="00BC7C91"/>
    <w:rsid w:val="00BD5678"/>
    <w:rsid w:val="00C01291"/>
    <w:rsid w:val="00C16AF5"/>
    <w:rsid w:val="00C30B65"/>
    <w:rsid w:val="00C36469"/>
    <w:rsid w:val="00C47373"/>
    <w:rsid w:val="00C65C5E"/>
    <w:rsid w:val="00C66C61"/>
    <w:rsid w:val="00C70AE2"/>
    <w:rsid w:val="00C7386E"/>
    <w:rsid w:val="00C82A2F"/>
    <w:rsid w:val="00C91710"/>
    <w:rsid w:val="00CC08BA"/>
    <w:rsid w:val="00CC4614"/>
    <w:rsid w:val="00CC60C8"/>
    <w:rsid w:val="00CD1970"/>
    <w:rsid w:val="00CE22B2"/>
    <w:rsid w:val="00CE30CA"/>
    <w:rsid w:val="00CE31C6"/>
    <w:rsid w:val="00CE5CD3"/>
    <w:rsid w:val="00CE7D5A"/>
    <w:rsid w:val="00CE7FC0"/>
    <w:rsid w:val="00CF07BA"/>
    <w:rsid w:val="00CF3079"/>
    <w:rsid w:val="00D03934"/>
    <w:rsid w:val="00D07BFE"/>
    <w:rsid w:val="00D14EBC"/>
    <w:rsid w:val="00D300B4"/>
    <w:rsid w:val="00D332B1"/>
    <w:rsid w:val="00D35B7A"/>
    <w:rsid w:val="00D55C22"/>
    <w:rsid w:val="00D56D52"/>
    <w:rsid w:val="00D618C4"/>
    <w:rsid w:val="00D77B33"/>
    <w:rsid w:val="00D8575E"/>
    <w:rsid w:val="00D86FD8"/>
    <w:rsid w:val="00D9011E"/>
    <w:rsid w:val="00D90141"/>
    <w:rsid w:val="00DA0408"/>
    <w:rsid w:val="00DB02B5"/>
    <w:rsid w:val="00DC118B"/>
    <w:rsid w:val="00DD6CB2"/>
    <w:rsid w:val="00DD7F5B"/>
    <w:rsid w:val="00DF314E"/>
    <w:rsid w:val="00DF370F"/>
    <w:rsid w:val="00E064AD"/>
    <w:rsid w:val="00E10D64"/>
    <w:rsid w:val="00E12E2C"/>
    <w:rsid w:val="00E139AB"/>
    <w:rsid w:val="00E33ABE"/>
    <w:rsid w:val="00E33BF2"/>
    <w:rsid w:val="00E366A6"/>
    <w:rsid w:val="00E44063"/>
    <w:rsid w:val="00E44B12"/>
    <w:rsid w:val="00E46317"/>
    <w:rsid w:val="00E54AF7"/>
    <w:rsid w:val="00E64BB6"/>
    <w:rsid w:val="00E67427"/>
    <w:rsid w:val="00E727F2"/>
    <w:rsid w:val="00E90F84"/>
    <w:rsid w:val="00E9740F"/>
    <w:rsid w:val="00EB43CE"/>
    <w:rsid w:val="00EC7B2B"/>
    <w:rsid w:val="00ED71C4"/>
    <w:rsid w:val="00EE0F17"/>
    <w:rsid w:val="00EE1E4B"/>
    <w:rsid w:val="00EE2413"/>
    <w:rsid w:val="00EE33A6"/>
    <w:rsid w:val="00EE368F"/>
    <w:rsid w:val="00EE76E2"/>
    <w:rsid w:val="00EF7376"/>
    <w:rsid w:val="00F0199F"/>
    <w:rsid w:val="00F05ADF"/>
    <w:rsid w:val="00F16275"/>
    <w:rsid w:val="00F211D9"/>
    <w:rsid w:val="00F239B6"/>
    <w:rsid w:val="00F23DFD"/>
    <w:rsid w:val="00F3005C"/>
    <w:rsid w:val="00F36226"/>
    <w:rsid w:val="00F4202F"/>
    <w:rsid w:val="00F52F35"/>
    <w:rsid w:val="00F67210"/>
    <w:rsid w:val="00F815A3"/>
    <w:rsid w:val="00F821CB"/>
    <w:rsid w:val="00F84AC3"/>
    <w:rsid w:val="00F86F57"/>
    <w:rsid w:val="00F93585"/>
    <w:rsid w:val="00FB5400"/>
    <w:rsid w:val="00FC0888"/>
    <w:rsid w:val="00FC0FE3"/>
    <w:rsid w:val="00FC1310"/>
    <w:rsid w:val="00FC7713"/>
    <w:rsid w:val="00FD065E"/>
    <w:rsid w:val="00FD11E2"/>
    <w:rsid w:val="00FE47F1"/>
    <w:rsid w:val="00FE7ACB"/>
    <w:rsid w:val="00FF2D0F"/>
    <w:rsid w:val="00FF4C50"/>
    <w:rsid w:val="00FF691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0AFE"/>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51</Pages>
  <Words>16885</Words>
  <Characters>96248</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4</cp:revision>
  <dcterms:created xsi:type="dcterms:W3CDTF">2026-07-06T21:56:00Z</dcterms:created>
  <dcterms:modified xsi:type="dcterms:W3CDTF">2026-07-07T18:15:00Z</dcterms:modified>
  <dc:language>en-US</dc:language>
</cp:coreProperties>
</file>