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2292D1" w14:textId="77777777" w:rsidR="00961C7F" w:rsidRDefault="008A042F">
      <w:r>
        <w:rPr>
          <w:noProof/>
        </w:rPr>
        <w:drawing>
          <wp:inline distT="0" distB="0" distL="0" distR="0" wp14:anchorId="7080212A" wp14:editId="7E854DED">
            <wp:extent cx="3969385" cy="659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969385" cy="659765"/>
                    </a:xfrm>
                    <a:prstGeom prst="rect">
                      <a:avLst/>
                    </a:prstGeom>
                    <a:noFill/>
                  </pic:spPr>
                </pic:pic>
              </a:graphicData>
            </a:graphic>
          </wp:inline>
        </w:drawing>
      </w:r>
    </w:p>
    <w:p w14:paraId="3A67310C" w14:textId="77777777" w:rsidR="00961C7F" w:rsidRDefault="00961C7F"/>
    <w:p w14:paraId="23D15A06" w14:textId="77777777" w:rsidR="00961C7F" w:rsidRDefault="00961C7F"/>
    <w:p w14:paraId="317768A7" w14:textId="77777777" w:rsidR="00961C7F" w:rsidRDefault="00961C7F"/>
    <w:p w14:paraId="4CF6ABA7" w14:textId="77777777" w:rsidR="00961C7F" w:rsidRDefault="008A042F">
      <w:pPr>
        <w:jc w:val="center"/>
      </w:pPr>
      <w:r>
        <w:rPr>
          <w:b/>
          <w:sz w:val="44"/>
        </w:rPr>
        <w:t>Restrictiveness and Skill Composition</w:t>
      </w:r>
    </w:p>
    <w:p w14:paraId="2E240F78" w14:textId="77777777" w:rsidR="00961C7F" w:rsidRDefault="008A042F">
      <w:pPr>
        <w:jc w:val="center"/>
      </w:pPr>
      <w:r>
        <w:rPr>
          <w:i/>
          <w:sz w:val="28"/>
        </w:rPr>
        <w:t>How labor-migration policy relates to the high-skilled share of long-term employment-related immigration in European destinations, 2008-2019</w:t>
      </w:r>
    </w:p>
    <w:p w14:paraId="3872345A" w14:textId="77777777" w:rsidR="00961C7F" w:rsidRDefault="00961C7F"/>
    <w:p w14:paraId="104F3EA9" w14:textId="77777777" w:rsidR="00961C7F" w:rsidRDefault="00961C7F"/>
    <w:p w14:paraId="4B238454" w14:textId="77777777" w:rsidR="00961C7F" w:rsidRDefault="00961C7F"/>
    <w:p w14:paraId="2C98676E" w14:textId="77777777" w:rsidR="00961C7F" w:rsidRDefault="00961C7F"/>
    <w:p w14:paraId="6DC4A36D" w14:textId="77777777" w:rsidR="00961C7F" w:rsidRDefault="00961C7F"/>
    <w:p w14:paraId="2BBE7CD8" w14:textId="77777777" w:rsidR="00961C7F" w:rsidRDefault="008A042F">
      <w:pPr>
        <w:jc w:val="center"/>
      </w:pPr>
      <w:r>
        <w:rPr>
          <w:sz w:val="23"/>
        </w:rPr>
        <w:t>Toprak Yetimoglu</w:t>
      </w:r>
      <w:r>
        <w:rPr>
          <w:sz w:val="23"/>
        </w:rPr>
        <w:br/>
        <w:t>Student number: 13723898</w:t>
      </w:r>
      <w:r>
        <w:rPr>
          <w:sz w:val="23"/>
        </w:rPr>
        <w:br/>
        <w:t>toprak.yetimoglu@student.uva.nl</w:t>
      </w:r>
    </w:p>
    <w:p w14:paraId="45C821B1" w14:textId="77777777" w:rsidR="00961C7F" w:rsidRDefault="00961C7F"/>
    <w:p w14:paraId="29C1581F" w14:textId="77777777" w:rsidR="00961C7F" w:rsidRDefault="00961C7F"/>
    <w:p w14:paraId="795E6869" w14:textId="77777777" w:rsidR="00961C7F" w:rsidRDefault="008A042F">
      <w:pPr>
        <w:jc w:val="center"/>
      </w:pPr>
      <w:r>
        <w:t>MSc Thesis - Economics, International Finance and Trade</w:t>
      </w:r>
      <w:r>
        <w:br/>
        <w:t>Amsterdam School of Economics, University of Amsterdam</w:t>
      </w:r>
      <w:r>
        <w:br/>
        <w:t xml:space="preserve">Supervisor: Naomi </w:t>
      </w:r>
      <w:proofErr w:type="spellStart"/>
      <w:r>
        <w:t>Leefmans</w:t>
      </w:r>
      <w:proofErr w:type="spellEnd"/>
      <w:r>
        <w:br/>
      </w:r>
      <w:r w:rsidR="00A65EA8">
        <w:t>June</w:t>
      </w:r>
      <w:r>
        <w:t xml:space="preserve"> 2026</w:t>
      </w:r>
    </w:p>
    <w:p w14:paraId="35D88B77" w14:textId="77777777" w:rsidR="00961C7F" w:rsidRDefault="008A042F">
      <w:pPr>
        <w:pStyle w:val="Heading1"/>
        <w:pageBreakBefore/>
        <w:jc w:val="center"/>
      </w:pPr>
      <w:r>
        <w:lastRenderedPageBreak/>
        <w:t>STATEMENT OF ORIGINALITY</w:t>
      </w:r>
    </w:p>
    <w:p w14:paraId="4F6B2FB8" w14:textId="77777777" w:rsidR="00961C7F" w:rsidRDefault="008A042F">
      <w:pPr>
        <w:jc w:val="both"/>
      </w:pPr>
      <w:r>
        <w:t>This document is written by Student Toprak Yetimoglu who declares to take full responsibility for the contents of this document.</w:t>
      </w:r>
    </w:p>
    <w:p w14:paraId="5E12775D" w14:textId="77777777" w:rsidR="008F026E" w:rsidRDefault="00000000">
      <w:pPr>
        <w:jc w:val="both"/>
      </w:pPr>
      <w:r>
        <w:t>I declare that the text and the work presented in this document are original and that no sources other than those mentioned in the text and its references have been used in creating it.</w:t>
      </w:r>
    </w:p>
    <w:p w14:paraId="057A1C9B" w14:textId="77777777" w:rsidR="00110134" w:rsidRDefault="00110134">
      <w:pPr>
        <w:jc w:val="both"/>
      </w:pPr>
      <w:r w:rsidRPr="00110134">
        <w:t>Claude Code (Anthropic 2026) and Codex (OpenAI 2026) were used as AI-assisted coding agents during the construction of the replication pipeline</w:t>
      </w:r>
      <w:r>
        <w:t xml:space="preserve"> and</w:t>
      </w:r>
      <w:r w:rsidRPr="00110134">
        <w:t xml:space="preserve"> the audit of regression outputs. The author is responsible for all design choices, regression specifications, results, and interpretations.</w:t>
      </w:r>
    </w:p>
    <w:p w14:paraId="38A8166A" w14:textId="77777777" w:rsidR="00961C7F" w:rsidRDefault="008A042F">
      <w:pPr>
        <w:jc w:val="both"/>
      </w:pPr>
      <w:r>
        <w:t>The Faculty of Economics and Business of the University of Amsterdam is responsible solely for the supervision of completion of the work, not for the contents.</w:t>
      </w:r>
    </w:p>
    <w:p w14:paraId="2370AB83" w14:textId="77777777" w:rsidR="00961C7F" w:rsidRDefault="008A042F">
      <w:r>
        <w:br w:type="page"/>
      </w:r>
    </w:p>
    <w:p w14:paraId="3470939D" w14:textId="77777777" w:rsidR="0013305C" w:rsidRPr="00924A14" w:rsidRDefault="0013305C" w:rsidP="0013305C">
      <w:pPr>
        <w:pStyle w:val="Heading1"/>
        <w:jc w:val="both"/>
        <w:rPr>
          <w:rFonts w:cstheme="majorHAnsi"/>
          <w:szCs w:val="34"/>
        </w:rPr>
      </w:pPr>
      <w:r w:rsidRPr="00924A14">
        <w:rPr>
          <w:rFonts w:cstheme="majorHAnsi"/>
          <w:szCs w:val="34"/>
        </w:rPr>
        <w:lastRenderedPageBreak/>
        <w:t>Abstract</w:t>
      </w:r>
    </w:p>
    <w:p w14:paraId="5DDBAB66" w14:textId="77777777" w:rsidR="0013305C" w:rsidRPr="0013305C" w:rsidRDefault="0013305C" w:rsidP="00924A1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thesis asks whether labor-migration restrictiveness is associated with the skill composition of legal employment-related inflows, rather than only their volume. The argument is that restrictive all-migrant-worker reforms can filter lower-skilled candidates at the margin. This is because lower-skilled candidates rely more heavily on the general work-permit channel, while high-skilled candidates may still enter through dedicated routes. The prediction is therefore compositional: the high-skilled share may rise even if the absolute number of high-skilled permits does not.</w:t>
      </w:r>
    </w:p>
    <w:p w14:paraId="4F4B5F31" w14:textId="77777777" w:rsidR="0013305C" w:rsidRPr="001C71E0" w:rsidRDefault="0013305C"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Eurostat first-residence-permit statistics with the DEMIG-QuantMig Migration Policy Database, the thesis studies 30 European destinations over 2008-2019. The baseline excludes 2020 because the worldwide COVID-19 pandemic made permit issuance, labor demand, and cross-border mobility exceptional; an otherwise identical 2008-2020 model is reported as a robustness check. The design separates general all-migrant-worker reforms from skill-targeted reforms and compares aggregate models with a denominator-weighted bilateral model using destination and origin-year fixed effects.</w:t>
      </w:r>
    </w:p>
    <w:p w14:paraId="198FAD4D" w14:textId="77777777" w:rsidR="0013305C" w:rsidRPr="001C71E0" w:rsidRDefault="0013305C" w:rsidP="00924A14">
      <w:pPr>
        <w:pStyle w:val="NormalWeb"/>
        <w:suppressAutoHyphens/>
        <w:spacing w:line="360" w:lineRule="auto"/>
        <w:jc w:val="both"/>
        <w:rPr>
          <w:rFonts w:asciiTheme="minorHAnsi" w:hAnsiTheme="minorHAnsi"/>
          <w:sz w:val="22"/>
          <w:szCs w:val="22"/>
        </w:rPr>
      </w:pPr>
      <w:r>
        <w:t>The aggregate model is insignificant. In the preferred bilateral model, a one-unit increase in lagged cumulative net restrictiveness is associated with a 0.65-percentage-point higher skill ratio (β = 0.006516, p &lt; 0.001, N = 5,608; bootstrap p = 0.007). Reintroducing 2020 leaves the estimate positive and significant (β = 0.005446, p = 0.004; bootstrap p = 0.024). PPML finds a positive high-skilled permit-count association (β = 0.045536, p = 0.002) but no significant total-count change. The work-visa-only estimate is larger (β = 0.008190, p &lt; 0.001). These are conditional associations, not causal effects of a dedicated high-skill route.</w:t>
      </w:r>
    </w:p>
    <w:p w14:paraId="37F815ED" w14:textId="77777777" w:rsidR="00961C7F" w:rsidRDefault="008A042F">
      <w:pPr>
        <w:pStyle w:val="Heading1"/>
        <w:pageBreakBefore/>
        <w:spacing w:before="0"/>
      </w:pPr>
      <w:r>
        <w:lastRenderedPageBreak/>
        <w:t>Table of Contents</w:t>
      </w:r>
    </w:p>
    <w:p w14:paraId="436DEC5B" w14:textId="77777777" w:rsidR="00961C7F" w:rsidRDefault="008A042F">
      <w:pPr>
        <w:tabs>
          <w:tab w:val="right" w:leader="dot" w:pos="9360"/>
        </w:tabs>
      </w:pPr>
      <w:r>
        <w:t>1. Introduction</w:t>
      </w:r>
      <w:r>
        <w:tab/>
        <w:t>6</w:t>
      </w:r>
    </w:p>
    <w:p w14:paraId="6B112EEE" w14:textId="77777777" w:rsidR="00961C7F" w:rsidRDefault="008A042F">
      <w:pPr>
        <w:tabs>
          <w:tab w:val="right" w:leader="dot" w:pos="9360"/>
        </w:tabs>
      </w:pPr>
      <w:r>
        <w:t>2. Literature Review</w:t>
      </w:r>
      <w:r>
        <w:tab/>
        <w:t>7</w:t>
      </w:r>
    </w:p>
    <w:p w14:paraId="0D42526E" w14:textId="77777777" w:rsidR="00961C7F" w:rsidRDefault="008A042F">
      <w:pPr>
        <w:tabs>
          <w:tab w:val="right" w:leader="dot" w:pos="9360"/>
        </w:tabs>
        <w:ind w:left="420"/>
      </w:pPr>
      <w:r>
        <w:t>2.1 Self-selection and the Roy model</w:t>
      </w:r>
      <w:r>
        <w:tab/>
        <w:t>7</w:t>
      </w:r>
    </w:p>
    <w:p w14:paraId="44610414" w14:textId="77777777" w:rsidR="00961C7F" w:rsidRDefault="008A042F">
      <w:pPr>
        <w:tabs>
          <w:tab w:val="right" w:leader="dot" w:pos="9360"/>
        </w:tabs>
        <w:ind w:left="420"/>
      </w:pPr>
      <w:r>
        <w:t>2.2 Policy effectiveness and channel substitution</w:t>
      </w:r>
      <w:r>
        <w:tab/>
        <w:t>8</w:t>
      </w:r>
    </w:p>
    <w:p w14:paraId="58E63CFE" w14:textId="77777777" w:rsidR="00961C7F" w:rsidRDefault="008A042F">
      <w:pPr>
        <w:tabs>
          <w:tab w:val="right" w:leader="dot" w:pos="9360"/>
        </w:tabs>
        <w:ind w:left="420"/>
      </w:pPr>
      <w:r>
        <w:t>2.3 Skill-selective policy design and instrument heterogeneity</w:t>
      </w:r>
      <w:r>
        <w:tab/>
        <w:t>8</w:t>
      </w:r>
    </w:p>
    <w:p w14:paraId="13BED24A" w14:textId="77777777" w:rsidR="00961C7F" w:rsidRDefault="008A042F">
      <w:pPr>
        <w:tabs>
          <w:tab w:val="right" w:leader="dot" w:pos="9360"/>
        </w:tabs>
        <w:ind w:left="420"/>
      </w:pPr>
      <w:r>
        <w:t>2.4 Positioning relative to previous methods</w:t>
      </w:r>
      <w:r>
        <w:tab/>
        <w:t>10</w:t>
      </w:r>
    </w:p>
    <w:p w14:paraId="1A961795" w14:textId="77777777" w:rsidR="00961C7F" w:rsidRDefault="008A042F">
      <w:pPr>
        <w:tabs>
          <w:tab w:val="right" w:leader="dot" w:pos="9360"/>
        </w:tabs>
        <w:ind w:left="420"/>
      </w:pPr>
      <w:r>
        <w:t>2.5 Measurement of migration policy</w:t>
      </w:r>
      <w:r>
        <w:tab/>
        <w:t>10</w:t>
      </w:r>
    </w:p>
    <w:p w14:paraId="0B137989" w14:textId="77777777" w:rsidR="00961C7F" w:rsidRDefault="008A042F">
      <w:pPr>
        <w:tabs>
          <w:tab w:val="right" w:leader="dot" w:pos="9360"/>
        </w:tabs>
        <w:ind w:left="420"/>
      </w:pPr>
      <w:r>
        <w:t>2.6 The gap addressed by this thesis</w:t>
      </w:r>
      <w:r>
        <w:tab/>
        <w:t>11</w:t>
      </w:r>
    </w:p>
    <w:p w14:paraId="052A3E69" w14:textId="77777777" w:rsidR="00961C7F" w:rsidRDefault="008A042F">
      <w:pPr>
        <w:tabs>
          <w:tab w:val="right" w:leader="dot" w:pos="9360"/>
        </w:tabs>
      </w:pPr>
      <w:r>
        <w:t>3. Theoretical Framework</w:t>
      </w:r>
      <w:r>
        <w:tab/>
        <w:t>12</w:t>
      </w:r>
    </w:p>
    <w:p w14:paraId="40A8FA1E" w14:textId="77777777" w:rsidR="00961C7F" w:rsidRDefault="008A042F">
      <w:pPr>
        <w:tabs>
          <w:tab w:val="right" w:leader="dot" w:pos="9360"/>
        </w:tabs>
      </w:pPr>
      <w:r>
        <w:t>4. Institutional Background</w:t>
      </w:r>
      <w:r>
        <w:tab/>
        <w:t>13</w:t>
      </w:r>
    </w:p>
    <w:p w14:paraId="2D901EAD" w14:textId="77777777" w:rsidR="00961C7F" w:rsidRDefault="008A042F">
      <w:pPr>
        <w:tabs>
          <w:tab w:val="right" w:leader="dot" w:pos="9360"/>
        </w:tabs>
      </w:pPr>
      <w:r>
        <w:t>5. Empirical Strategy</w:t>
      </w:r>
      <w:r>
        <w:tab/>
        <w:t>14</w:t>
      </w:r>
    </w:p>
    <w:p w14:paraId="0CF59B28" w14:textId="77777777" w:rsidR="00961C7F" w:rsidRDefault="008A042F">
      <w:pPr>
        <w:tabs>
          <w:tab w:val="right" w:leader="dot" w:pos="9360"/>
        </w:tabs>
        <w:ind w:left="420"/>
      </w:pPr>
      <w:r>
        <w:t>5.1 Variable construction</w:t>
      </w:r>
      <w:r>
        <w:tab/>
        <w:t>14</w:t>
      </w:r>
    </w:p>
    <w:p w14:paraId="454E0BDF" w14:textId="77777777" w:rsidR="00961C7F" w:rsidRDefault="008A042F">
      <w:pPr>
        <w:tabs>
          <w:tab w:val="right" w:leader="dot" w:pos="9360"/>
        </w:tabs>
        <w:ind w:left="420"/>
      </w:pPr>
      <w:r>
        <w:t>5.2 Regression specifications</w:t>
      </w:r>
      <w:r>
        <w:tab/>
        <w:t>15</w:t>
      </w:r>
    </w:p>
    <w:p w14:paraId="5E2A48A5" w14:textId="77777777" w:rsidR="00961C7F" w:rsidRDefault="008A042F">
      <w:pPr>
        <w:tabs>
          <w:tab w:val="right" w:leader="dot" w:pos="9360"/>
        </w:tabs>
        <w:ind w:left="420"/>
      </w:pPr>
      <w:r>
        <w:t>5.3 Identification and inference</w:t>
      </w:r>
      <w:r>
        <w:tab/>
        <w:t>19</w:t>
      </w:r>
    </w:p>
    <w:p w14:paraId="1731CB98" w14:textId="77777777" w:rsidR="00961C7F" w:rsidRDefault="008A042F">
      <w:pPr>
        <w:tabs>
          <w:tab w:val="right" w:leader="dot" w:pos="9360"/>
        </w:tabs>
      </w:pPr>
      <w:r>
        <w:t>6. Data</w:t>
      </w:r>
      <w:r>
        <w:tab/>
        <w:t>20</w:t>
      </w:r>
    </w:p>
    <w:p w14:paraId="6C5C3E0A" w14:textId="77777777" w:rsidR="00961C7F" w:rsidRDefault="008A042F">
      <w:pPr>
        <w:tabs>
          <w:tab w:val="right" w:leader="dot" w:pos="9360"/>
        </w:tabs>
        <w:ind w:left="420"/>
      </w:pPr>
      <w:r>
        <w:t>6.1 Outcome data: Eurostat residence-permit statistics</w:t>
      </w:r>
      <w:r>
        <w:tab/>
        <w:t>20</w:t>
      </w:r>
    </w:p>
    <w:p w14:paraId="29C4EBD6" w14:textId="77777777" w:rsidR="00961C7F" w:rsidRDefault="008A042F">
      <w:pPr>
        <w:tabs>
          <w:tab w:val="right" w:leader="dot" w:pos="9360"/>
        </w:tabs>
        <w:ind w:left="420"/>
      </w:pPr>
      <w:r>
        <w:t>6.2 Policy regressor: DEMIG-QuantMig</w:t>
      </w:r>
      <w:r>
        <w:tab/>
        <w:t>22</w:t>
      </w:r>
    </w:p>
    <w:p w14:paraId="0298414B" w14:textId="77777777" w:rsidR="00961C7F" w:rsidRDefault="008A042F">
      <w:pPr>
        <w:tabs>
          <w:tab w:val="right" w:leader="dot" w:pos="9360"/>
        </w:tabs>
        <w:ind w:left="420"/>
      </w:pPr>
      <w:r>
        <w:t>6.3 Controls and sample construction</w:t>
      </w:r>
      <w:r>
        <w:tab/>
        <w:t>26</w:t>
      </w:r>
    </w:p>
    <w:p w14:paraId="260D97D7" w14:textId="77777777" w:rsidR="00961C7F" w:rsidRDefault="008A042F">
      <w:pPr>
        <w:tabs>
          <w:tab w:val="right" w:leader="dot" w:pos="9360"/>
        </w:tabs>
      </w:pPr>
      <w:r>
        <w:t>7. Results</w:t>
      </w:r>
      <w:r>
        <w:tab/>
        <w:t>30</w:t>
      </w:r>
    </w:p>
    <w:p w14:paraId="7286D26B" w14:textId="77777777" w:rsidR="00961C7F" w:rsidRDefault="008A042F">
      <w:pPr>
        <w:tabs>
          <w:tab w:val="right" w:leader="dot" w:pos="9360"/>
        </w:tabs>
        <w:ind w:left="420"/>
      </w:pPr>
      <w:r>
        <w:t>7.1 Aggregate country-year results</w:t>
      </w:r>
      <w:r>
        <w:tab/>
        <w:t>30</w:t>
      </w:r>
    </w:p>
    <w:p w14:paraId="3943565F" w14:textId="77777777" w:rsidR="00961C7F" w:rsidRDefault="008A042F">
      <w:pPr>
        <w:tabs>
          <w:tab w:val="right" w:leader="dot" w:pos="9360"/>
        </w:tabs>
        <w:ind w:left="420"/>
      </w:pPr>
      <w:r>
        <w:t>7.2 Preferred bilateral origin-year fixed-effects result</w:t>
      </w:r>
      <w:r>
        <w:tab/>
        <w:t>31</w:t>
      </w:r>
    </w:p>
    <w:p w14:paraId="67554BF5" w14:textId="77777777" w:rsidR="00961C7F" w:rsidRDefault="008A042F">
      <w:pPr>
        <w:tabs>
          <w:tab w:val="right" w:leader="dot" w:pos="9360"/>
        </w:tabs>
        <w:ind w:left="420"/>
      </w:pPr>
      <w:r>
        <w:t>7.3 Interpretation of the significant and non-significant findings</w:t>
      </w:r>
      <w:r>
        <w:tab/>
        <w:t>33</w:t>
      </w:r>
    </w:p>
    <w:p w14:paraId="4E4FE0DA" w14:textId="77777777" w:rsidR="00961C7F" w:rsidRDefault="008A042F">
      <w:pPr>
        <w:tabs>
          <w:tab w:val="right" w:leader="dot" w:pos="9360"/>
        </w:tabs>
      </w:pPr>
      <w:r>
        <w:t>8. Robustness, Sensitivity, and Diagnostic Checks</w:t>
      </w:r>
      <w:r>
        <w:tab/>
        <w:t>35</w:t>
      </w:r>
    </w:p>
    <w:p w14:paraId="6971E5C8" w14:textId="77777777" w:rsidR="00961C7F" w:rsidRDefault="008A042F">
      <w:pPr>
        <w:tabs>
          <w:tab w:val="right" w:leader="dot" w:pos="9360"/>
        </w:tabs>
      </w:pPr>
      <w:r>
        <w:t>9. Discussion and Limitations</w:t>
      </w:r>
      <w:r>
        <w:tab/>
        <w:t>44</w:t>
      </w:r>
    </w:p>
    <w:p w14:paraId="51891AA6" w14:textId="77777777" w:rsidR="00961C7F" w:rsidRDefault="008A042F">
      <w:pPr>
        <w:tabs>
          <w:tab w:val="right" w:leader="dot" w:pos="9360"/>
        </w:tabs>
      </w:pPr>
      <w:r>
        <w:lastRenderedPageBreak/>
        <w:t>10. Policy Implications</w:t>
      </w:r>
      <w:r>
        <w:tab/>
        <w:t>46</w:t>
      </w:r>
    </w:p>
    <w:p w14:paraId="13D028DA" w14:textId="77777777" w:rsidR="00961C7F" w:rsidRDefault="008A042F">
      <w:pPr>
        <w:tabs>
          <w:tab w:val="right" w:leader="dot" w:pos="9360"/>
        </w:tabs>
      </w:pPr>
      <w:r>
        <w:t>11. Conclusion</w:t>
      </w:r>
      <w:r>
        <w:tab/>
        <w:t>47</w:t>
      </w:r>
    </w:p>
    <w:p w14:paraId="33BBDECE" w14:textId="77777777" w:rsidR="00961C7F" w:rsidRDefault="00446F2F">
      <w:pPr>
        <w:tabs>
          <w:tab w:val="right" w:leader="dot" w:pos="9360"/>
        </w:tabs>
      </w:pPr>
      <w:r>
        <w:t>12. References</w:t>
      </w:r>
      <w:r>
        <w:tab/>
        <w:t>49</w:t>
      </w:r>
    </w:p>
    <w:p w14:paraId="495F53BC" w14:textId="77777777" w:rsidR="00B15532" w:rsidRDefault="00446F2F" w:rsidP="00C91710">
      <w:pPr>
        <w:tabs>
          <w:tab w:val="right" w:leader="dot" w:pos="9360"/>
        </w:tabs>
      </w:pPr>
      <w:r>
        <w:t>13. Appendix A. Full regression output</w:t>
      </w:r>
      <w:r>
        <w:tab/>
        <w:t>52</w:t>
      </w:r>
    </w:p>
    <w:p w14:paraId="691C3766" w14:textId="77777777" w:rsidR="00C91710" w:rsidRDefault="00C91710">
      <w:pPr>
        <w:pStyle w:val="Heading1"/>
        <w:spacing w:before="0"/>
      </w:pPr>
    </w:p>
    <w:p w14:paraId="7A8637AA" w14:textId="77777777" w:rsidR="00961C7F" w:rsidRDefault="008A042F">
      <w:pPr>
        <w:pStyle w:val="Heading1"/>
        <w:spacing w:before="0"/>
      </w:pPr>
      <w:r>
        <w:t>List of Tables</w:t>
      </w:r>
    </w:p>
    <w:p w14:paraId="0A127F61" w14:textId="77777777" w:rsidR="00961C7F" w:rsidRDefault="008A042F">
      <w:pPr>
        <w:tabs>
          <w:tab w:val="right" w:leader="dot" w:pos="9360"/>
        </w:tabs>
      </w:pPr>
      <w:r>
        <w:t>Table 1. Construction of the cumulative net policy-change measure, step by step. 24</w:t>
      </w:r>
    </w:p>
    <w:p w14:paraId="02AD6111" w14:textId="77777777" w:rsidR="00961C7F" w:rsidRDefault="008A042F">
      <w:pPr>
        <w:tabs>
          <w:tab w:val="right" w:leader="dot" w:pos="9360"/>
        </w:tabs>
      </w:pPr>
      <w:r>
        <w:t>Table 2. Policy event counts under three target-group definitions, target origin All foreign nationalities, 2007-2019. 24</w:t>
      </w:r>
    </w:p>
    <w:p w14:paraId="50717ED3" w14:textId="77777777" w:rsidR="00961C7F" w:rsidRDefault="008A042F">
      <w:pPr>
        <w:tabs>
          <w:tab w:val="right" w:leader="dot" w:pos="9360"/>
        </w:tabs>
      </w:pPr>
      <w:r>
        <w:t>Table 3. Preferred all-migrant-worker cumulative policy measure by policy tool, target origin All foreign nationalities. 25</w:t>
      </w:r>
    </w:p>
    <w:p w14:paraId="2D1B4098" w14:textId="77777777" w:rsidR="00961C7F" w:rsidRDefault="008A042F">
      <w:pPr>
        <w:tabs>
          <w:tab w:val="right" w:leader="dot" w:pos="9360"/>
        </w:tabs>
      </w:pPr>
      <w:r>
        <w:t>Table 4. Variable definitions for the regression specifications. 26</w:t>
      </w:r>
    </w:p>
    <w:p w14:paraId="0989CCD5" w14:textId="77777777" w:rsidR="00961C7F" w:rsidRDefault="008A042F">
      <w:pPr>
        <w:tabs>
          <w:tab w:val="right" w:leader="dot" w:pos="9360"/>
        </w:tabs>
      </w:pPr>
      <w:r>
        <w:t>Table 5. Descriptive statistics for core HSRate regression samples. 28</w:t>
      </w:r>
    </w:p>
    <w:p w14:paraId="0683B10B" w14:textId="77777777" w:rsidR="00961C7F" w:rsidRDefault="008A042F">
      <w:pPr>
        <w:tabs>
          <w:tab w:val="right" w:leader="dot" w:pos="9360"/>
        </w:tabs>
      </w:pPr>
      <w:r>
        <w:t>Table 6. Aggregate country-year regression results. 30</w:t>
      </w:r>
    </w:p>
    <w:p w14:paraId="052BA62D" w14:textId="77777777" w:rsidR="00B15532" w:rsidRDefault="008A042F" w:rsidP="00B15532">
      <w:pPr>
        <w:tabs>
          <w:tab w:val="right" w:leader="dot" w:pos="9360"/>
        </w:tabs>
      </w:pPr>
      <w:r>
        <w:t>Table 7. Preferred bilateral specification and comparison models. 32</w:t>
      </w:r>
    </w:p>
    <w:p w14:paraId="7692C225" w14:textId="77777777" w:rsidR="00B15532" w:rsidRDefault="00B15532" w:rsidP="00B15532">
      <w:pPr>
        <w:tabs>
          <w:tab w:val="right" w:leader="dot" w:pos="9360"/>
        </w:tabs>
      </w:pPr>
      <w:r>
        <w:t>Table 8. PPML estimates for bilateral permit-count outcomes. 34</w:t>
      </w:r>
    </w:p>
    <w:p w14:paraId="772EEF50" w14:textId="77777777" w:rsidR="00B15532" w:rsidRDefault="00B15532" w:rsidP="00B15532">
      <w:pPr>
        <w:tabs>
          <w:tab w:val="right" w:leader="dot" w:pos="9360"/>
        </w:tabs>
      </w:pPr>
      <w:r>
        <w:t>Table 9. Robustness, sensitivity, and diagnostic checks. 35</w:t>
      </w:r>
    </w:p>
    <w:p w14:paraId="5E9FC33A" w14:textId="77777777" w:rsidR="00961C7F" w:rsidRDefault="008A042F">
      <w:pPr>
        <w:pStyle w:val="Heading1"/>
      </w:pPr>
      <w:r>
        <w:t>List of Graphs</w:t>
      </w:r>
    </w:p>
    <w:p w14:paraId="321168F4" w14:textId="77777777" w:rsidR="00961C7F" w:rsidRDefault="008A042F">
      <w:pPr>
        <w:tabs>
          <w:tab w:val="right" w:leader="dot" w:pos="9360"/>
        </w:tabs>
      </w:pPr>
      <w:r>
        <w:t>Graph 1. Descriptive relationship between cumulative net policy-change score and HSRate within 2008-2019. 29</w:t>
      </w:r>
    </w:p>
    <w:p w14:paraId="60F42D28" w14:textId="77777777" w:rsidR="008F026E" w:rsidRDefault="00000000">
      <w:pPr>
        <w:tabs>
          <w:tab w:val="right" w:leader="dot" w:pos="9360"/>
        </w:tabs>
      </w:pPr>
      <w:r>
        <w:t>Graph 2. Coefficient estimates across main, robustness, and placebo specifications. 41</w:t>
      </w:r>
    </w:p>
    <w:p w14:paraId="1275538A" w14:textId="77777777" w:rsidR="00961C7F" w:rsidRDefault="008A042F">
      <w:pPr>
        <w:tabs>
          <w:tab w:val="right" w:leader="dot" w:pos="9360"/>
        </w:tabs>
      </w:pPr>
      <w:r>
        <w:t>Graph 3. EU labor-migration directives in the panel window. 42</w:t>
      </w:r>
    </w:p>
    <w:p w14:paraId="3A12A036" w14:textId="77777777" w:rsidR="00961C7F" w:rsidRDefault="008A042F">
      <w:pPr>
        <w:tabs>
          <w:tab w:val="right" w:leader="dot" w:pos="9360"/>
        </w:tabs>
      </w:pPr>
      <w:r>
        <w:t>Graph 4. Tool-specific estimates for policy tools with at least three retained events. 43</w:t>
      </w:r>
    </w:p>
    <w:p w14:paraId="7799119A" w14:textId="77777777" w:rsidR="00961C7F" w:rsidRDefault="008A042F">
      <w:r>
        <w:br w:type="page"/>
      </w:r>
    </w:p>
    <w:p w14:paraId="464546EB" w14:textId="77777777" w:rsidR="00961C7F" w:rsidRDefault="008A042F">
      <w:pPr>
        <w:pStyle w:val="Heading1"/>
        <w:spacing w:before="0"/>
      </w:pPr>
      <w:r>
        <w:lastRenderedPageBreak/>
        <w:t>1. Introduction</w:t>
      </w:r>
    </w:p>
    <w:p w14:paraId="6ABE7684" w14:textId="77777777" w:rsidR="002467CE" w:rsidRPr="002751DF" w:rsidRDefault="002467CE"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Over the past two decades, most European countries have redesigned their legal-entry rules for non-EU workers to become more selective. The reforms range from salary-threshold changes and national implementation around the EU Blue Card to points-based routes in the Netherlands, employer-driven work-permit reform in Sweden, the German Skilled Immigration Act, and the French Talent Passport. They share a common concern: advanced economies increasingly rely on high-skilled migrants. The OECD's International Migration Outlook 2024 records a historic high in permanent-type immigration to the OECD area in 2023, alongside widespread labor shortages and the onset of population ageing (OECD 2024).</w:t>
      </w:r>
    </w:p>
    <w:p w14:paraId="27D59B4B" w14:textId="77777777" w:rsidR="002467CE" w:rsidRPr="002751DF" w:rsidRDefault="00000000"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High-skilled immigration can support innovation, productivity, and public finances. It is especially relevant as European labor markets face persistent shortages.</w:t>
      </w:r>
      <w:r w:rsidR="00AE50C2">
        <w:rPr>
          <w:rFonts w:asciiTheme="minorHAnsi" w:hAnsiTheme="minorHAnsi"/>
          <w:sz w:val="22"/>
          <w:szCs w:val="22"/>
        </w:rPr>
        <w:t xml:space="preserve"> </w:t>
      </w:r>
      <w:r w:rsidR="002467CE" w:rsidRPr="002751DF">
        <w:rPr>
          <w:rFonts w:asciiTheme="minorHAnsi" w:hAnsiTheme="minorHAnsi"/>
          <w:sz w:val="22"/>
          <w:szCs w:val="22"/>
        </w:rPr>
        <w:t xml:space="preserve">Against this background, the central concern of this thesis is whether </w:t>
      </w:r>
      <w:r w:rsidR="00797718" w:rsidRPr="002751DF">
        <w:rPr>
          <w:rFonts w:asciiTheme="minorHAnsi" w:hAnsiTheme="minorHAnsi"/>
          <w:sz w:val="22"/>
          <w:szCs w:val="22"/>
        </w:rPr>
        <w:t>labor</w:t>
      </w:r>
      <w:r w:rsidR="002467CE" w:rsidRPr="002751DF">
        <w:rPr>
          <w:rFonts w:asciiTheme="minorHAnsi" w:hAnsiTheme="minorHAnsi"/>
          <w:sz w:val="22"/>
          <w:szCs w:val="22"/>
        </w:rPr>
        <w:t>-migration restrictiveness is associated with the skill composition of legal employment-related entry. The research question is therefore:</w:t>
      </w:r>
    </w:p>
    <w:p w14:paraId="48B350F5" w14:textId="77777777" w:rsidR="002467CE" w:rsidRPr="008B7D16" w:rsidRDefault="002467CE" w:rsidP="00924A14">
      <w:pPr>
        <w:pStyle w:val="NormalWeb"/>
        <w:suppressAutoHyphens/>
        <w:spacing w:line="360" w:lineRule="auto"/>
        <w:jc w:val="both"/>
        <w:rPr>
          <w:rFonts w:asciiTheme="minorHAnsi" w:hAnsiTheme="minorHAnsi"/>
          <w:i/>
          <w:iCs/>
          <w:sz w:val="22"/>
          <w:szCs w:val="22"/>
        </w:rPr>
      </w:pPr>
      <w:r>
        <w:rPr>
          <w:rFonts w:asciiTheme="minorHAnsi" w:hAnsiTheme="minorHAnsi"/>
          <w:i/>
          <w:iCs/>
          <w:sz w:val="22"/>
          <w:szCs w:val="22"/>
        </w:rPr>
        <w:t>How is labor-migration policy restrictiveness associated with the high-skilled share of employment-related first residence permits in European destination countries between 2008 and 2019?</w:t>
      </w:r>
    </w:p>
    <w:p w14:paraId="22359023" w14:textId="77777777" w:rsidR="002467CE" w:rsidRPr="008B7D16"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question is not whether restrictive policy reduces the number of incoming workers but how it changes the skill composition of the permit pool. The empirical strategy combines two harmonized annual datasets: Eurostat first residence permits issued for remunerated activities, broken down by reason, duration, citizenship, destination, and year, restricted to permits valid for at least twelve months; and the DEMIG-QuantMig Migration Policy Database (Schreier, Skrabal and Czaika 2023) for the policy regressor.</w:t>
      </w:r>
    </w:p>
    <w:p w14:paraId="7BE74CFA" w14:textId="77777777" w:rsidR="002467CE" w:rsidRPr="002751DF"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analysis proceeds in two stages: an aggregate destination-year fixed-effects benchmark with destination-clustered standard errors, and the preferred bilateral origin-destination-year model with destination and origin-year fixed effects, weighted by the employment-permit denominator used to calculate the high-skilled share.</w:t>
      </w:r>
    </w:p>
    <w:p w14:paraId="738110D9" w14:textId="77777777" w:rsidR="002467CE" w:rsidRPr="001C71E0"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central argument is compositional: general labor-migration restrictions may reduce lower-skilled entry more than high-skilled entry when high-skilled candidates can use dedicated routes. The predicted result is a higher high-skilled share among employment-related first permits, without a necessary increase in total permit volume. The thesis tests this prediction in aggregate and bilateral 2008-2019 panels and then reintroduces 2020 as a pandemic-year robustness check.</w:t>
      </w:r>
    </w:p>
    <w:p w14:paraId="3970429A"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lastRenderedPageBreak/>
        <w:t>The aggregate model serves as a benchmark. The bilateral model is preferred because it absorbs origin-year pressures. The later robustness checks show where that association holds and where it weakens.</w:t>
      </w:r>
    </w:p>
    <w:p w14:paraId="22B7EBD5"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remainder of the thesis is organized as follows. Section 2 reviews the literature on migrant self-selection, policy effectiveness, and skill-selective policy design, with particular attention to instrument heterogeneity. Section 3 develops the theoretical framework using the Roy model and migration gravity with multilateral resistance. Section 4 outlines the institutional background of European labor-migration policy. Section 5 specifies the empirical strategy, and Section 6 describes the data. Section 7 reports the results, Section 8 presents the robustness and diagnostic checks, and Section 9 discusses what the estimates can and cannot support. Section 10 draws out the policy implications, and Section 11 concludes.</w:t>
      </w:r>
    </w:p>
    <w:p w14:paraId="04DF14B6" w14:textId="77777777" w:rsidR="00961C7F" w:rsidRDefault="008A042F">
      <w:pPr>
        <w:pStyle w:val="Heading1"/>
        <w:jc w:val="both"/>
      </w:pPr>
      <w:r>
        <w:t>2. Literature Review</w:t>
      </w:r>
    </w:p>
    <w:p w14:paraId="7D2A44C8" w14:textId="77777777" w:rsidR="00961C7F" w:rsidRDefault="008A042F" w:rsidP="00CE7FC0">
      <w:pPr>
        <w:pStyle w:val="Heading2"/>
        <w:jc w:val="both"/>
      </w:pPr>
      <w:r>
        <w:t>2.1 Self-selection and the Roy model</w:t>
      </w:r>
    </w:p>
    <w:p w14:paraId="599DB579" w14:textId="77777777" w:rsidR="000E7EDD" w:rsidRPr="000E7EDD" w:rsidRDefault="000E7EDD" w:rsidP="00E064AD">
      <w:pPr>
        <w:pStyle w:val="isselectedend"/>
        <w:suppressAutoHyphens/>
        <w:spacing w:line="360" w:lineRule="auto"/>
        <w:ind w:firstLine="720"/>
        <w:jc w:val="both"/>
        <w:rPr>
          <w:rFonts w:asciiTheme="minorHAnsi" w:hAnsiTheme="minorHAnsi"/>
          <w:sz w:val="22"/>
          <w:szCs w:val="22"/>
        </w:rPr>
      </w:pPr>
      <w:r w:rsidRPr="000E7EDD">
        <w:rPr>
          <w:rFonts w:asciiTheme="minorHAnsi" w:hAnsiTheme="minorHAnsi"/>
          <w:sz w:val="22"/>
          <w:szCs w:val="22"/>
        </w:rPr>
        <w:t>The theoretical starting point is Borjas (1990), who applies the Roy model to international migration. In this framework, migrants choose a destination by comparing the expected returns to their human capital across different countries, after taking migration costs into account. Immigration policy is part of these costs. When legal entry, settlement, or long-run security become more demanding in one destination, migrants who have other realistic destination options may choose to move elsewhere.</w:t>
      </w:r>
    </w:p>
    <w:p w14:paraId="1247D6B9" w14:textId="77777777" w:rsidR="000E7EDD" w:rsidRPr="000E7EDD" w:rsidRDefault="000E7EDD" w:rsidP="00924A14">
      <w:pPr>
        <w:pStyle w:val="isselectedend"/>
        <w:suppressAutoHyphens/>
        <w:spacing w:line="360" w:lineRule="auto"/>
        <w:jc w:val="both"/>
        <w:rPr>
          <w:rFonts w:asciiTheme="minorHAnsi" w:hAnsiTheme="minorHAnsi"/>
          <w:sz w:val="22"/>
          <w:szCs w:val="22"/>
        </w:rPr>
      </w:pPr>
      <w:r>
        <w:rPr>
          <w:rFonts w:asciiTheme="minorHAnsi" w:hAnsiTheme="minorHAnsi"/>
          <w:sz w:val="22"/>
          <w:szCs w:val="22"/>
        </w:rPr>
        <w:t>High-skilled workers generally have more destination choices than low-skilled workers because their skills are more transferable and widely demanded. Their migration may therefore respond more strongly to destination policy: if one country becomes harder to enter or less attractive, they may be better able to choose another.</w:t>
      </w:r>
    </w:p>
    <w:p w14:paraId="69054308" w14:textId="77777777" w:rsidR="000E7EDD" w:rsidRPr="000E7EDD" w:rsidRDefault="000E7EDD"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Grogger and Hanson (2011) provide the empirical counterpart using bilateral data on migrant stocks by education in OECD destinations. They find positive selection, meaning more-educated workers are more likely to emigrate, and positive sorting, meaning emigrants tend to choose destinations with higher returns to skill. Later work reaches similar conclusions: Macaluso (2022) reports that the post-2010 literature consistently finds positive selection on education, and Schmidt, Kristen and Mühlau (2022) document predominantly positive educational selection among first-generation immigrants in 18 European countries.</w:t>
      </w:r>
    </w:p>
    <w:p w14:paraId="09E98338" w14:textId="77777777" w:rsidR="00961C7F" w:rsidRDefault="008A042F">
      <w:pPr>
        <w:pStyle w:val="Heading2"/>
        <w:jc w:val="both"/>
      </w:pPr>
      <w:r>
        <w:lastRenderedPageBreak/>
        <w:t>2.2 Policy effectiveness and channel substitution</w:t>
      </w:r>
    </w:p>
    <w:p w14:paraId="5E5BB1BD" w14:textId="77777777" w:rsidR="00961C7F" w:rsidRDefault="008A042F" w:rsidP="00E064AD">
      <w:pPr>
        <w:ind w:firstLine="720"/>
        <w:jc w:val="both"/>
      </w:pPr>
      <w:r>
        <w:t>Czaika and de Haas (2013) argue that policy effectiveness should not be judged only by whether reforms reduce aggregate migration. Restrictive reforms often change the channel of migration, legal versus family versus irregular, more than its amount; a policy can work in the intended direction by changing timing, route, legal category, or composition even when flows remain substantial. Channel substitution between legal visa types is not directly testable in the permit data used here, which count first permits within each reason category but do not track individuals across categories.</w:t>
      </w:r>
    </w:p>
    <w:p w14:paraId="7EBE9AEA" w14:textId="77777777" w:rsidR="00961C7F" w:rsidRDefault="008A042F">
      <w:pPr>
        <w:pStyle w:val="Heading2"/>
        <w:jc w:val="both"/>
      </w:pPr>
      <w:r>
        <w:t>2.3 Skill-selective policy design and instrument heterogeneity</w:t>
      </w:r>
    </w:p>
    <w:p w14:paraId="7149FB7D" w14:textId="77777777" w:rsidR="008D6D9A" w:rsidRPr="008D6D9A" w:rsidRDefault="008D6D9A"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Skill-selective migration policy is a set of design choices rather than a single instrument: education requirements, occupational lists, salary thresholds, points systems, researcher or talent permits, employer sponsorship rules, labor-market tests, quotas, and qualification recognition. These tools work differently. Some select migrants directly on human capital, others delegate selection to employers, and others limit permit numbers or raise the administrative cost of hiring from abroad.</w:t>
      </w:r>
    </w:p>
    <w:p w14:paraId="3E41ED9C"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Restrictiveness and selectivity are therefore related but not the same. A reform can tighten entry for migrant workers in general while preserving or expanding skilled routes, and a formally skilled route can still be unattractive if thresholds are high, processing slow, family rights limited, or employer obligations heavy. A single aggregate restrictiveness measure can hide these differences: the same numerical change may reflect a tighter quota, a stricter permit condition, a new points system, or heavier employer liability, and these reforms are unlikely to move the high-skilled share identically.</w:t>
      </w:r>
    </w:p>
    <w:p w14:paraId="38F216A4"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Czaika and Parsons (2017) show that the effect of high-skilled migration policy depends on the instrument. Points systems attract and select high-skilled migrants more effectively than job-offer requirements, labor-market tests, or shortage lists. The lesson is not that one tool always dominates, but that design changes the margin of response: a points system changes selection criteria, a salary threshold the minimum market value of an applicant, a labor-market test recruitment frictions, and a quota the scale of entry.</w:t>
      </w:r>
    </w:p>
    <w:p w14:paraId="3A5B6AAC"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Cerna (2016) adds a political and institutional perspective: European high-skilled immigration policy has evolved selectively rather than uniformly, with countries adjusting routes, thresholds, and rights in response to labor-market needs, political constraints, and institutional legacies. This explains the layered European system in which EU frameworks coexist with national talent </w:t>
      </w:r>
      <w:r>
        <w:rPr>
          <w:rFonts w:asciiTheme="minorHAnsi" w:hAnsiTheme="minorHAnsi"/>
          <w:sz w:val="22"/>
          <w:szCs w:val="22"/>
        </w:rPr>
        <w:lastRenderedPageBreak/>
        <w:t>schemes, researcher permits, shortage-list channels, salary rules, and employer-sponsored permits.</w:t>
      </w:r>
    </w:p>
    <w:p w14:paraId="601811D6" w14:textId="77777777" w:rsidR="008D6D9A" w:rsidRPr="008D6D9A" w:rsidRDefault="008D6D9A" w:rsidP="00664284">
      <w:pPr>
        <w:pStyle w:val="NormalWeb"/>
        <w:suppressAutoHyphens/>
        <w:spacing w:line="360" w:lineRule="auto"/>
        <w:jc w:val="both"/>
        <w:rPr>
          <w:rFonts w:asciiTheme="minorHAnsi" w:hAnsiTheme="minorHAnsi"/>
          <w:sz w:val="22"/>
          <w:szCs w:val="22"/>
        </w:rPr>
      </w:pPr>
      <w:r w:rsidRPr="008D6D9A">
        <w:rPr>
          <w:rFonts w:asciiTheme="minorHAnsi" w:hAnsiTheme="minorHAnsi"/>
          <w:sz w:val="22"/>
          <w:szCs w:val="22"/>
        </w:rPr>
        <w:t xml:space="preserve">The measurement literature points in the same direction. Rayp, </w:t>
      </w:r>
      <w:proofErr w:type="spellStart"/>
      <w:r w:rsidRPr="008D6D9A">
        <w:rPr>
          <w:rFonts w:asciiTheme="minorHAnsi" w:hAnsiTheme="minorHAnsi"/>
          <w:sz w:val="22"/>
          <w:szCs w:val="22"/>
        </w:rPr>
        <w:t>Ruyssen</w:t>
      </w:r>
      <w:proofErr w:type="spellEnd"/>
      <w:r w:rsidRPr="008D6D9A">
        <w:rPr>
          <w:rFonts w:asciiTheme="minorHAnsi" w:hAnsiTheme="minorHAnsi"/>
          <w:sz w:val="22"/>
          <w:szCs w:val="22"/>
        </w:rPr>
        <w:t xml:space="preserve"> and Standaert (2017), Helbling et al. (2017), and de Haas, Natter and Vezzoli’s (2015) work on migration-policy change show that immigration policy is multidimensional. Visible entry rules and less visible rules on stay, rights, and integration do not necessarily move together. </w:t>
      </w:r>
    </w:p>
    <w:p w14:paraId="16713847"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Together, these strands show why skill selectivity and general restrictiveness should be analyzed jointly. Selection models explain why policy costs hit skill groups differently; effectiveness studies show that rules redirect rather than simply stop migration; and the instrument literature shows that European states often tighten general access while preserving skilled channels. The remaining question is whether this pattern appears in annual permit data as a change in the skill composition of employment-related entry.</w:t>
      </w:r>
    </w:p>
    <w:p w14:paraId="1088C719" w14:textId="77777777" w:rsidR="00961C7F" w:rsidRDefault="008A042F">
      <w:pPr>
        <w:pStyle w:val="Heading2"/>
        <w:jc w:val="both"/>
      </w:pPr>
      <w:r>
        <w:t>2.</w:t>
      </w:r>
      <w:r w:rsidR="00F4202F">
        <w:t>4</w:t>
      </w:r>
      <w:r>
        <w:t xml:space="preserve"> Positioning relative to previous methods</w:t>
      </w:r>
    </w:p>
    <w:p w14:paraId="6A4AD29C" w14:textId="77777777" w:rsidR="0074059F" w:rsidRPr="00B754C4" w:rsidRDefault="0074059F" w:rsidP="002B3974">
      <w:pPr>
        <w:pStyle w:val="NormalWeb"/>
        <w:suppressAutoHyphens/>
        <w:spacing w:line="360" w:lineRule="auto"/>
        <w:ind w:firstLine="720"/>
        <w:jc w:val="both"/>
        <w:rPr>
          <w:rFonts w:asciiTheme="minorHAnsi" w:hAnsiTheme="minorHAnsi"/>
          <w:sz w:val="22"/>
          <w:szCs w:val="22"/>
        </w:rPr>
      </w:pPr>
      <w:r w:rsidRPr="00B754C4">
        <w:rPr>
          <w:rFonts w:asciiTheme="minorHAnsi" w:hAnsiTheme="minorHAnsi"/>
          <w:sz w:val="22"/>
          <w:szCs w:val="22"/>
        </w:rPr>
        <w:t>Earlier studies mainly use one of three designs. Country-year fixed-effects models, exemplified by Mayda (2010) and Ortega and Peri (2013), exploit within-country variation in a plus-or-minus-one policy index. Bilateral gravity-style models with multilateral resistance, in the tradition of Bertoli and Fernández-Huertas Moraga (2013) and Czaika and Parsons (2017), embed binary policy-tool dummies in a random-utility-maximisation framework. Measurement-focused work, including Rayp, Ruyssen and Standaert (2017) and Helbling et al. (2017), instead builds synthetic country-level policy indices for later empirical use. This thesis combines a transparent aggregate comparison with a bilateral origin-destination-year model that accounts for multilateral resistance through origin-year fixed effects.</w:t>
      </w:r>
    </w:p>
    <w:p w14:paraId="537EA448" w14:textId="77777777" w:rsidR="00961C7F" w:rsidRDefault="008A042F">
      <w:pPr>
        <w:pStyle w:val="Heading2"/>
      </w:pPr>
      <w:r>
        <w:t>2.</w:t>
      </w:r>
      <w:r w:rsidR="00F4202F">
        <w:t>5</w:t>
      </w:r>
      <w:r>
        <w:t xml:space="preserve"> Measurement of migration policy</w:t>
      </w:r>
    </w:p>
    <w:p w14:paraId="3C71306E" w14:textId="77777777" w:rsidR="0074059F" w:rsidRPr="006E5755" w:rsidRDefault="0074059F"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Migration-policy databases differ in coverage and detail. DEMIG TIMER offers long historical event data, IMPIC a structured index through 2010, and DEMIG-QuantMig European policy events through 2020 with fields for area, tool, target group, direction, and magnitude. Because the analysis needs dated, magnitude-weighted events covering the post-2008 European reform period, DEMIG-QuantMig is the most suitable source.</w:t>
      </w:r>
    </w:p>
    <w:p w14:paraId="218A0022"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Together, these strands motivate the thesis's outcome and design. Selection theory supports studying the high-skilled share; policy-effectiveness research motivates the focus on </w:t>
      </w:r>
      <w:r>
        <w:rPr>
          <w:rFonts w:asciiTheme="minorHAnsi" w:hAnsiTheme="minorHAnsi"/>
          <w:sz w:val="22"/>
          <w:szCs w:val="22"/>
        </w:rPr>
        <w:lastRenderedPageBreak/>
        <w:t>restrictiveness; and the channel-substitution and gravity literatures motivate the bilateral specification with origin-year fixed effects.</w:t>
      </w:r>
    </w:p>
    <w:p w14:paraId="4633E71A" w14:textId="77777777" w:rsidR="00755367" w:rsidRDefault="00755367" w:rsidP="00755367">
      <w:pPr>
        <w:pStyle w:val="Heading2"/>
        <w:jc w:val="both"/>
      </w:pPr>
      <w:r>
        <w:t>2.</w:t>
      </w:r>
      <w:r w:rsidR="00D14EBC">
        <w:t>6</w:t>
      </w:r>
      <w:r>
        <w:t xml:space="preserve"> The gap addressed by this thesis</w:t>
      </w:r>
    </w:p>
    <w:p w14:paraId="5035A69D" w14:textId="77777777" w:rsidR="00755367" w:rsidRPr="006E5755" w:rsidRDefault="00755367" w:rsidP="00755367">
      <w:pPr>
        <w:pStyle w:val="NormalWeb"/>
        <w:suppressAutoHyphens/>
        <w:spacing w:line="360" w:lineRule="auto"/>
        <w:ind w:firstLine="720"/>
        <w:jc w:val="both"/>
        <w:rPr>
          <w:rFonts w:asciiTheme="minorHAnsi" w:hAnsiTheme="minorHAnsi"/>
          <w:sz w:val="22"/>
          <w:szCs w:val="22"/>
        </w:rPr>
      </w:pPr>
      <w:r w:rsidRPr="006E5755">
        <w:rPr>
          <w:rFonts w:asciiTheme="minorHAnsi" w:hAnsiTheme="minorHAnsi"/>
          <w:sz w:val="22"/>
          <w:szCs w:val="22"/>
        </w:rPr>
        <w:t>The literature does not establish whether general labor-migration restrictiveness is associated with the skill composition of legal employment-related entry in an annual, post-2008 European bilateral panel.</w:t>
      </w:r>
    </w:p>
    <w:p w14:paraId="3545AA88" w14:textId="77777777" w:rsidR="00755367" w:rsidRPr="0074059F" w:rsidRDefault="00755367" w:rsidP="00755367">
      <w:pPr>
        <w:pStyle w:val="NormalWeb"/>
        <w:suppressAutoHyphens/>
        <w:spacing w:line="360" w:lineRule="auto"/>
        <w:jc w:val="both"/>
        <w:rPr>
          <w:rFonts w:asciiTheme="minorHAnsi" w:hAnsiTheme="minorHAnsi"/>
          <w:sz w:val="22"/>
          <w:szCs w:val="22"/>
        </w:rPr>
      </w:pPr>
      <w:r>
        <w:rPr>
          <w:rFonts w:asciiTheme="minorHAnsi" w:hAnsiTheme="minorHAnsi"/>
          <w:sz w:val="22"/>
          <w:szCs w:val="22"/>
        </w:rPr>
        <w:t>Earlier studies leave the question open for several reasons: some measure policy as a binary dummy without reform magnitude, some pool all migrant-policy reforms regardless of target group, some study aggregate volume rather than composition, and some estimate only at the destination-year level without origin-side variation. The compositional question has therefore not been answered in the post-2008 European setting at the origin-destination-year level with magnitude-weighted events.</w:t>
      </w:r>
    </w:p>
    <w:p w14:paraId="4CABE08C" w14:textId="77777777" w:rsidR="008F026E" w:rsidRPr="001C2133" w:rsidRDefault="00000000">
      <w:pPr>
        <w:pStyle w:val="NormalWeb"/>
        <w:suppressAutoHyphens/>
        <w:spacing w:line="360" w:lineRule="auto"/>
        <w:jc w:val="both"/>
        <w:rPr>
          <w:rFonts w:asciiTheme="minorHAnsi" w:hAnsiTheme="minorHAnsi"/>
          <w:sz w:val="22"/>
          <w:szCs w:val="22"/>
        </w:rPr>
      </w:pPr>
      <w:r w:rsidRPr="001C2133">
        <w:rPr>
          <w:rFonts w:asciiTheme="minorHAnsi" w:hAnsiTheme="minorHAnsi"/>
          <w:sz w:val="22"/>
        </w:rPr>
        <w:t>The thesis makes five contributions. First, it links Eurostat first-residence-permit statistics to dated DEMIG-QuantMig policy events. Second, its signed, magnitude-weighted policy measure preserves the direction and size of each reform. Third, it separates all-migrant-worker reforms from reforms targeting skilled/high-skilled or low-skilled workers. Fourth, it estimates a denominator-weighted bilateral origin-destination-year model with destination and origin-year fixed effects. Fifth, it uses wild-cluster bootstrap inference to address the limited number of destination clusters. These choices sharpen the analysis, but the estimates remain conditional associations rather than causal effects.</w:t>
      </w:r>
    </w:p>
    <w:p w14:paraId="78D23D16" w14:textId="77777777" w:rsidR="008F026E" w:rsidRPr="001C2133" w:rsidRDefault="00000000">
      <w:pPr>
        <w:pStyle w:val="NormalWeb"/>
        <w:suppressAutoHyphens/>
        <w:spacing w:line="360" w:lineRule="auto"/>
        <w:jc w:val="both"/>
        <w:rPr>
          <w:rFonts w:asciiTheme="minorHAnsi" w:hAnsiTheme="minorHAnsi"/>
          <w:sz w:val="22"/>
          <w:szCs w:val="22"/>
        </w:rPr>
      </w:pPr>
      <w:r w:rsidRPr="001C2133">
        <w:rPr>
          <w:rFonts w:asciiTheme="minorHAnsi" w:hAnsiTheme="minorHAnsi"/>
          <w:sz w:val="22"/>
        </w:rPr>
        <w:t>The design yields two substantive findings. First, the measured high-skilled response is concentrated in the national highly-skilled-worker permit category that can substitute for the general work-permit track. This is consistent with re-routing between legal entry channels rather than additional skilled arrivals (Section 7.3). Second, most retained policy events are liberalisations, and the association is identified mainly from those episodes. The result therefore describes how easing the general channel is associated with a lower skill share as much as how tightening is associated with a higher one (Section 8).</w:t>
      </w:r>
    </w:p>
    <w:p w14:paraId="347E7A37" w14:textId="77777777" w:rsidR="008F026E" w:rsidRPr="001C2133" w:rsidRDefault="00000000">
      <w:pPr>
        <w:pStyle w:val="NormalWeb"/>
        <w:suppressAutoHyphens/>
        <w:spacing w:line="360" w:lineRule="auto"/>
        <w:jc w:val="both"/>
        <w:rPr>
          <w:rFonts w:asciiTheme="minorHAnsi" w:hAnsiTheme="minorHAnsi"/>
          <w:sz w:val="22"/>
          <w:szCs w:val="22"/>
        </w:rPr>
      </w:pPr>
      <w:r w:rsidRPr="001C2133">
        <w:rPr>
          <w:rFonts w:asciiTheme="minorHAnsi" w:hAnsiTheme="minorHAnsi"/>
          <w:sz w:val="22"/>
          <w:szCs w:val="22"/>
        </w:rPr>
        <w:t>Accordingly, this thesis is an applied empirical contribution rather than a causal-identification paper. Its estimates are conditional associations, and that limit is maintained throughout the analysis, discussion, and conclusion.</w:t>
      </w:r>
    </w:p>
    <w:p w14:paraId="7323682B" w14:textId="77777777" w:rsidR="00961C7F" w:rsidRDefault="008A042F">
      <w:pPr>
        <w:pStyle w:val="Heading1"/>
      </w:pPr>
      <w:r>
        <w:lastRenderedPageBreak/>
        <w:t>3. Theoretical Framework</w:t>
      </w:r>
    </w:p>
    <w:p w14:paraId="306031CF" w14:textId="77777777" w:rsidR="00413303" w:rsidRPr="00413303" w:rsidRDefault="00413303"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section explains how destination restrictiveness can shape the skill composition of migration flows. It combines two strands of the literature reviewed in Section 2: the Roy-model logic of migrant self-selection (Borjas 1990) and the gravity-style model of bilateral migration choice with multilateral resistance (Bertoli and Fernandez-Huertas Moraga 2013). Together, they produce the testable prediction used in Section 5.</w:t>
      </w:r>
    </w:p>
    <w:p w14:paraId="75639329"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In the Roy logic of Section 2.1, a potential migrant from origin o compares each destination d's expected utility, which depends on the wage premium for the migrant's skill and on labor-market access, against the cost of moving. Alongside relocation expenses, language barriers, and information frictions, that cost includes a destination-specific policy component reflecting the legal and administrative difficulty of entry, settlement, and long-run rights. Labor-migration policy therefore enters directly into the cost migrants face.</w:t>
      </w:r>
    </w:p>
    <w:p w14:paraId="0811783F"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response to destination policy depends on outside options. In the standard reading these are alternative destinations, which high-skilled workers have more of; in the European setting, they also include alternative entry channels within the same destination.</w:t>
      </w:r>
    </w:p>
    <w:p w14:paraId="213EAF07"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migration is a bilateral choice, the gravity literature embeds it in a Random Utility Maximization framework. Bertoli and Fernández-Huertas Moraga (2013) show that the share of migrants from origin o choosing destination d depends on multilateral resistance, the relative attractiveness of all other destinations: when d tightens, migrants may divert to alternatives. This term is unobserved in standard data; the preferred bilateral specification absorbs it with origin-year fixed effects.</w:t>
      </w:r>
    </w:p>
    <w:p w14:paraId="7CCD6479"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the two frameworks yields the prediction that motivates the empirical specification. High-skilled workers may qualify for the EU Blue Card, intra-company transfers, researcher permits, or national talent schemes; lower-skilled workers rarely meet the salary, skill, or qualification thresholds for these channels and depend more heavily on the general work-permit route.</w:t>
      </w:r>
    </w:p>
    <w:p w14:paraId="6E947A5A"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A tightening of the general work-permit channel is therefore expected to affect lower-skilled workers more strongly than high-skilled workers who retain a dedicated route. This asymmetric entry-channel elasticity argument differs from the standard cross-destination elasticity argument, which predicts the opposite sign: if the only outside option were another destination, high-skilled workers would leave a tightening destination faster and the high-skilled share would </w:t>
      </w:r>
      <w:r>
        <w:rPr>
          <w:rFonts w:asciiTheme="minorHAnsi" w:hAnsiTheme="minorHAnsi"/>
          <w:sz w:val="22"/>
          <w:szCs w:val="22"/>
        </w:rPr>
        <w:lastRenderedPageBreak/>
        <w:t>fall. Because dedicated high-skill channels operate alongside general work-permit rules in Europe, the within-destination entry-channel interpretation is central to the thesis.</w:t>
      </w:r>
    </w:p>
    <w:p w14:paraId="5126CD66" w14:textId="77777777" w:rsidR="00413303" w:rsidRPr="00E366A6"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prediction is compositional, not directional for either count in isolation: HSRate is expected to rise if lower-skilled permits decline proportionally more than high-skilled permits, while total employment-related permits and the absolute high-skilled count may rise, stay flat, or fall.</w:t>
      </w:r>
    </w:p>
    <w:p w14:paraId="58A2A1E3" w14:textId="77777777" w:rsidR="00961C7F" w:rsidRDefault="008A042F">
      <w:pPr>
        <w:pStyle w:val="Heading1"/>
        <w:jc w:val="both"/>
      </w:pPr>
      <w:r>
        <w:t>4. Institutional Background</w:t>
      </w:r>
    </w:p>
    <w:p w14:paraId="72296784" w14:textId="77777777" w:rsidR="00DA0408" w:rsidRPr="00F36226" w:rsidRDefault="00DA0408" w:rsidP="002B3974">
      <w:pPr>
        <w:pStyle w:val="NormalWeb"/>
        <w:suppressAutoHyphens/>
        <w:spacing w:line="360" w:lineRule="auto"/>
        <w:ind w:firstLine="720"/>
        <w:jc w:val="both"/>
        <w:rPr>
          <w:rFonts w:asciiTheme="minorHAnsi" w:hAnsiTheme="minorHAnsi" w:cstheme="majorHAnsi"/>
          <w:sz w:val="22"/>
          <w:szCs w:val="22"/>
        </w:rPr>
      </w:pPr>
      <w:r>
        <w:rPr>
          <w:rFonts w:asciiTheme="minorHAnsi" w:hAnsiTheme="minorHAnsi"/>
          <w:sz w:val="22"/>
          <w:szCs w:val="22"/>
        </w:rPr>
        <w:t>European labor-migration policy is organized in two layers. The EU layer sets minimum standards and harmonizes certain entry categories, notably the Blue Card Directive 2009/50/EC (recast as Directive (EU) 2021/1883), the Researchers Directive 2005/71/EC (replaced by Directive (EU) 2016/801), and the Single Permit Directive 2011/98/EU. These rules do not apply uniformly: Denmark and Ireland are not bound by the Blue Card Directive, and the United Kingdom did not participate while it was a Member State. This uneven coverage is one reason the main high-skilled numerator does not rely on Blue Card permits, which are examined separately in Section 7.3.</w:t>
      </w:r>
    </w:p>
    <w:p w14:paraId="39751BEE" w14:textId="77777777" w:rsidR="006C70A2" w:rsidRPr="00B754C4" w:rsidRDefault="006C70A2" w:rsidP="006C70A2">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EU framework is not a single European work-permit regime. During the study period the Blue Card Directive allowed Member States to retain parallel national schemes for highly qualified workers, and the Single Permit Directive creates a common application procedure and set of rights while explicitly preserving national powers over admission. Substantive entry criteria therefore continue to vary nationally, which is why meaningful policy variation remains possible within a shared European legal setting (Council of the European Union 2009; European Parliament and Council 2011).</w:t>
      </w:r>
    </w:p>
    <w:p w14:paraId="5CBD3F5E" w14:textId="77777777" w:rsidR="00DA0408" w:rsidRPr="00B754C4" w:rsidRDefault="00DA0408" w:rsidP="00DA0408">
      <w:pPr>
        <w:pStyle w:val="NormalWeb"/>
        <w:suppressAutoHyphens/>
        <w:spacing w:line="360" w:lineRule="auto"/>
        <w:jc w:val="both"/>
        <w:rPr>
          <w:rFonts w:asciiTheme="minorHAnsi" w:hAnsiTheme="minorHAnsi" w:cstheme="majorHAnsi"/>
          <w:sz w:val="22"/>
          <w:szCs w:val="22"/>
        </w:rPr>
      </w:pPr>
      <w:r w:rsidRPr="00B754C4">
        <w:rPr>
          <w:rFonts w:asciiTheme="minorHAnsi" w:hAnsiTheme="minorHAnsi" w:cstheme="majorHAnsi"/>
          <w:sz w:val="22"/>
          <w:szCs w:val="22"/>
        </w:rPr>
        <w:t>The second layer is the national layer. This is where most of the variation in labor-migration restrictiveness is designed. Member States retain substantial discretion over salary thresholds, language requirements, labor-market tests, shortage-list rules, points systems, employer obligations, family-reunification rights, and national high-skilled permit schemes that operate alongside the Blue Card.</w:t>
      </w:r>
    </w:p>
    <w:p w14:paraId="6334E50B" w14:textId="77777777" w:rsidR="00DA0408" w:rsidRPr="00F36226" w:rsidRDefault="00DA0408" w:rsidP="00DA040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 xml:space="preserve">Under TFEU Article 21 and Directive 2004/38/EC, EU citizens can generally take up employment in another Member State without a national work permit, although accession dates and temporary labor-market restrictions mean this did not hold uniformly for every citizenship pair over 2008-2019. National labor-migration reforms should therefore affect this group less directly </w:t>
      </w:r>
      <w:r>
        <w:rPr>
          <w:rFonts w:asciiTheme="minorHAnsi" w:hAnsiTheme="minorHAnsi"/>
          <w:sz w:val="22"/>
          <w:szCs w:val="22"/>
        </w:rPr>
        <w:lastRenderedPageBreak/>
        <w:t>than third-country nationals, making the EU27 aggregate an imperfect placebo rather than a clean untreated group.</w:t>
      </w:r>
    </w:p>
    <w:p w14:paraId="7F43C669" w14:textId="77777777" w:rsidR="00C70AE2" w:rsidRDefault="00000000">
      <w:pPr>
        <w:pStyle w:val="Heading1"/>
      </w:pPr>
      <w:r>
        <w:t>5. Empirical Strategy</w:t>
      </w:r>
    </w:p>
    <w:p w14:paraId="661FAE2B" w14:textId="77777777" w:rsidR="00C70AE2" w:rsidRDefault="00000000">
      <w:r>
        <w:t>This section defines the variables, estimands, regression specifications, and identifying assumptions</w:t>
      </w:r>
      <w:r w:rsidR="00335227">
        <w:t>.</w:t>
      </w:r>
    </w:p>
    <w:p w14:paraId="68698368" w14:textId="77777777" w:rsidR="00C70AE2" w:rsidRDefault="00000000">
      <w:pPr>
        <w:pStyle w:val="Heading2"/>
      </w:pPr>
      <w:bookmarkStart w:id="0" w:name="variable-construction"/>
      <w:r>
        <w:t>5.1 Variable construction</w:t>
      </w:r>
    </w:p>
    <w:p w14:paraId="32E31A2D" w14:textId="77777777" w:rsidR="00C70AE2" w:rsidRDefault="00000000">
      <w:r>
        <w:t>For destination d, origin o, and year t, the main dependent variable is the high-skilled share of employment-related first residence permits. It is measured at the destination-year level in the aggregate panel and at the origin-destination-year level in the bilateral panel. Because its denominator is Eurostat's employment-reason permit flow, HSRate measures composition within legal employment-permit issuance rather than total employment in the destination economy. The focal policy regressors are the one-year lags of the all-migrant-worker cumulative net policy-change score and annual policy-flow measure. Parallel high-skilled and low-skilled target-group measures enter as controls because they can affect the numerator or denominator more directly. The aggregate models collapse Non-EU permit totals to one observation per destination-year, so their notation does not require an origin or citizenship-group index.</w:t>
      </w:r>
    </w:p>
    <w:p w14:paraId="4D7011AE" w14:textId="77777777" w:rsidR="00C70AE2" w:rsidRDefault="00000000">
      <w:pPr>
        <w:pStyle w:val="BodyText"/>
      </w:pPr>
      <w:r>
        <w:t>The main outcome variable is the high-skilled share, HSRate. The high-skilled permit count, which adds the Eurostat categories for highly skilled workers and researchers, enters as the numerator of HSRate and is also used as the count outcome in the supporting Poisson Pseudo-Maximum-Likelihood (PPML) test in Section 7.3. The share outcome divides that count by the broader employment-related first-permit flow in the same cell:</w:t>
      </w:r>
    </w:p>
    <w:p w14:paraId="5F63182D" w14:textId="77777777" w:rsidR="00C70AE2"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HighSkilledWorkerPermits</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ResearcherPermits</m:t>
              </m:r>
            </m:e>
            <m:sub>
              <m:r>
                <w:rPr>
                  <w:rFonts w:ascii="Cambria Math" w:hAnsi="Cambria Math"/>
                </w:rPr>
                <m:t>d</m:t>
              </m:r>
              <m:r>
                <m:rPr>
                  <m:sty m:val="p"/>
                </m:rPr>
                <w:rPr>
                  <w:rFonts w:ascii="Cambria Math" w:hAnsi="Cambria Math"/>
                </w:rPr>
                <m:t>,</m:t>
              </m:r>
              <m:r>
                <w:rPr>
                  <w:rFonts w:ascii="Cambria Math" w:hAnsi="Cambria Math"/>
                </w:rPr>
                <m:t>t</m:t>
              </m:r>
            </m:sub>
          </m:sSub>
        </m:oMath>
      </m:oMathPara>
    </w:p>
    <w:p w14:paraId="77A359A0" w14:textId="77777777" w:rsidR="00C70AE2" w:rsidRDefault="00000000">
      <m:oMathPara>
        <m:oMathParaPr>
          <m:jc m:val="center"/>
        </m:oMathParaPr>
        <m:oMath>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sub>
              </m:sSub>
            </m:den>
          </m:f>
        </m:oMath>
      </m:oMathPara>
    </w:p>
    <w:p w14:paraId="50B242D0" w14:textId="77777777" w:rsidR="00C70AE2" w:rsidRDefault="00000000">
      <w:r>
        <w:t>PermitScale is the logged one-year lag of all employment-related first residence permits in the relevant cell: destination-year in the aggregate model and origin-destination-year in the bilateral model. It uses the same permit count that forms the HSRate denominator, but at t minus 1 and in logarithms rather than at t as a denominator. It is therefore a scale control, not a duplicate of the dependent variable or a measure of total employment in the destination economy. The preferred bilateral model separately uses the current permit denominator as an estimation weight. PermitScale and the weight serve different purposes, as explained after Equation (3).</w:t>
      </w:r>
    </w:p>
    <w:p w14:paraId="61BA10C8" w14:textId="77777777" w:rsidR="00C70AE2"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3A22C616" w14:textId="77777777" w:rsidR="00C70AE2" w:rsidRDefault="00000000">
      <w:pPr>
        <w:pStyle w:val="Heading2"/>
      </w:pPr>
      <w:bookmarkStart w:id="1" w:name="regression-specifications"/>
      <w:bookmarkEnd w:id="0"/>
      <w:r>
        <w:t>5.2 Regression specifications</w:t>
      </w:r>
    </w:p>
    <w:p w14:paraId="63161661" w14:textId="77777777" w:rsidR="008F026E" w:rsidRDefault="00000000">
      <w:r>
        <w:t>The empirical analysis uses four specifications, each with a distinct role. Specification 1 is the aggregate cumulative-policy benchmark. Specification 2 replaces the cumulative measure with annual policy flows. Specification 3 is the preferred denominator-weighted bilateral share model and provides the main estimate. Specification 4 applies PPML to bilateral permit counts to assess whether the composition result is accompanied by changes in permit volumes. The models are introduced in this order so that each dependent variable, source of variation, and purpose is clear before the results are reported.</w:t>
      </w:r>
    </w:p>
    <w:p w14:paraId="61655FA7" w14:textId="77777777" w:rsidR="00C70AE2" w:rsidRDefault="00000000">
      <w:pPr>
        <w:pStyle w:val="BodyText"/>
      </w:pPr>
      <w:r>
        <w:rPr>
          <w:b/>
          <w:bCs/>
        </w:rPr>
        <w:t>Specification 1: Aggregate cumulative-policy model.</w:t>
      </w:r>
      <w:r>
        <w:t xml:space="preserve"> Equation (1) is the aggregate two-way fixed-effects model for the policy-exposed Non-EU sample. Its destination-year outcomes are constructed by summing permit counts across Non-EU citizenships. The equation uses the cumulative policy-change score, while high-skilled and low-skilled target-group policy paths enter as controls:</w:t>
      </w:r>
    </w:p>
    <w:p w14:paraId="09137066" w14:textId="77777777" w:rsidR="00C70AE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49CBADA7" w14:textId="77777777" w:rsidR="008F026E" w:rsidRDefault="00000000">
      <w:r>
        <w:t>In Equation (1), d indexes destinations and t indexes years. Non-EU origins are summed into one destination-year total, so the aggregate model has no origin or citizenship-group index. Here, α denotes destination fixed effects, λ denotes year fixed effects, and β is the coefficient on Restrict, the lagged cumulative net policy-change score for all-migrant-worker reforms whose target origin is coded as All foreign nationalities; Section 6.2 describes how this score is constructed from DEMIG-QuantMig reform events. RestrictHS and RestrictLS control for reforms that directly target the high-skilled numerator or the lower-skilled part of the denominator. PermitScale controls for the size of the permit denominator, not total employment in the destination economy.</w:t>
      </w:r>
    </w:p>
    <w:p w14:paraId="25D1CD24" w14:textId="77777777" w:rsidR="00C70AE2" w:rsidRDefault="00000000">
      <w:pPr>
        <w:pStyle w:val="BodyText"/>
      </w:pPr>
      <w:r>
        <w:t>In the aggregate model, PermitScale is computed from the lagged Non-EU employment-permit flow for the same destination. It therefore matches the permit universe used to construct the aggregate Non-EU outcome.</w:t>
      </w:r>
    </w:p>
    <w:p w14:paraId="7CB7A003" w14:textId="77777777" w:rsidR="00C70AE2" w:rsidRDefault="00000000">
      <w:pPr>
        <w:pStyle w:val="BodyText"/>
      </w:pPr>
      <w:r>
        <w:t xml:space="preserve">For transparency, Table 6 introduces the aggregate controls progressively. M0 contains destination and year fixed effects; M1 adds the high-skilled and low-skilled policy controls; M2 adds PermitScale; and M3 adds lagged destination unemployment and GDP growth. M3 is the full aggregate HSRate specification represented by Equation (1). M4 uses the same full controls </w:t>
      </w:r>
      <w:r>
        <w:lastRenderedPageBreak/>
        <w:t xml:space="preserve">with </w:t>
      </w:r>
      <m:oMath>
        <m:r>
          <m:rPr>
            <m:sty m:val="p"/>
          </m:rPr>
          <w:rPr>
            <w:rFonts w:ascii="Cambria Math" w:hAnsi="Cambria Math"/>
          </w:rPr>
          <m:t>log(</m:t>
        </m:r>
        <m:r>
          <w:rPr>
            <w:rFonts w:ascii="Cambria Math" w:hAnsi="Cambria Math"/>
          </w:rPr>
          <m:t>1</m:t>
        </m:r>
        <m:r>
          <m:rPr>
            <m:sty m:val="p"/>
          </m:rPr>
          <w:rPr>
            <w:rFonts w:ascii="Cambria Math" w:hAnsi="Cambria Math"/>
          </w:rPr>
          <m:t>+HSNumber)</m:t>
        </m:r>
      </m:oMath>
      <w:r>
        <w:t xml:space="preserve"> as an aggregate count comparison. M0–M2 show how the coefficient changes as controls are introduced; they are not alternatives to the preferred bilateral model.</w:t>
      </w:r>
    </w:p>
    <w:p w14:paraId="2B828D4D" w14:textId="77777777" w:rsidR="00C70AE2" w:rsidRDefault="00000000">
      <w:pPr>
        <w:pStyle w:val="BodyText"/>
      </w:pPr>
      <w:r>
        <w:rPr>
          <w:b/>
          <w:bCs/>
        </w:rPr>
        <w:t>Specification 2: Aggregate annual policy-flow model.</w:t>
      </w:r>
      <w:r>
        <w:t xml:space="preserve"> Equation (2) uses the same Non-EU aggregate panel, controls, and fixed effects as the full aggregate model in Equation (1), but replaces the cumulative policy stock with annual policy-flow measures. It tests whether newly adopted all-migrant-worker reforms in a given year are associated with the following year's permit composition, while again controlling for newly adopted high-skilled and low-skilled target-group reforms. PolicyFlow is the annual net policy-change score for all-migrant-worker reforms, and PolicyFlowHS and PolicyFlowLS are the corresponding target-group scores; Section 6.2 describes their construction:</w:t>
      </w:r>
    </w:p>
    <w:p w14:paraId="4A738057" w14:textId="77777777" w:rsidR="00C70AE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PolicyFlow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PolicyFlowHS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PolicyFlowLS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4C0F5A61" w14:textId="77777777" w:rsidR="00C70AE2" w:rsidRDefault="00000000">
      <w:r>
        <w:rPr>
          <w:b/>
          <w:bCs/>
        </w:rPr>
        <w:t xml:space="preserve">Specification 3: </w:t>
      </w:r>
      <w:r w:rsidRPr="00B7302D">
        <w:t>Preferred bilateral share model. Each observation is an origin-destination-year cell, so the model is bilateral. It is denominator-weighted because cells with larger current employment-permit denominators receive more influence. HSRate is regressed on lagged Restrict, RestrictHS, RestrictLS, bilateral PermitScale, destination unemployment, and destination GDP growth, together with destination and origin-year fixed effects. The coefficient on Restrict remains the coefficient of interest. The skill-targeted controls account for reforms that can directly affect the numerator or the lower-skilled part of the denominator. PermitScale captures the corridor's size in the previous year; the weight is the current denominator used to calculate HSRate. Destination fixed effects absorb stable country differences, while origin-year fixed effects absorb shocks shared by migrants from the same origin in the same year, including origin labor-market conditions and multilateral resistance. This design separates general restrictiveness from skill-targeted reforms and reduces noise from small permit cells.</w:t>
      </w:r>
    </w:p>
    <w:p w14:paraId="040B0DBD" w14:textId="77777777" w:rsidR="00C70AE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HSRate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371ABE9D" w14:textId="04C8579E" w:rsidR="00C70AE2" w:rsidRDefault="00000000">
      <w:r>
        <w:t xml:space="preserve">In Equation (3), o indexes origin countries and </w:t>
      </w:r>
      <m:oMath>
        <m:r>
          <w:rPr>
            <w:rFonts w:ascii="Cambria Math" w:hAnsi="Cambria Math"/>
          </w:rPr>
          <m:t>μ</m:t>
        </m:r>
      </m:oMath>
      <w:r>
        <w:t xml:space="preserve"> represents origin-year fixed effects. Restrict is the cumulative net policy-change score for all-migrant-worker reforms targeting All foreign nationalities and remains the coefficient of interest. RestrictHS and RestrictLS are parallel cumulative scores for reforms targeting skilled/high-skilled workers and low-skilled workers. They enter as controls so that </w:t>
      </w:r>
      <m:oMath>
        <m:r>
          <w:rPr>
            <w:rFonts w:ascii="Cambria Math" w:hAnsi="Cambria Math"/>
          </w:rPr>
          <m:t>β</m:t>
        </m:r>
      </m:oMath>
      <w:r>
        <w:t xml:space="preserve"> is interpreted as the association of general employment-migration restrictiveness with HSRate, holding targeted skill-selective policy paths constant. The preferred estimate is obtained by weighted least squares (WLS) rather than unweighted </w:t>
      </w:r>
      <w:r>
        <w:lastRenderedPageBreak/>
        <w:t>ordinary least squares (OLS). Both estimators fit Equation (3) by making the model's prediction errors as small as possible; they differ only in how much influence each origin-destination-year cell has on that fit.</w:t>
      </w:r>
    </w:p>
    <w:p w14:paraId="180F544B" w14:textId="77777777" w:rsidR="00C70AE2" w:rsidRDefault="00000000">
      <w:r>
        <w:t>Unweighted OLS treats every cell as equally informative: a corridor whose HSRate is computed from 30 employment permits counts exactly as much as one computed from 5,000. Shares built from a handful of permits are volatile, because a single differently classified permit can move HSRate by several percentage points, while shares built from thousands of permits are measured precisely. WLS therefore lets each cell count in proportion to its current employment-permit denominator, in the same way that a weighted average lets larger groups contribute more than smaller ones. Precisely measured shares anchor the estimate, and noisy shares from small cells are down-weighted. This weight is not an explanatory variable and receives no coefficient; it only determines how strongly each cell influences the estimation. The resulting coefficient is therefore a permit-denominator-weighted association, whereas unweighted OLS estimates an equal-cell association.</w:t>
      </w:r>
    </w:p>
    <w:p w14:paraId="1F21911F" w14:textId="77777777" w:rsidR="00C70AE2" w:rsidRDefault="00000000">
      <w:pPr>
        <w:pStyle w:val="BodyText"/>
      </w:pPr>
      <w:r>
        <w:t>PermitScale is a control variable inside Equation (3). It is the log of one plus the corridor's employment-permit flow in the previous year and receives its own coefficient. It is included because larger corridors may systematically differ in skill composition, and corridor size may itself move with policy, so the model holds each corridor's lagged scale constant when estimating the policy coefficient. The previous year's flow is used because the current flow is the denominator of HSRate itself and can be affected by the same policies; the lagged value captures corridor size without reusing the current denominator.</w:t>
      </w:r>
    </w:p>
    <w:p w14:paraId="65C91DDD" w14:textId="77777777" w:rsidR="00C70AE2" w:rsidRDefault="00000000">
      <w:pPr>
        <w:pStyle w:val="BodyText"/>
      </w:pPr>
      <w:r>
        <w:t>The preferred design combines origin-year fixed effects, which absorb shocks shared by migrants from the same origin and year, with denominator weights that reduce the influence of noisy shares from small permit cells.</w:t>
      </w:r>
    </w:p>
    <w:p w14:paraId="6F8B8BB0" w14:textId="77777777" w:rsidR="00C70AE2" w:rsidRDefault="00000000">
      <w:pPr>
        <w:pStyle w:val="BodyText"/>
        <w:keepNext/>
      </w:pPr>
      <w:r>
        <w:rPr>
          <w:b/>
          <w:bCs/>
        </w:rPr>
        <w:t>Specification 4: Bilateral PPML volume model.</w:t>
      </w:r>
      <w:r>
        <w:t xml:space="preserve"> The final specification addresses the volume side of the question. It applies Poisson Pseudo-Maximum-Likelihood (PPML) to the same underlying bilateral framework, following Santos Silva and Tenreyro (2006):</w:t>
      </w:r>
    </w:p>
    <w:p w14:paraId="577AC810"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E</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e>
              </m:d>
              <m:r>
                <m:rPr>
                  <m:sty m:val="p"/>
                </m:rPr>
                <w:rPr>
                  <w:rFonts w:ascii="Cambria Math" w:hAnsi="Cambria Math"/>
                </w:rPr>
                <m:t>=exp</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eqArr>
        </m:oMath>
      </m:oMathPara>
    </w:p>
    <w:p w14:paraId="1C59E1A9" w14:textId="77777777" w:rsidR="00162473" w:rsidRDefault="00000000">
      <w:r>
        <w:t xml:space="preserve">Equation (4) takes a different form from Equation (3) because it models a count rather than a share. The left-hand side is the expected number of permits in a cell given the covariates, and the exponential function guarantees that this expected number is always positive, which a linear model cannot promise for a count outcome. The exponential form also makes the coefficients proportional rather than additive: a one-unit policy change shifts the expected permit count by </w:t>
      </w:r>
      <w:r>
        <w:lastRenderedPageBreak/>
        <w:t>a percentage, which carries the same meaning in a corridor of fifty permits and in a corridor of fifty thousand.</w:t>
      </w:r>
    </w:p>
    <w:p w14:paraId="3F32CDB0" w14:textId="77777777" w:rsidR="00C70AE2" w:rsidRDefault="00000000">
      <w:r>
        <w:t xml:space="preserve">Equation (4) is estimated twice. First, </w:t>
      </w: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oMath>
      <w:r>
        <w:t xml:space="preserve"> is HSNumber, which tests whether the lagged cumulative all-migrant-worker policy score is associated with the absolute number of high-skilled permits. Second, </w:t>
      </w: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oMath>
      <w:r>
        <w:t xml:space="preserve"> is the total employment-permit count, which tests whether the denominator of HSRate changes. Both PPML models include the all-migrant-worker policy measure, the high-skilled and low-skilled policy controls, lagged destination unemployment and GDP growth, destination fixed effects, and origin-year fixed effects. Standard errors are clustered by destination. Unlike the share specifications, Equation (4) does not include PermitScale or denominator weights: it models the permit count itself rather than the precision of a calculated share. The exact percentage change associated with a one-unit increase in that cumulative score is </w:t>
      </w:r>
      <m:oMath>
        <m:r>
          <w:rPr>
            <w:rFonts w:ascii="Cambria Math" w:hAnsi="Cambria Math"/>
          </w:rPr>
          <m:t>100</m:t>
        </m:r>
        <m:r>
          <m:rPr>
            <m:sty m:val="p"/>
          </m:rPr>
          <w:rPr>
            <w:rFonts w:ascii="Cambria Math" w:hAnsi="Cambria Math"/>
          </w:rPr>
          <m:t>[exp(</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which is approximately </w:t>
      </w:r>
      <m:oMath>
        <m:r>
          <w:rPr>
            <w:rFonts w:ascii="Cambria Math" w:hAnsi="Cambria Math"/>
          </w:rPr>
          <m:t>100β</m:t>
        </m:r>
      </m:oMath>
      <w:r>
        <w:t xml:space="preserve"> for a small coefficient. Within the retained positive-denominator analysis corridors, PPML retains zero HSNumber cells and avoids the log-of-zero problem that would affect an OLS-on-log specification.</w:t>
      </w:r>
    </w:p>
    <w:p w14:paraId="1B09A2BF" w14:textId="77777777" w:rsidR="00C70AE2" w:rsidRDefault="00000000">
      <w:pPr>
        <w:pStyle w:val="BodyText"/>
      </w:pPr>
      <w:r>
        <w:t>Specifications 1 and 2 are aggregate benchmarks, Specification 3 is the preferred compositional model, and Specification 4 is the supporting volume test. Section 5.3 sets out the identification assumptions before Section 7 reports the results.</w:t>
      </w:r>
    </w:p>
    <w:p w14:paraId="5BB529A4" w14:textId="77777777" w:rsidR="00C70AE2" w:rsidRDefault="00000000">
      <w:pPr>
        <w:pStyle w:val="Heading2"/>
      </w:pPr>
      <w:bookmarkStart w:id="2" w:name="identification-and-inference"/>
      <w:bookmarkEnd w:id="1"/>
      <w:r>
        <w:t>5.3 Identification and inference</w:t>
      </w:r>
    </w:p>
    <w:p w14:paraId="500B5184" w14:textId="77777777" w:rsidR="008F026E" w:rsidRDefault="00000000">
      <w:r>
        <w:t>The main identification problem is that migration policy is endogenous to economic conditions, and the empirical strategy addresses this only partially. Destination fixed effects absorb stable country differences, such as geography, language, administrative capacity, and persistent openness to immigration. Year fixed effects in the aggregate model absorb common European shocks. Origin-year fixed effects in the preferred bilateral model absorb shocks shared by migrants from the same origin in the same year, including origin-country crises, conflicts, and changes in the attractiveness of alternative destinations. Lagged unemployment and GDP growth control for broad destination economic conditions before the outcome year, while the one-year policy lag reduces direct simultaneity between a policy event and permits issued in the same year.</w:t>
      </w:r>
    </w:p>
    <w:p w14:paraId="5D432618" w14:textId="77777777" w:rsidR="008F026E" w:rsidRDefault="00000000">
      <w:r>
        <w:t xml:space="preserve">Common EU labor-migration directives create a separate identification concern. Origin-year fixed effects absorb EU-level shocks common to every sampled destination for a given origin and year, but they do not absorb differences caused by national opt-outs, non-EU destinations, or Croatia's 2013 accession. The coefficient on the cumulative all-migrant-worker score is therefore identified from differences in national policy paths within each origin-year. </w:t>
      </w:r>
      <w:r>
        <w:lastRenderedPageBreak/>
        <w:t>Robustness 6 additionally controls for directive windows that applied to participating destinations.</w:t>
      </w:r>
    </w:p>
    <w:p w14:paraId="74194B32" w14:textId="77777777" w:rsidR="00C70AE2" w:rsidRDefault="00000000">
      <w:pPr>
        <w:pStyle w:val="BodyText"/>
      </w:pPr>
      <w:r>
        <w:t>Stricter causal designs were considered but not adopted. A difference-in-differences or event-study design needs a few clearly timed, comparable reforms and a credible untreated group, whereas DEMIG-QuantMig records many overlapping reforms with different magnitudes, tools, and target groups, often within the same country-year; forcing them onto a single treatment date would discard most of the policy variation. An instrumental variable would need to shift restrictiveness without directly affecting permit composition, and no credible harmonized instrument exists for the full panel. The fixed-effects design is therefore chosen as the most transparent way to use the annual policy-event variation while making the identifying assumptions explicit, not because it proves causality.</w:t>
      </w:r>
    </w:p>
    <w:p w14:paraId="0966AD43" w14:textId="77777777" w:rsidR="00C70AE2" w:rsidRDefault="00000000">
      <w:pPr>
        <w:pStyle w:val="BodyText"/>
      </w:pPr>
      <w:r>
        <w:t>Standard errors are clustered by destination country. The number of clusters is about 30, so the thesis treats marginal results cautiously and does not describe 10-percent findings as main evidence. In the results, the main bilateral table uses a conservative fixed-effect-aware finite-sample correction, counting the absorbed destination and origin-year fixed effects in the effective parameter count. The caution is consistent with the cluster-robust inference literature, where few-cluster settings require especially careful interpretation (Liang and Zeger 1986; Cameron, Gelbach and Miller 2008; MacKinnon and Webb 2018).</w:t>
      </w:r>
    </w:p>
    <w:p w14:paraId="43118CA0" w14:textId="77777777" w:rsidR="00C70AE2" w:rsidRDefault="00000000">
      <w:pPr>
        <w:pStyle w:val="BodyText"/>
      </w:pPr>
      <w:r>
        <w:t>To address the few-cluster concern directly, a wild-cluster bootstrap following Cameron, Gelbach and Miller (2008) is implemented for the denominator-weighted preferred model. The procedure imposes the null of β = 0, draws Rademacher weights at the destination-cluster level, constructs bootstrap outcomes, and re-estimates the full weighted model in each replication. With B = 2,000 replications, the preferred weighted estimate remains significant at the one-percent level: the cluster-robust t-statistic is 4.04 and the bootstrap two-sided p-value is 0.007.</w:t>
      </w:r>
    </w:p>
    <w:p w14:paraId="134CB330" w14:textId="77777777" w:rsidR="00C70AE2" w:rsidRDefault="00000000">
      <w:pPr>
        <w:pStyle w:val="BodyText"/>
      </w:pPr>
      <w:r>
        <w:t>The all-migrant-worker-only policy definition addresses a mechanical concern that would otherwise be present. When the dependent variable is a high-skilled share, policies aimed specifically at skilled or high-skilled workers can directly target the numerator, while policies aimed at low-skilled workers can affect the lower-skilled part of the denominator. The cleanest interpretation of general policy changes affecting the full labor-migration denominator therefore comes from keeping the all-migrant-worker-only score as the focal policy measure and adding the skilled/high-skilled and low-skilled target-group measures as controls.</w:t>
      </w:r>
    </w:p>
    <w:p w14:paraId="008302D8" w14:textId="77777777" w:rsidR="00C70AE2" w:rsidRDefault="00000000">
      <w:pPr>
        <w:pStyle w:val="BodyText"/>
      </w:pPr>
      <w:r>
        <w:t>With the estimating equations and identifying assumptions established, the next section documents the data sources, operational definitions, and sample filters used to implement them.</w:t>
      </w:r>
    </w:p>
    <w:bookmarkEnd w:id="2"/>
    <w:p w14:paraId="3D10DA1B" w14:textId="77777777" w:rsidR="00961C7F" w:rsidRDefault="008A042F">
      <w:pPr>
        <w:pStyle w:val="Heading1"/>
      </w:pPr>
      <w:r>
        <w:lastRenderedPageBreak/>
        <w:t>6. Data</w:t>
      </w:r>
    </w:p>
    <w:p w14:paraId="4A8C1C25" w14:textId="77777777" w:rsidR="00961C7F" w:rsidRDefault="008A042F">
      <w:pPr>
        <w:pStyle w:val="Heading2"/>
      </w:pPr>
      <w:r>
        <w:t>6.1 Outcome data: Eurostat residence-permit statistics</w:t>
      </w:r>
    </w:p>
    <w:p w14:paraId="7C2090AD" w14:textId="77777777" w:rsidR="0078507D" w:rsidRPr="0078507D"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outcome data come from Eurostat's harmonized residence-permit statistics on first permits issued for remunerated activities. The dataset reports annual permit counts by reason for entry, length of validity, citizenship, destination country, and year. The baseline analysis covers 2008-2019, keeps observations measured as persons, and restricts the sample to permits valid for at least twelve months.</w:t>
      </w:r>
    </w:p>
    <w:p w14:paraId="085B49DE" w14:textId="77777777" w:rsidR="008F026E" w:rsidRPr="00F36226" w:rsidRDefault="00000000" w:rsidP="00F36226">
      <w:pPr>
        <w:pStyle w:val="NormalWeb"/>
        <w:spacing w:line="360" w:lineRule="auto"/>
        <w:jc w:val="both"/>
        <w:rPr>
          <w:rFonts w:asciiTheme="minorHAnsi" w:hAnsiTheme="minorHAnsi"/>
          <w:sz w:val="22"/>
          <w:szCs w:val="22"/>
        </w:rPr>
      </w:pPr>
      <w:r w:rsidRPr="00F36226">
        <w:rPr>
          <w:rFonts w:asciiTheme="minorHAnsi" w:hAnsiTheme="minorHAnsi"/>
          <w:sz w:val="22"/>
          <w:szCs w:val="22"/>
        </w:rPr>
        <w:t>The baseline excludes 2020 because the worldwide COVID-19 pandemic affected migration through several channels at once: border and travel restrictions, administrative delays, abrupt changes in employer demand, and uneven sectoral shutdowns. Year fixed effects absorb a shock shared uniformly across destinations, but they cannot remove country-specific differences in the timing and severity of these disruptions or in permit-processing backlogs. Including 2020 in the main sample could therefore make temporary pandemic conditions look like a response to ordinary labor-migration policy. Section 8 reintroduces 2020 under the same specification; the coefficient remains positive and significant, showing that the exclusion strengthens but does not create the result.</w:t>
      </w:r>
    </w:p>
    <w:p w14:paraId="312D7748" w14:textId="77777777" w:rsidR="0078507D" w:rsidRPr="00F36226" w:rsidRDefault="0078507D" w:rsidP="00C36469">
      <w:pPr>
        <w:pStyle w:val="NormalWeb"/>
        <w:suppressAutoHyphens/>
        <w:spacing w:line="360" w:lineRule="auto"/>
        <w:jc w:val="both"/>
        <w:rPr>
          <w:rFonts w:asciiTheme="minorHAnsi" w:hAnsiTheme="minorHAnsi"/>
          <w:sz w:val="22"/>
          <w:szCs w:val="22"/>
        </w:rPr>
      </w:pPr>
      <w:r w:rsidRPr="00F36226">
        <w:rPr>
          <w:rFonts w:asciiTheme="minorHAnsi" w:hAnsiTheme="minorHAnsi"/>
          <w:sz w:val="22"/>
        </w:rPr>
        <w:t>The main outcome is built from the employment-related permit categories. The denominator is the broad employment-permit category, while the high-skilled numerator combines permits issued to highly skilled workers and researchers. EU Blue Card permits are not included in the main high-skilled numerator, for two reasons. First, the Blue Card is an EU-level channel with common legal foundations but uneven national implementation and participation, so it is not governed by the national policy changes that identify the models in the same way as national permit routes are. Second, the scheme only begins issuing permits in 2011-2012 and does not operate in all sample destinations, including the United Kingdom, Denmark, Ireland, and the non-EU EEA countries, so adding it would build a mechanical post-2012 break into the outcome series. Blue Card counts are instead examined separately in the permit-category diagnostic in Section 7.3, and the timing of the Blue Card and related directives is controlled for directly in the EU directive-window check.</w:t>
      </w:r>
    </w:p>
    <w:p w14:paraId="3845D063"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“Employment” here refers to Eurostat's reason category for first permits issued for employment or remunerated activities, not to total employment or a stock of employed people. The denominator is a permit flow: first employment-reason permits issued to the relevant citizenship </w:t>
      </w:r>
      <w:r>
        <w:rPr>
          <w:rFonts w:asciiTheme="minorHAnsi" w:hAnsiTheme="minorHAnsi"/>
          <w:sz w:val="22"/>
          <w:szCs w:val="22"/>
        </w:rPr>
        <w:lastRenderedPageBreak/>
        <w:t>group in a destination-year. The high-skilled numerator counts highly skilled worker and researcher permits from the same universe.</w:t>
      </w:r>
    </w:p>
    <w:p w14:paraId="69582786"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Eurostat reports annual counts by permit reason rather than individual histories, so the data record the administrative route of first admission, not underlying occupation or later movement between categories. Someone entering on a highly skilled worker or researcher permit is counted in the numerator regardless of the job performed after arrival; someone entering through the general employment category stays in the denominator even if they later move into a high-skilled role. This distinction is central to interpreting the count results in Section 7.3.</w:t>
      </w:r>
    </w:p>
    <w:p w14:paraId="75F13D68" w14:textId="77777777" w:rsidR="0078507D" w:rsidRPr="0078507D" w:rsidRDefault="00313B8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This first-permit classification matches the point at which the policies operate: initial admission. It therefore measures the margin most directly affected by the policy changes recorded in DEMIG-QuantMig.</w:t>
      </w:r>
    </w:p>
    <w:p w14:paraId="42CDB70B"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main dependent variable is the high-skilled share of employment-related first residence permits: high-skilled permits divided by all employment-related permits. It is not the high-skilled share of all workers in the destination economy. The supporting PPML outcome in Section 7.3 is the number of high-skilled permits, labelled HSNumber.</w:t>
      </w:r>
    </w:p>
    <w:p w14:paraId="68F3E900"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Eurostat export provides no ready-made Non-EU and EU27 aggregates, so the code sums citizenship rows using a fixed EU27-2020 classification: the Non-EU group contains citizenships outside those 27 members, and the EU27 group contains them while excluding the reporting country. Membership is constant over time, which places UK citizenship outside and Croatia inside the EU27 group throughout the panel - a measurement choice, not a time-varying rule for legal exposure.</w:t>
      </w:r>
    </w:p>
    <w:p w14:paraId="703E9431" w14:textId="77777777" w:rsidR="00961C7F" w:rsidRDefault="008A042F">
      <w:pPr>
        <w:pStyle w:val="Heading2"/>
      </w:pPr>
      <w:r>
        <w:t>6.2 Policy regressor: DEMIG-</w:t>
      </w:r>
      <w:proofErr w:type="spellStart"/>
      <w:r>
        <w:t>QuantMig</w:t>
      </w:r>
      <w:proofErr w:type="spellEnd"/>
    </w:p>
    <w:p w14:paraId="2BC80AEC" w14:textId="77777777" w:rsidR="00961C7F" w:rsidRDefault="008A042F" w:rsidP="00C36469">
      <w:pPr>
        <w:jc w:val="both"/>
      </w:pPr>
      <w:r>
        <w:t xml:space="preserve">The restrictiveness measure used in this thesis is not a ready-made numerical score supplied in the dataset. It is constructed from the event-level DEMIG-QuantMig Migration Policy Database (Schreier, Skrabal, and </w:t>
      </w:r>
      <w:proofErr w:type="spellStart"/>
      <w:r>
        <w:t>Czaika</w:t>
      </w:r>
      <w:proofErr w:type="spellEnd"/>
      <w:r>
        <w:t xml:space="preserve"> 2023), which records dated migration-policy reforms rather than legal-stock snapshots. The local export used for replication contains 7,643 rows for 31 European countries, with dated policy records running from 1989 through 2020. Each row is one recorded policy event, with fields for destination country, year, policy area, policy tool, target group, target origin, restrictiveness direction, and magnitude. The thesis then filters these records to match the research design described in the next paragraphs.</w:t>
      </w:r>
    </w:p>
    <w:p w14:paraId="3457C199" w14:textId="77777777" w:rsidR="008F026E" w:rsidRDefault="00000000">
      <w:pPr>
        <w:jc w:val="both"/>
      </w:pPr>
      <w:r>
        <w:lastRenderedPageBreak/>
        <w:t>These event-level fields make it possible to build a country-year measure of policy tightening and liberalization that can be matched to Eurostat's annual permit outcomes. The result is the Restrict measure used in the Section 5 specifications. Each event's signed direction is multiplied by its magnitude weight, so fine-tuning reforms receive a weight of one and major reforms a weight of four.</w:t>
      </w:r>
    </w:p>
    <w:p w14:paraId="25AAD776" w14:textId="77777777" w:rsidR="00961C7F" w:rsidRDefault="008A042F" w:rsidP="00C36469">
      <w:pPr>
        <w:jc w:val="both"/>
      </w:pPr>
      <w:r>
        <w:t>The construction proceeds in four steps. First, only events between 2007 and 2019 in the policy area Legal entry and stay are retained, because the outcome is based on first residence permits issued for employment-related entry and stay rather than asylum, border control, exit, or integration policy. The country-year policy panel includes an empty 2020 row so the extended-window robustness can pair the 2020 outcome with the lagged policy score through 2019; policy events adopted in 2020 do not enter any estimate because no 2021 outcome is observed. Second, only events targeting the relevant migrant group and coded for All foreign nationalities enter each measure. The analysis distinguishes three policy definitions: the skilled/high-skilled-targeted measure, the low-skilled-targeted measure, and the all-migrant-worker-only measure. The all-migrant-worker-only definition remains the coefficient of interest in the preferred model, while the skilled/high-skilled and low-skilled definitions enter as policy controls. Events aimed only at EU citizens are not relevant to the Non-EU outcome, while events aimed at specific nationalities are excluded because assigning them to every bilateral origin would misclassify exposure.</w:t>
      </w:r>
    </w:p>
    <w:p w14:paraId="26188B48" w14:textId="77777777" w:rsidR="00FC7713" w:rsidRDefault="008A042F" w:rsidP="00C36469">
      <w:pPr>
        <w:jc w:val="both"/>
      </w:pPr>
      <w:r>
        <w:t>These two target-group measures are included to avoid mixing the main policy channel with reforms that directly affect one side of the ratio. The skilled/high-skilled control captures changes aimed specifically at skilled or high-skilled migrants, which may directly affect the high-skilled numerator. The low-skilled control captures changes aimed specifically at lower-skilled migrants, which may affect the lower-skilled part of the denominator. They are therefore adjustment variables; the main coefficient remains the all-migrant-worker policy-change score.</w:t>
      </w:r>
    </w:p>
    <w:p w14:paraId="16A41297" w14:textId="77777777" w:rsidR="00961C7F" w:rsidRDefault="008A042F" w:rsidP="00C36469">
      <w:pPr>
        <w:jc w:val="both"/>
      </w:pPr>
      <w:r>
        <w:t>The remaining two steps translate retained events into a numerical score. Each event is converted into a signed magnitude, where direction is coded as More restrictive = +1, Less restrictive = -1, and No change = 0, and where magnitude is coded as Fine-tuning = 1, Minor = 2, Mid-level = 3, and Major = 4. Events with N/A magnitude are retained with weight 1, so that an assessable restrictiveness change is not dropped only because its size is not separately graded. Finally, the event score is the product of direction and magnitude, annual policy-flow scores are summed within each country-year, and the cumulative net policy-change score is the running country-year sum of those annual scores.</w:t>
      </w:r>
    </w:p>
    <w:p w14:paraId="2F69DEA2" w14:textId="77777777" w:rsidR="007830C2" w:rsidRDefault="008A042F" w:rsidP="00C36469">
      <w:pPr>
        <w:jc w:val="both"/>
      </w:pPr>
      <w:r>
        <w:t xml:space="preserve">Formally, let </w:t>
      </w:r>
      <w:proofErr w:type="spellStart"/>
      <w:r>
        <w:t>i</w:t>
      </w:r>
      <w:proofErr w:type="spellEnd"/>
      <w:r>
        <w:t xml:space="preserve"> index a recorded DEMIG-QuantMig event with assigned restrictiveness-direction code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in {+1, 0, -1}, where +1 = More restrictive, 0 = No change, and -1 = Less restrictive, and </w:t>
      </w:r>
      <w:r>
        <w:lastRenderedPageBreak/>
        <w:t xml:space="preserve">magnitude weight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in {1, 2, 3, 4}</w:t>
      </w:r>
      <w:r w:rsidR="00AF385B">
        <w:t xml:space="preserve">. </w:t>
      </w:r>
      <w:r>
        <w:t xml:space="preserve">The signed event score, denoted </w:t>
      </w:r>
      <w:r>
        <w:rPr>
          <w:i/>
        </w:rPr>
        <w:t>e</w:t>
      </w:r>
      <w:r>
        <w:rPr>
          <w:i/>
          <w:vertAlign w:val="subscript"/>
        </w:rPr>
        <w:t>i</w:t>
      </w:r>
      <w:r>
        <w:t xml:space="preserve">, is the product of direction and magnitude. Thus, </w:t>
      </w:r>
      <w:r>
        <w:rPr>
          <w:i/>
        </w:rPr>
        <w:t>i</w:t>
      </w:r>
      <w:r>
        <w:t xml:space="preserve"> identifies the event, while </w:t>
      </w:r>
      <w:r>
        <w:rPr>
          <w:i/>
        </w:rPr>
        <w:t>e</w:t>
      </w:r>
      <w:r>
        <w:rPr>
          <w:i/>
          <w:vertAlign w:val="subscript"/>
        </w:rPr>
        <w:t>i</w:t>
      </w:r>
      <w:r>
        <w:t xml:space="preserve"> is its numerical score:</w:t>
      </w:r>
    </w:p>
    <w:p w14:paraId="0B8EB409" w14:textId="77777777" w:rsidR="007830C2" w:rsidRDefault="008A042F">
      <w:r>
        <w:rPr>
          <w:b/>
        </w:rPr>
        <w:t>Magnitude weight assignment used to build the Restrict measure:</w:t>
      </w:r>
    </w:p>
    <w:p w14:paraId="7C9D862C"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oMath>
      </m:oMathPara>
    </w:p>
    <w:p w14:paraId="42313C12" w14:textId="77777777" w:rsidR="007830C2" w:rsidRDefault="008A042F" w:rsidP="001B5A82">
      <w:pPr>
        <w:jc w:val="both"/>
      </w:pPr>
      <w:r>
        <w:t>For destination d and year t, E(d,t) denotes the set of retained events in that destination-year. The annual policy-flow score is the sum of their signed event scores:</w:t>
      </w:r>
    </w:p>
    <w:p w14:paraId="75DA6291"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PolicyFlow</m:t>
              </m:r>
            </m:e>
            <m:sub>
              <m:r>
                <w:rPr>
                  <w:rFonts w:ascii="Cambria Math" w:hAnsi="Cambria Math"/>
                </w:rPr>
                <m:t>d,t</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i∈E(d,t)</m:t>
              </m:r>
            </m:sub>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14:paraId="56044152" w14:textId="77777777" w:rsidR="007830C2" w:rsidRDefault="008A042F" w:rsidP="001B5A82">
      <w:pPr>
        <w:jc w:val="both"/>
      </w:pPr>
      <w:r>
        <w:t>The cumulative version of Restrict is the running country-year sum of the annual policy-flow scores from the 2007 baseline through year t. The baseline permit outcomes are observed from 2008 to 2019, while the policy-score panel begins in 2007 so that the one-year policy lag is defined for the first outcome year. Under this lag structure, the 2019 baseline outcome uses the cumulative score through 2018. The extended-window robustness adds the 2020 outcome and pairs it with the score through 2019. The fully controlled aggregate and bilateral regressions nevertheless begin in 2009, because Eurostat's first-permit series begins in 2008 and cannot supply the lagged PermitScale required for a 2008 full-control observation.</w:t>
      </w:r>
    </w:p>
    <w:p w14:paraId="7C4ACF29"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Restrict</m:t>
              </m:r>
            </m:e>
            <m:sub>
              <m:r>
                <w:rPr>
                  <w:rFonts w:ascii="Cambria Math" w:hAnsi="Cambria Math"/>
                </w:rPr>
                <m:t>d,t</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s=2007</m:t>
              </m:r>
            </m:sub>
            <m:sup>
              <m:r>
                <w:rPr>
                  <w:rFonts w:ascii="Cambria Math" w:hAnsi="Cambria Math"/>
                </w:rPr>
                <m:t>t</m:t>
              </m:r>
            </m:sup>
            <m:e>
              <m:sSub>
                <m:sSubPr>
                  <m:ctrlPr>
                    <w:rPr>
                      <w:rFonts w:ascii="Cambria Math" w:hAnsi="Cambria Math"/>
                    </w:rPr>
                  </m:ctrlPr>
                </m:sSubPr>
                <m:e>
                  <m:r>
                    <w:rPr>
                      <w:rFonts w:ascii="Cambria Math" w:hAnsi="Cambria Math"/>
                    </w:rPr>
                    <m:t>PolicyFlow</m:t>
                  </m:r>
                </m:e>
                <m:sub>
                  <m:r>
                    <w:rPr>
                      <w:rFonts w:ascii="Cambria Math" w:hAnsi="Cambria Math"/>
                    </w:rPr>
                    <m:t>d,s</m:t>
                  </m:r>
                </m:sub>
              </m:sSub>
            </m:e>
          </m:nary>
        </m:oMath>
      </m:oMathPara>
    </w:p>
    <w:p w14:paraId="5CFA5912" w14:textId="77777777" w:rsidR="007830C2" w:rsidRDefault="008A042F" w:rsidP="001B5A82">
      <w:pPr>
        <w:jc w:val="both"/>
      </w:pPr>
      <w:r>
        <w:t>The empirical specifications use the one-year lag of this cumulative score,</w:t>
      </w:r>
      <w:r w:rsidR="006858D5">
        <w:t xml:space="preserve"> </w:t>
      </w:r>
      <w:proofErr w:type="gramStart"/>
      <w:r>
        <w:t>Restrict</w:t>
      </w:r>
      <w:r>
        <w:rPr>
          <w:vertAlign w:val="subscript"/>
        </w:rPr>
        <w:t>d,t</w:t>
      </w:r>
      <w:proofErr w:type="gramEnd"/>
      <w:r>
        <w:rPr>
          <w:vertAlign w:val="subscript"/>
        </w:rPr>
        <w:t>-1</w:t>
      </w:r>
      <w:r>
        <w:t xml:space="preserve">, and the annual-flow regressor is the one-year lag of the annual policy-flow score, </w:t>
      </w:r>
      <w:proofErr w:type="gramStart"/>
      <w:r>
        <w:t>PolicyFlow</w:t>
      </w:r>
      <w:r>
        <w:rPr>
          <w:vertAlign w:val="subscript"/>
        </w:rPr>
        <w:t>d,t</w:t>
      </w:r>
      <w:proofErr w:type="gramEnd"/>
      <w:r>
        <w:rPr>
          <w:vertAlign w:val="subscript"/>
        </w:rPr>
        <w:t>-1</w:t>
      </w:r>
      <w:r>
        <w:t xml:space="preserve">. By construction, positive values of </w:t>
      </w:r>
      <w:proofErr w:type="spellStart"/>
      <w:proofErr w:type="gramStart"/>
      <w:r>
        <w:t>Restrict</w:t>
      </w:r>
      <w:r>
        <w:rPr>
          <w:vertAlign w:val="subscript"/>
        </w:rPr>
        <w:t>d,t</w:t>
      </w:r>
      <w:proofErr w:type="spellEnd"/>
      <w:proofErr w:type="gramEnd"/>
      <w:r>
        <w:t xml:space="preserve"> indicate that the retained policy changes through year t are net restrictive, and negative values indicate net liberalizing. A value of zero corresponds to either no change since the baseline or restrictive and liberalizing changes that exactly offset each other in magnitude-weighted terms.</w:t>
      </w:r>
    </w:p>
    <w:p w14:paraId="0B37E714" w14:textId="77777777" w:rsidR="00FD065E" w:rsidRDefault="00FD065E">
      <w:pPr>
        <w:jc w:val="center"/>
        <w:rPr>
          <w:b/>
          <w:i/>
          <w:sz w:val="18"/>
        </w:rPr>
      </w:pPr>
    </w:p>
    <w:p w14:paraId="7AA88E14" w14:textId="77777777" w:rsidR="00961C7F" w:rsidRDefault="008A042F">
      <w:pPr>
        <w:jc w:val="center"/>
      </w:pPr>
      <w:r>
        <w:rPr>
          <w:b/>
          <w:i/>
          <w:sz w:val="18"/>
        </w:rPr>
        <w:t>Table 1. Construction of the cumulative net policy-change measure, step by step.</w:t>
      </w:r>
    </w:p>
    <w:tbl>
      <w:tblPr>
        <w:tblW w:w="9000" w:type="dxa"/>
        <w:jc w:val="center"/>
        <w:tblLayout w:type="fixed"/>
        <w:tblCellMar>
          <w:top w:w="80" w:type="dxa"/>
          <w:left w:w="80" w:type="dxa"/>
          <w:bottom w:w="80" w:type="dxa"/>
          <w:right w:w="80" w:type="dxa"/>
        </w:tblCellMar>
        <w:tblLook w:val="04A0" w:firstRow="1" w:lastRow="0" w:firstColumn="1" w:lastColumn="0" w:noHBand="0" w:noVBand="1"/>
      </w:tblPr>
      <w:tblGrid>
        <w:gridCol w:w="1899"/>
        <w:gridCol w:w="4396"/>
        <w:gridCol w:w="2705"/>
      </w:tblGrid>
      <w:tr w:rsidR="00961C7F" w14:paraId="072B1E97" w14:textId="77777777" w:rsidTr="00A65EA8">
        <w:trPr>
          <w:cantSplit/>
          <w:tblHeader/>
          <w:jc w:val="center"/>
        </w:trPr>
        <w:tc>
          <w:tcPr>
            <w:tcW w:w="1899" w:type="dxa"/>
            <w:tcBorders>
              <w:top w:val="single" w:sz="4" w:space="0" w:color="BFBFBF"/>
              <w:left w:val="single" w:sz="4" w:space="0" w:color="BFBFBF"/>
              <w:bottom w:val="single" w:sz="4" w:space="0" w:color="BFBFBF"/>
              <w:right w:val="single" w:sz="4" w:space="0" w:color="BFBFBF"/>
            </w:tcBorders>
          </w:tcPr>
          <w:p w14:paraId="2F5F8EBA" w14:textId="77777777" w:rsidR="00961C7F" w:rsidRDefault="008A042F">
            <w:pPr>
              <w:spacing w:after="0" w:line="240" w:lineRule="auto"/>
            </w:pPr>
            <w:r>
              <w:rPr>
                <w:b/>
                <w:sz w:val="20"/>
                <w:szCs w:val="20"/>
              </w:rPr>
              <w:t>Construction step</w:t>
            </w:r>
          </w:p>
        </w:tc>
        <w:tc>
          <w:tcPr>
            <w:tcW w:w="4396" w:type="dxa"/>
            <w:tcBorders>
              <w:top w:val="single" w:sz="4" w:space="0" w:color="BFBFBF"/>
              <w:left w:val="single" w:sz="4" w:space="0" w:color="BFBFBF"/>
              <w:bottom w:val="single" w:sz="4" w:space="0" w:color="BFBFBF"/>
              <w:right w:val="single" w:sz="4" w:space="0" w:color="BFBFBF"/>
            </w:tcBorders>
          </w:tcPr>
          <w:p w14:paraId="7FF339FA" w14:textId="77777777" w:rsidR="00961C7F" w:rsidRDefault="008A042F">
            <w:pPr>
              <w:spacing w:after="0" w:line="240" w:lineRule="auto"/>
            </w:pPr>
            <w:r>
              <w:rPr>
                <w:b/>
                <w:sz w:val="20"/>
                <w:szCs w:val="20"/>
              </w:rPr>
              <w:t>Information taken from DEMIG-QuantMig</w:t>
            </w:r>
          </w:p>
        </w:tc>
        <w:tc>
          <w:tcPr>
            <w:tcW w:w="2705" w:type="dxa"/>
            <w:tcBorders>
              <w:top w:val="single" w:sz="4" w:space="0" w:color="BFBFBF"/>
              <w:left w:val="single" w:sz="4" w:space="0" w:color="BFBFBF"/>
              <w:bottom w:val="single" w:sz="4" w:space="0" w:color="BFBFBF"/>
              <w:right w:val="single" w:sz="4" w:space="0" w:color="BFBFBF"/>
            </w:tcBorders>
          </w:tcPr>
          <w:p w14:paraId="310425CE" w14:textId="77777777" w:rsidR="00961C7F" w:rsidRDefault="008A042F">
            <w:pPr>
              <w:spacing w:after="0" w:line="240" w:lineRule="auto"/>
            </w:pPr>
            <w:r>
              <w:rPr>
                <w:b/>
                <w:sz w:val="20"/>
                <w:szCs w:val="20"/>
              </w:rPr>
              <w:t>Measure created in this thesis</w:t>
            </w:r>
          </w:p>
        </w:tc>
      </w:tr>
      <w:tr w:rsidR="00961C7F" w14:paraId="47796D53"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1C4136AA" w14:textId="77777777" w:rsidR="00961C7F" w:rsidRDefault="008A042F">
            <w:pPr>
              <w:spacing w:after="0" w:line="240" w:lineRule="auto"/>
            </w:pPr>
            <w:r>
              <w:rPr>
                <w:sz w:val="20"/>
                <w:szCs w:val="20"/>
              </w:rPr>
              <w:t>Raw event source</w:t>
            </w:r>
          </w:p>
        </w:tc>
        <w:tc>
          <w:tcPr>
            <w:tcW w:w="4396" w:type="dxa"/>
            <w:tcBorders>
              <w:top w:val="single" w:sz="4" w:space="0" w:color="BFBFBF"/>
              <w:left w:val="single" w:sz="4" w:space="0" w:color="BFBFBF"/>
              <w:bottom w:val="single" w:sz="4" w:space="0" w:color="BFBFBF"/>
              <w:right w:val="single" w:sz="4" w:space="0" w:color="BFBFBF"/>
            </w:tcBorders>
          </w:tcPr>
          <w:p w14:paraId="0CDAC6E4" w14:textId="77777777" w:rsidR="00961C7F" w:rsidRDefault="008A042F">
            <w:pPr>
              <w:spacing w:after="0" w:line="240" w:lineRule="auto"/>
            </w:pPr>
            <w:r>
              <w:rPr>
                <w:sz w:val="20"/>
                <w:szCs w:val="20"/>
              </w:rPr>
              <w:t>Destination country, year, policy area, policy tool, target group, target origin, restrictiveness direction, and magnitude</w:t>
            </w:r>
          </w:p>
        </w:tc>
        <w:tc>
          <w:tcPr>
            <w:tcW w:w="2705" w:type="dxa"/>
            <w:tcBorders>
              <w:top w:val="single" w:sz="4" w:space="0" w:color="BFBFBF"/>
              <w:left w:val="single" w:sz="4" w:space="0" w:color="BFBFBF"/>
              <w:bottom w:val="single" w:sz="4" w:space="0" w:color="BFBFBF"/>
              <w:right w:val="single" w:sz="4" w:space="0" w:color="BFBFBF"/>
            </w:tcBorders>
          </w:tcPr>
          <w:p w14:paraId="400CD5F8" w14:textId="77777777" w:rsidR="00961C7F" w:rsidRDefault="008A042F">
            <w:pPr>
              <w:spacing w:after="0" w:line="240" w:lineRule="auto"/>
            </w:pPr>
            <w:r>
              <w:rPr>
                <w:sz w:val="20"/>
                <w:szCs w:val="20"/>
              </w:rPr>
              <w:t>Event-level policy reform file</w:t>
            </w:r>
          </w:p>
        </w:tc>
      </w:tr>
      <w:tr w:rsidR="00961C7F" w14:paraId="35CA1826"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1863E804" w14:textId="77777777" w:rsidR="00961C7F" w:rsidRDefault="008A042F">
            <w:pPr>
              <w:spacing w:after="0" w:line="240" w:lineRule="auto"/>
            </w:pPr>
            <w:r>
              <w:rPr>
                <w:sz w:val="20"/>
                <w:szCs w:val="20"/>
              </w:rPr>
              <w:lastRenderedPageBreak/>
              <w:t>Sample filter</w:t>
            </w:r>
          </w:p>
        </w:tc>
        <w:tc>
          <w:tcPr>
            <w:tcW w:w="4396" w:type="dxa"/>
            <w:tcBorders>
              <w:top w:val="single" w:sz="4" w:space="0" w:color="BFBFBF"/>
              <w:left w:val="single" w:sz="4" w:space="0" w:color="BFBFBF"/>
              <w:bottom w:val="single" w:sz="4" w:space="0" w:color="BFBFBF"/>
              <w:right w:val="single" w:sz="4" w:space="0" w:color="BFBFBF"/>
            </w:tcBorders>
          </w:tcPr>
          <w:p w14:paraId="4BC89348" w14:textId="77777777" w:rsidR="00961C7F" w:rsidRDefault="008A042F">
            <w:pPr>
              <w:spacing w:after="0" w:line="240" w:lineRule="auto"/>
            </w:pPr>
            <w:r>
              <w:rPr>
                <w:sz w:val="20"/>
                <w:szCs w:val="20"/>
              </w:rPr>
              <w:t>2007-2019 policy events; Legal entry and stay; relevant labor-migration target group; target origin All foreign nationalities (baseline permit outcomes: 2008-2019; 2020 added only in robustness)</w:t>
            </w:r>
          </w:p>
        </w:tc>
        <w:tc>
          <w:tcPr>
            <w:tcW w:w="2705" w:type="dxa"/>
            <w:tcBorders>
              <w:top w:val="single" w:sz="4" w:space="0" w:color="BFBFBF"/>
              <w:left w:val="single" w:sz="4" w:space="0" w:color="BFBFBF"/>
              <w:bottom w:val="single" w:sz="4" w:space="0" w:color="BFBFBF"/>
              <w:right w:val="single" w:sz="4" w:space="0" w:color="BFBFBF"/>
            </w:tcBorders>
          </w:tcPr>
          <w:p w14:paraId="68C702FA" w14:textId="77777777" w:rsidR="00961C7F" w:rsidRDefault="008A042F">
            <w:pPr>
              <w:spacing w:after="0" w:line="240" w:lineRule="auto"/>
            </w:pPr>
            <w:r>
              <w:rPr>
                <w:sz w:val="20"/>
                <w:szCs w:val="20"/>
              </w:rPr>
              <w:t>Retained policy events</w:t>
            </w:r>
          </w:p>
        </w:tc>
      </w:tr>
      <w:tr w:rsidR="00961C7F" w14:paraId="7F487016"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250D2FCA" w14:textId="77777777" w:rsidR="00961C7F" w:rsidRDefault="008A042F">
            <w:pPr>
              <w:spacing w:after="0" w:line="240" w:lineRule="auto"/>
            </w:pPr>
            <w:r>
              <w:rPr>
                <w:sz w:val="20"/>
                <w:szCs w:val="20"/>
              </w:rPr>
              <w:t>Direction coding</w:t>
            </w:r>
          </w:p>
        </w:tc>
        <w:tc>
          <w:tcPr>
            <w:tcW w:w="4396" w:type="dxa"/>
            <w:tcBorders>
              <w:top w:val="single" w:sz="4" w:space="0" w:color="BFBFBF"/>
              <w:left w:val="single" w:sz="4" w:space="0" w:color="BFBFBF"/>
              <w:bottom w:val="single" w:sz="4" w:space="0" w:color="BFBFBF"/>
              <w:right w:val="single" w:sz="4" w:space="0" w:color="BFBFBF"/>
            </w:tcBorders>
          </w:tcPr>
          <w:p w14:paraId="05EF24E3" w14:textId="77777777" w:rsidR="00961C7F" w:rsidRDefault="008A042F">
            <w:pPr>
              <w:spacing w:after="0" w:line="240" w:lineRule="auto"/>
            </w:pPr>
            <w:r>
              <w:rPr>
                <w:sz w:val="20"/>
                <w:szCs w:val="20"/>
              </w:rPr>
              <w:t xml:space="preserve">More restrictive, </w:t>
            </w:r>
            <w:proofErr w:type="gramStart"/>
            <w:r>
              <w:rPr>
                <w:sz w:val="20"/>
                <w:szCs w:val="20"/>
              </w:rPr>
              <w:t>Less</w:t>
            </w:r>
            <w:proofErr w:type="gramEnd"/>
            <w:r>
              <w:rPr>
                <w:sz w:val="20"/>
                <w:szCs w:val="20"/>
              </w:rPr>
              <w:t xml:space="preserve"> restrictive, No change</w:t>
            </w:r>
          </w:p>
        </w:tc>
        <w:tc>
          <w:tcPr>
            <w:tcW w:w="2705" w:type="dxa"/>
            <w:tcBorders>
              <w:top w:val="single" w:sz="4" w:space="0" w:color="BFBFBF"/>
              <w:left w:val="single" w:sz="4" w:space="0" w:color="BFBFBF"/>
              <w:bottom w:val="single" w:sz="4" w:space="0" w:color="BFBFBF"/>
              <w:right w:val="single" w:sz="4" w:space="0" w:color="BFBFBF"/>
            </w:tcBorders>
          </w:tcPr>
          <w:p w14:paraId="4266DD66" w14:textId="77777777" w:rsidR="00961C7F" w:rsidRDefault="008A042F">
            <w:pPr>
              <w:spacing w:after="0" w:line="240" w:lineRule="auto"/>
            </w:pPr>
            <w:r>
              <w:rPr>
                <w:sz w:val="20"/>
                <w:szCs w:val="20"/>
              </w:rPr>
              <w:t>+1, -1, or 0</w:t>
            </w:r>
          </w:p>
        </w:tc>
      </w:tr>
      <w:tr w:rsidR="00961C7F" w14:paraId="082CA453"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1900FAA0" w14:textId="77777777" w:rsidR="00961C7F" w:rsidRDefault="008A042F">
            <w:pPr>
              <w:spacing w:after="0" w:line="240" w:lineRule="auto"/>
            </w:pPr>
            <w:r>
              <w:rPr>
                <w:sz w:val="20"/>
                <w:szCs w:val="20"/>
              </w:rPr>
              <w:t>Magnitude coding</w:t>
            </w:r>
          </w:p>
        </w:tc>
        <w:tc>
          <w:tcPr>
            <w:tcW w:w="4396" w:type="dxa"/>
            <w:tcBorders>
              <w:top w:val="single" w:sz="4" w:space="0" w:color="BFBFBF"/>
              <w:left w:val="single" w:sz="4" w:space="0" w:color="BFBFBF"/>
              <w:bottom w:val="single" w:sz="4" w:space="0" w:color="BFBFBF"/>
              <w:right w:val="single" w:sz="4" w:space="0" w:color="BFBFBF"/>
            </w:tcBorders>
          </w:tcPr>
          <w:p w14:paraId="559B7E8D" w14:textId="77777777" w:rsidR="00961C7F" w:rsidRDefault="008A042F">
            <w:pPr>
              <w:spacing w:after="0" w:line="240" w:lineRule="auto"/>
            </w:pPr>
            <w:r>
              <w:rPr>
                <w:sz w:val="20"/>
                <w:szCs w:val="20"/>
              </w:rPr>
              <w:t>Fine-tuning, Minor, Mid-level, Major, or N/A</w:t>
            </w:r>
          </w:p>
        </w:tc>
        <w:tc>
          <w:tcPr>
            <w:tcW w:w="2705" w:type="dxa"/>
            <w:tcBorders>
              <w:top w:val="single" w:sz="4" w:space="0" w:color="BFBFBF"/>
              <w:left w:val="single" w:sz="4" w:space="0" w:color="BFBFBF"/>
              <w:bottom w:val="single" w:sz="4" w:space="0" w:color="BFBFBF"/>
              <w:right w:val="single" w:sz="4" w:space="0" w:color="BFBFBF"/>
            </w:tcBorders>
          </w:tcPr>
          <w:p w14:paraId="4952CA6D" w14:textId="77777777" w:rsidR="00961C7F" w:rsidRDefault="008A042F">
            <w:pPr>
              <w:spacing w:after="0" w:line="240" w:lineRule="auto"/>
            </w:pPr>
            <w:r>
              <w:rPr>
                <w:sz w:val="20"/>
                <w:szCs w:val="20"/>
              </w:rPr>
              <w:t>1, 2, 3, 4, or retained weight 1</w:t>
            </w:r>
          </w:p>
        </w:tc>
      </w:tr>
      <w:tr w:rsidR="00961C7F" w14:paraId="278F1C20"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33A8A6C5" w14:textId="77777777" w:rsidR="00961C7F" w:rsidRDefault="008A042F">
            <w:pPr>
              <w:spacing w:after="0" w:line="240" w:lineRule="auto"/>
            </w:pPr>
            <w:r>
              <w:rPr>
                <w:sz w:val="20"/>
                <w:szCs w:val="20"/>
              </w:rPr>
              <w:t>Annual policy flow</w:t>
            </w:r>
          </w:p>
        </w:tc>
        <w:tc>
          <w:tcPr>
            <w:tcW w:w="4396" w:type="dxa"/>
            <w:tcBorders>
              <w:top w:val="single" w:sz="4" w:space="0" w:color="BFBFBF"/>
              <w:left w:val="single" w:sz="4" w:space="0" w:color="BFBFBF"/>
              <w:bottom w:val="single" w:sz="4" w:space="0" w:color="BFBFBF"/>
              <w:right w:val="single" w:sz="4" w:space="0" w:color="BFBFBF"/>
            </w:tcBorders>
          </w:tcPr>
          <w:p w14:paraId="6812AA42" w14:textId="77777777" w:rsidR="00961C7F" w:rsidRDefault="008A042F">
            <w:pPr>
              <w:spacing w:after="0" w:line="240" w:lineRule="auto"/>
            </w:pPr>
            <w:r>
              <w:rPr>
                <w:sz w:val="20"/>
                <w:szCs w:val="20"/>
              </w:rPr>
              <w:t>All retained events in a country-year</w:t>
            </w:r>
          </w:p>
        </w:tc>
        <w:tc>
          <w:tcPr>
            <w:tcW w:w="2705" w:type="dxa"/>
            <w:tcBorders>
              <w:top w:val="single" w:sz="4" w:space="0" w:color="BFBFBF"/>
              <w:left w:val="single" w:sz="4" w:space="0" w:color="BFBFBF"/>
              <w:bottom w:val="single" w:sz="4" w:space="0" w:color="BFBFBF"/>
              <w:right w:val="single" w:sz="4" w:space="0" w:color="BFBFBF"/>
            </w:tcBorders>
          </w:tcPr>
          <w:p w14:paraId="2F1A85E3" w14:textId="77777777" w:rsidR="00961C7F" w:rsidRDefault="008A042F">
            <w:pPr>
              <w:spacing w:after="0" w:line="240" w:lineRule="auto"/>
            </w:pPr>
            <w:r>
              <w:rPr>
                <w:sz w:val="20"/>
                <w:szCs w:val="20"/>
              </w:rPr>
              <w:t>Sum of signed event scores</w:t>
            </w:r>
          </w:p>
        </w:tc>
      </w:tr>
      <w:tr w:rsidR="00961C7F" w14:paraId="482AF0EA"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3836B61E" w14:textId="77777777" w:rsidR="00961C7F" w:rsidRDefault="008A042F">
            <w:pPr>
              <w:spacing w:after="0" w:line="240" w:lineRule="auto"/>
            </w:pPr>
            <w:r>
              <w:rPr>
                <w:sz w:val="20"/>
                <w:szCs w:val="20"/>
              </w:rPr>
              <w:t>Cumulative measure</w:t>
            </w:r>
          </w:p>
        </w:tc>
        <w:tc>
          <w:tcPr>
            <w:tcW w:w="4396" w:type="dxa"/>
            <w:tcBorders>
              <w:top w:val="single" w:sz="4" w:space="0" w:color="BFBFBF"/>
              <w:left w:val="single" w:sz="4" w:space="0" w:color="BFBFBF"/>
              <w:bottom w:val="single" w:sz="4" w:space="0" w:color="BFBFBF"/>
              <w:right w:val="single" w:sz="4" w:space="0" w:color="BFBFBF"/>
            </w:tcBorders>
          </w:tcPr>
          <w:p w14:paraId="25F5631C" w14:textId="77777777" w:rsidR="00961C7F" w:rsidRDefault="008A042F">
            <w:pPr>
              <w:spacing w:after="0" w:line="240" w:lineRule="auto"/>
            </w:pPr>
            <w:r>
              <w:rPr>
                <w:sz w:val="20"/>
                <w:szCs w:val="20"/>
              </w:rPr>
              <w:t>Country-year running total of annual policy-flow scores</w:t>
            </w:r>
          </w:p>
        </w:tc>
        <w:tc>
          <w:tcPr>
            <w:tcW w:w="2705" w:type="dxa"/>
            <w:tcBorders>
              <w:top w:val="single" w:sz="4" w:space="0" w:color="BFBFBF"/>
              <w:left w:val="single" w:sz="4" w:space="0" w:color="BFBFBF"/>
              <w:bottom w:val="single" w:sz="4" w:space="0" w:color="BFBFBF"/>
              <w:right w:val="single" w:sz="4" w:space="0" w:color="BFBFBF"/>
            </w:tcBorders>
          </w:tcPr>
          <w:p w14:paraId="51E7E437" w14:textId="77777777" w:rsidR="00961C7F" w:rsidRDefault="008A042F">
            <w:pPr>
              <w:spacing w:after="0" w:line="240" w:lineRule="auto"/>
            </w:pPr>
            <w:r>
              <w:rPr>
                <w:sz w:val="20"/>
                <w:szCs w:val="20"/>
              </w:rPr>
              <w:t>Cumulative net policy change</w:t>
            </w:r>
          </w:p>
        </w:tc>
      </w:tr>
    </w:tbl>
    <w:p w14:paraId="3269202B" w14:textId="77777777" w:rsidR="00B754C4" w:rsidRDefault="00B754C4" w:rsidP="001B5A82">
      <w:pPr>
        <w:jc w:val="both"/>
      </w:pPr>
    </w:p>
    <w:p w14:paraId="0603DF53" w14:textId="77777777" w:rsidR="00961C7F" w:rsidRDefault="008A042F" w:rsidP="001B5A82">
      <w:pPr>
        <w:jc w:val="both"/>
      </w:pPr>
      <w:r>
        <w:t>This is a thesis-specific, magnitude-weighted summary of DEMIG-QuantMig policy events, not an official DEMIG score.</w:t>
      </w:r>
    </w:p>
    <w:p w14:paraId="5D9B347D" w14:textId="77777777" w:rsidR="00961C7F" w:rsidRDefault="008A042F" w:rsidP="001B5A82">
      <w:pPr>
        <w:jc w:val="both"/>
      </w:pPr>
      <w:r>
        <w:t>The retained events comprise 245 skilled/high-skilled reforms, 59 low-skilled reforms, and 178 all-migrant-worker reforms. The all-migrant-worker score is the focal measure; the two skill-targeted scores enter as controls.</w:t>
      </w:r>
    </w:p>
    <w:p w14:paraId="2639883D" w14:textId="77777777" w:rsidR="00961C7F" w:rsidRDefault="008A042F">
      <w:pPr>
        <w:jc w:val="center"/>
      </w:pPr>
      <w:r>
        <w:t>Table 2. Policy event counts under three target-group definitions, target origin All foreign nationalities, 2007-2019.</w:t>
      </w:r>
    </w:p>
    <w:tbl>
      <w:tblPr>
        <w:tblW w:w="9026" w:type="dxa"/>
        <w:jc w:val="center"/>
        <w:tblLayout w:type="fixed"/>
        <w:tblCellMar>
          <w:top w:w="80" w:type="dxa"/>
          <w:left w:w="80" w:type="dxa"/>
          <w:bottom w:w="80" w:type="dxa"/>
          <w:right w:w="80" w:type="dxa"/>
        </w:tblCellMar>
        <w:tblLook w:val="04A0" w:firstRow="1" w:lastRow="0" w:firstColumn="1" w:lastColumn="0" w:noHBand="0" w:noVBand="1"/>
      </w:tblPr>
      <w:tblGrid>
        <w:gridCol w:w="2522"/>
        <w:gridCol w:w="971"/>
        <w:gridCol w:w="1456"/>
        <w:gridCol w:w="1456"/>
        <w:gridCol w:w="1163"/>
        <w:gridCol w:w="1458"/>
      </w:tblGrid>
      <w:tr w:rsidR="00961C7F" w14:paraId="2B97622B" w14:textId="77777777" w:rsidTr="00937886">
        <w:trPr>
          <w:cantSplit/>
          <w:tblHeader/>
          <w:jc w:val="center"/>
        </w:trPr>
        <w:tc>
          <w:tcPr>
            <w:tcW w:w="2522" w:type="dxa"/>
            <w:tcBorders>
              <w:top w:val="single" w:sz="4" w:space="0" w:color="BFBFBF"/>
              <w:left w:val="single" w:sz="4" w:space="0" w:color="BFBFBF"/>
              <w:bottom w:val="single" w:sz="4" w:space="0" w:color="BFBFBF"/>
              <w:right w:val="single" w:sz="4" w:space="0" w:color="BFBFBF"/>
            </w:tcBorders>
          </w:tcPr>
          <w:p w14:paraId="082C440F" w14:textId="77777777" w:rsidR="00961C7F" w:rsidRDefault="008A042F">
            <w:pPr>
              <w:spacing w:after="0" w:line="240" w:lineRule="auto"/>
            </w:pPr>
            <w:r>
              <w:rPr>
                <w:b/>
                <w:sz w:val="20"/>
                <w:szCs w:val="20"/>
              </w:rPr>
              <w:t>Policy definition</w:t>
            </w:r>
          </w:p>
        </w:tc>
        <w:tc>
          <w:tcPr>
            <w:tcW w:w="971" w:type="dxa"/>
            <w:tcBorders>
              <w:top w:val="single" w:sz="4" w:space="0" w:color="BFBFBF"/>
              <w:left w:val="single" w:sz="4" w:space="0" w:color="BFBFBF"/>
              <w:bottom w:val="single" w:sz="4" w:space="0" w:color="BFBFBF"/>
              <w:right w:val="single" w:sz="4" w:space="0" w:color="BFBFBF"/>
            </w:tcBorders>
          </w:tcPr>
          <w:p w14:paraId="253BBA42" w14:textId="77777777" w:rsidR="00961C7F" w:rsidRDefault="008A042F">
            <w:pPr>
              <w:spacing w:after="0" w:line="240" w:lineRule="auto"/>
            </w:pPr>
            <w:r>
              <w:rPr>
                <w:b/>
                <w:sz w:val="20"/>
                <w:szCs w:val="20"/>
              </w:rPr>
              <w:t>Events</w:t>
            </w:r>
          </w:p>
        </w:tc>
        <w:tc>
          <w:tcPr>
            <w:tcW w:w="1456" w:type="dxa"/>
            <w:tcBorders>
              <w:top w:val="single" w:sz="4" w:space="0" w:color="BFBFBF"/>
              <w:left w:val="single" w:sz="4" w:space="0" w:color="BFBFBF"/>
              <w:bottom w:val="single" w:sz="4" w:space="0" w:color="BFBFBF"/>
              <w:right w:val="single" w:sz="4" w:space="0" w:color="BFBFBF"/>
            </w:tcBorders>
          </w:tcPr>
          <w:p w14:paraId="7F654266" w14:textId="77777777" w:rsidR="00961C7F" w:rsidRDefault="008A042F">
            <w:pPr>
              <w:spacing w:after="0" w:line="240" w:lineRule="auto"/>
            </w:pPr>
            <w:r>
              <w:rPr>
                <w:b/>
                <w:sz w:val="20"/>
                <w:szCs w:val="20"/>
              </w:rPr>
              <w:t>Work-visa events</w:t>
            </w:r>
          </w:p>
        </w:tc>
        <w:tc>
          <w:tcPr>
            <w:tcW w:w="1456" w:type="dxa"/>
            <w:tcBorders>
              <w:top w:val="single" w:sz="4" w:space="0" w:color="BFBFBF"/>
              <w:left w:val="single" w:sz="4" w:space="0" w:color="BFBFBF"/>
              <w:bottom w:val="single" w:sz="4" w:space="0" w:color="BFBFBF"/>
              <w:right w:val="single" w:sz="4" w:space="0" w:color="BFBFBF"/>
            </w:tcBorders>
          </w:tcPr>
          <w:p w14:paraId="6AB14DBF" w14:textId="77777777" w:rsidR="00961C7F" w:rsidRDefault="008A042F">
            <w:pPr>
              <w:spacing w:after="0" w:line="240" w:lineRule="auto"/>
            </w:pPr>
            <w:r>
              <w:rPr>
                <w:b/>
                <w:sz w:val="20"/>
                <w:szCs w:val="20"/>
              </w:rPr>
              <w:t>Less restrictive</w:t>
            </w:r>
          </w:p>
        </w:tc>
        <w:tc>
          <w:tcPr>
            <w:tcW w:w="1163" w:type="dxa"/>
            <w:tcBorders>
              <w:top w:val="single" w:sz="4" w:space="0" w:color="BFBFBF"/>
              <w:left w:val="single" w:sz="4" w:space="0" w:color="BFBFBF"/>
              <w:bottom w:val="single" w:sz="4" w:space="0" w:color="BFBFBF"/>
              <w:right w:val="single" w:sz="4" w:space="0" w:color="BFBFBF"/>
            </w:tcBorders>
          </w:tcPr>
          <w:p w14:paraId="2F007A9E" w14:textId="77777777" w:rsidR="00961C7F" w:rsidRDefault="008A042F">
            <w:pPr>
              <w:spacing w:after="0" w:line="240" w:lineRule="auto"/>
            </w:pPr>
            <w:r>
              <w:rPr>
                <w:b/>
                <w:sz w:val="20"/>
                <w:szCs w:val="20"/>
              </w:rPr>
              <w:t>No change</w:t>
            </w:r>
          </w:p>
        </w:tc>
        <w:tc>
          <w:tcPr>
            <w:tcW w:w="1458" w:type="dxa"/>
            <w:tcBorders>
              <w:top w:val="single" w:sz="4" w:space="0" w:color="BFBFBF"/>
              <w:left w:val="single" w:sz="4" w:space="0" w:color="BFBFBF"/>
              <w:bottom w:val="single" w:sz="4" w:space="0" w:color="BFBFBF"/>
              <w:right w:val="single" w:sz="4" w:space="0" w:color="BFBFBF"/>
            </w:tcBorders>
          </w:tcPr>
          <w:p w14:paraId="406CDE42" w14:textId="77777777" w:rsidR="00961C7F" w:rsidRDefault="008A042F">
            <w:pPr>
              <w:spacing w:after="0" w:line="240" w:lineRule="auto"/>
            </w:pPr>
            <w:r>
              <w:rPr>
                <w:b/>
                <w:sz w:val="20"/>
                <w:szCs w:val="20"/>
              </w:rPr>
              <w:t>More restrictive</w:t>
            </w:r>
          </w:p>
        </w:tc>
      </w:tr>
      <w:tr w:rsidR="00961C7F" w14:paraId="1350003F" w14: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w14:paraId="699DDD71" w14:textId="77777777" w:rsidR="00961C7F" w:rsidRDefault="008A042F">
            <w:pPr>
              <w:spacing w:after="0" w:line="240" w:lineRule="auto"/>
            </w:pPr>
            <w:r>
              <w:rPr>
                <w:sz w:val="20"/>
                <w:szCs w:val="20"/>
              </w:rPr>
              <w:t>Skilled/high-skilled targeted only</w:t>
            </w:r>
          </w:p>
        </w:tc>
        <w:tc>
          <w:tcPr>
            <w:tcW w:w="971" w:type="dxa"/>
            <w:tcBorders>
              <w:top w:val="single" w:sz="4" w:space="0" w:color="BFBFBF"/>
              <w:left w:val="single" w:sz="4" w:space="0" w:color="BFBFBF"/>
              <w:bottom w:val="single" w:sz="4" w:space="0" w:color="BFBFBF"/>
              <w:right w:val="single" w:sz="4" w:space="0" w:color="BFBFBF"/>
            </w:tcBorders>
          </w:tcPr>
          <w:p w14:paraId="68451F60" w14:textId="77777777" w:rsidR="00961C7F" w:rsidRDefault="008A042F">
            <w:pPr>
              <w:spacing w:after="0" w:line="240" w:lineRule="auto"/>
            </w:pPr>
            <w:r>
              <w:rPr>
                <w:sz w:val="20"/>
                <w:szCs w:val="20"/>
              </w:rPr>
              <w:t>245</w:t>
            </w:r>
          </w:p>
        </w:tc>
        <w:tc>
          <w:tcPr>
            <w:tcW w:w="1456" w:type="dxa"/>
            <w:tcBorders>
              <w:top w:val="single" w:sz="4" w:space="0" w:color="BFBFBF"/>
              <w:left w:val="single" w:sz="4" w:space="0" w:color="BFBFBF"/>
              <w:bottom w:val="single" w:sz="4" w:space="0" w:color="BFBFBF"/>
              <w:right w:val="single" w:sz="4" w:space="0" w:color="BFBFBF"/>
            </w:tcBorders>
          </w:tcPr>
          <w:p w14:paraId="3ED19239" w14:textId="77777777" w:rsidR="00961C7F" w:rsidRDefault="008A042F">
            <w:pPr>
              <w:spacing w:after="0" w:line="240" w:lineRule="auto"/>
            </w:pPr>
            <w:r>
              <w:rPr>
                <w:sz w:val="20"/>
                <w:szCs w:val="20"/>
              </w:rPr>
              <w:t>150</w:t>
            </w:r>
          </w:p>
        </w:tc>
        <w:tc>
          <w:tcPr>
            <w:tcW w:w="1456" w:type="dxa"/>
            <w:tcBorders>
              <w:top w:val="single" w:sz="4" w:space="0" w:color="BFBFBF"/>
              <w:left w:val="single" w:sz="4" w:space="0" w:color="BFBFBF"/>
              <w:bottom w:val="single" w:sz="4" w:space="0" w:color="BFBFBF"/>
              <w:right w:val="single" w:sz="4" w:space="0" w:color="BFBFBF"/>
            </w:tcBorders>
          </w:tcPr>
          <w:p w14:paraId="08E36136" w14:textId="77777777" w:rsidR="00961C7F" w:rsidRDefault="008A042F">
            <w:pPr>
              <w:spacing w:after="0" w:line="240" w:lineRule="auto"/>
            </w:pPr>
            <w:r>
              <w:rPr>
                <w:sz w:val="20"/>
                <w:szCs w:val="20"/>
              </w:rPr>
              <w:t>225</w:t>
            </w:r>
          </w:p>
        </w:tc>
        <w:tc>
          <w:tcPr>
            <w:tcW w:w="1163" w:type="dxa"/>
            <w:tcBorders>
              <w:top w:val="single" w:sz="4" w:space="0" w:color="BFBFBF"/>
              <w:left w:val="single" w:sz="4" w:space="0" w:color="BFBFBF"/>
              <w:bottom w:val="single" w:sz="4" w:space="0" w:color="BFBFBF"/>
              <w:right w:val="single" w:sz="4" w:space="0" w:color="BFBFBF"/>
            </w:tcBorders>
          </w:tcPr>
          <w:p w14:paraId="1615198E" w14:textId="77777777" w:rsidR="00961C7F" w:rsidRDefault="008A042F">
            <w:pPr>
              <w:spacing w:after="0" w:line="240" w:lineRule="auto"/>
            </w:pPr>
            <w:r>
              <w:rPr>
                <w:sz w:val="20"/>
                <w:szCs w:val="20"/>
              </w:rPr>
              <w:t>1</w:t>
            </w:r>
          </w:p>
        </w:tc>
        <w:tc>
          <w:tcPr>
            <w:tcW w:w="1458" w:type="dxa"/>
            <w:tcBorders>
              <w:top w:val="single" w:sz="4" w:space="0" w:color="BFBFBF"/>
              <w:left w:val="single" w:sz="4" w:space="0" w:color="BFBFBF"/>
              <w:bottom w:val="single" w:sz="4" w:space="0" w:color="BFBFBF"/>
              <w:right w:val="single" w:sz="4" w:space="0" w:color="BFBFBF"/>
            </w:tcBorders>
          </w:tcPr>
          <w:p w14:paraId="42821442" w14:textId="77777777" w:rsidR="00961C7F" w:rsidRDefault="008A042F">
            <w:pPr>
              <w:spacing w:after="0" w:line="240" w:lineRule="auto"/>
            </w:pPr>
            <w:r>
              <w:rPr>
                <w:sz w:val="20"/>
                <w:szCs w:val="20"/>
              </w:rPr>
              <w:t>19</w:t>
            </w:r>
          </w:p>
        </w:tc>
      </w:tr>
      <w:tr w:rsidR="00961C7F" w14:paraId="5C92F35E" w14: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w14:paraId="7F26234F" w14:textId="77777777" w:rsidR="00961C7F" w:rsidRDefault="008A042F">
            <w:pPr>
              <w:spacing w:after="0" w:line="240" w:lineRule="auto"/>
            </w:pPr>
            <w:r>
              <w:rPr>
                <w:sz w:val="20"/>
                <w:szCs w:val="20"/>
              </w:rPr>
              <w:t>Low-skilled targeted only</w:t>
            </w:r>
          </w:p>
        </w:tc>
        <w:tc>
          <w:tcPr>
            <w:tcW w:w="971" w:type="dxa"/>
            <w:tcBorders>
              <w:top w:val="single" w:sz="4" w:space="0" w:color="BFBFBF"/>
              <w:left w:val="single" w:sz="4" w:space="0" w:color="BFBFBF"/>
              <w:bottom w:val="single" w:sz="4" w:space="0" w:color="BFBFBF"/>
              <w:right w:val="single" w:sz="4" w:space="0" w:color="BFBFBF"/>
            </w:tcBorders>
          </w:tcPr>
          <w:p w14:paraId="75259744" w14:textId="77777777" w:rsidR="00961C7F" w:rsidRDefault="008A042F">
            <w:pPr>
              <w:spacing w:after="0" w:line="240" w:lineRule="auto"/>
            </w:pPr>
            <w:r>
              <w:rPr>
                <w:sz w:val="20"/>
                <w:szCs w:val="20"/>
              </w:rPr>
              <w:t>59</w:t>
            </w:r>
          </w:p>
        </w:tc>
        <w:tc>
          <w:tcPr>
            <w:tcW w:w="1456" w:type="dxa"/>
            <w:tcBorders>
              <w:top w:val="single" w:sz="4" w:space="0" w:color="BFBFBF"/>
              <w:left w:val="single" w:sz="4" w:space="0" w:color="BFBFBF"/>
              <w:bottom w:val="single" w:sz="4" w:space="0" w:color="BFBFBF"/>
              <w:right w:val="single" w:sz="4" w:space="0" w:color="BFBFBF"/>
            </w:tcBorders>
          </w:tcPr>
          <w:p w14:paraId="3E28F86D" w14:textId="77777777" w:rsidR="00961C7F" w:rsidRDefault="008A042F">
            <w:pPr>
              <w:spacing w:after="0" w:line="240" w:lineRule="auto"/>
            </w:pPr>
            <w:r>
              <w:rPr>
                <w:sz w:val="20"/>
                <w:szCs w:val="20"/>
              </w:rPr>
              <w:t>36</w:t>
            </w:r>
          </w:p>
        </w:tc>
        <w:tc>
          <w:tcPr>
            <w:tcW w:w="1456" w:type="dxa"/>
            <w:tcBorders>
              <w:top w:val="single" w:sz="4" w:space="0" w:color="BFBFBF"/>
              <w:left w:val="single" w:sz="4" w:space="0" w:color="BFBFBF"/>
              <w:bottom w:val="single" w:sz="4" w:space="0" w:color="BFBFBF"/>
              <w:right w:val="single" w:sz="4" w:space="0" w:color="BFBFBF"/>
            </w:tcBorders>
          </w:tcPr>
          <w:p w14:paraId="44CF36A7" w14:textId="77777777" w:rsidR="00961C7F" w:rsidRDefault="008A042F">
            <w:pPr>
              <w:spacing w:after="0" w:line="240" w:lineRule="auto"/>
            </w:pPr>
            <w:r>
              <w:rPr>
                <w:sz w:val="20"/>
                <w:szCs w:val="20"/>
              </w:rPr>
              <w:t>37</w:t>
            </w:r>
          </w:p>
        </w:tc>
        <w:tc>
          <w:tcPr>
            <w:tcW w:w="1163" w:type="dxa"/>
            <w:tcBorders>
              <w:top w:val="single" w:sz="4" w:space="0" w:color="BFBFBF"/>
              <w:left w:val="single" w:sz="4" w:space="0" w:color="BFBFBF"/>
              <w:bottom w:val="single" w:sz="4" w:space="0" w:color="BFBFBF"/>
              <w:right w:val="single" w:sz="4" w:space="0" w:color="BFBFBF"/>
            </w:tcBorders>
          </w:tcPr>
          <w:p w14:paraId="5C708254" w14:textId="77777777" w:rsidR="00961C7F" w:rsidRDefault="008A042F">
            <w:pPr>
              <w:spacing w:after="0" w:line="240" w:lineRule="auto"/>
            </w:pPr>
            <w:r>
              <w:rPr>
                <w:sz w:val="20"/>
                <w:szCs w:val="20"/>
              </w:rPr>
              <w:t>0</w:t>
            </w:r>
          </w:p>
        </w:tc>
        <w:tc>
          <w:tcPr>
            <w:tcW w:w="1458" w:type="dxa"/>
            <w:tcBorders>
              <w:top w:val="single" w:sz="4" w:space="0" w:color="BFBFBF"/>
              <w:left w:val="single" w:sz="4" w:space="0" w:color="BFBFBF"/>
              <w:bottom w:val="single" w:sz="4" w:space="0" w:color="BFBFBF"/>
              <w:right w:val="single" w:sz="4" w:space="0" w:color="BFBFBF"/>
            </w:tcBorders>
          </w:tcPr>
          <w:p w14:paraId="6344AC4D" w14:textId="77777777" w:rsidR="00961C7F" w:rsidRDefault="008A042F">
            <w:pPr>
              <w:spacing w:after="0" w:line="240" w:lineRule="auto"/>
            </w:pPr>
            <w:r>
              <w:rPr>
                <w:sz w:val="20"/>
                <w:szCs w:val="20"/>
              </w:rPr>
              <w:t>22</w:t>
            </w:r>
          </w:p>
        </w:tc>
      </w:tr>
      <w:tr w:rsidR="00961C7F" w14:paraId="759EA05C" w14: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w14:paraId="0C8F3E7C" w14:textId="77777777" w:rsidR="00961C7F" w:rsidRDefault="008A042F">
            <w:pPr>
              <w:spacing w:after="0" w:line="240" w:lineRule="auto"/>
            </w:pPr>
            <w:r>
              <w:rPr>
                <w:sz w:val="20"/>
                <w:szCs w:val="20"/>
              </w:rPr>
              <w:t>All-migrant-worker-only</w:t>
            </w:r>
          </w:p>
        </w:tc>
        <w:tc>
          <w:tcPr>
            <w:tcW w:w="971" w:type="dxa"/>
            <w:tcBorders>
              <w:top w:val="single" w:sz="4" w:space="0" w:color="BFBFBF"/>
              <w:left w:val="single" w:sz="4" w:space="0" w:color="BFBFBF"/>
              <w:bottom w:val="single" w:sz="4" w:space="0" w:color="BFBFBF"/>
              <w:right w:val="single" w:sz="4" w:space="0" w:color="BFBFBF"/>
            </w:tcBorders>
          </w:tcPr>
          <w:p w14:paraId="6E5CCCA6" w14:textId="77777777" w:rsidR="00961C7F" w:rsidRDefault="008A042F">
            <w:pPr>
              <w:spacing w:after="0" w:line="240" w:lineRule="auto"/>
            </w:pPr>
            <w:r>
              <w:rPr>
                <w:sz w:val="20"/>
                <w:szCs w:val="20"/>
              </w:rPr>
              <w:t>178</w:t>
            </w:r>
          </w:p>
        </w:tc>
        <w:tc>
          <w:tcPr>
            <w:tcW w:w="1456" w:type="dxa"/>
            <w:tcBorders>
              <w:top w:val="single" w:sz="4" w:space="0" w:color="BFBFBF"/>
              <w:left w:val="single" w:sz="4" w:space="0" w:color="BFBFBF"/>
              <w:bottom w:val="single" w:sz="4" w:space="0" w:color="BFBFBF"/>
              <w:right w:val="single" w:sz="4" w:space="0" w:color="BFBFBF"/>
            </w:tcBorders>
          </w:tcPr>
          <w:p w14:paraId="7923DF95" w14:textId="77777777" w:rsidR="00961C7F" w:rsidRDefault="008A042F">
            <w:pPr>
              <w:spacing w:after="0" w:line="240" w:lineRule="auto"/>
            </w:pPr>
            <w:r>
              <w:rPr>
                <w:sz w:val="20"/>
                <w:szCs w:val="20"/>
              </w:rPr>
              <w:t>91</w:t>
            </w:r>
          </w:p>
        </w:tc>
        <w:tc>
          <w:tcPr>
            <w:tcW w:w="1456" w:type="dxa"/>
            <w:tcBorders>
              <w:top w:val="single" w:sz="4" w:space="0" w:color="BFBFBF"/>
              <w:left w:val="single" w:sz="4" w:space="0" w:color="BFBFBF"/>
              <w:bottom w:val="single" w:sz="4" w:space="0" w:color="BFBFBF"/>
              <w:right w:val="single" w:sz="4" w:space="0" w:color="BFBFBF"/>
            </w:tcBorders>
          </w:tcPr>
          <w:p w14:paraId="70454AE4" w14:textId="77777777" w:rsidR="00961C7F" w:rsidRDefault="008A042F">
            <w:pPr>
              <w:spacing w:after="0" w:line="240" w:lineRule="auto"/>
            </w:pPr>
            <w:r>
              <w:rPr>
                <w:sz w:val="20"/>
                <w:szCs w:val="20"/>
              </w:rPr>
              <w:t>111</w:t>
            </w:r>
          </w:p>
        </w:tc>
        <w:tc>
          <w:tcPr>
            <w:tcW w:w="1163" w:type="dxa"/>
            <w:tcBorders>
              <w:top w:val="single" w:sz="4" w:space="0" w:color="BFBFBF"/>
              <w:left w:val="single" w:sz="4" w:space="0" w:color="BFBFBF"/>
              <w:bottom w:val="single" w:sz="4" w:space="0" w:color="BFBFBF"/>
              <w:right w:val="single" w:sz="4" w:space="0" w:color="BFBFBF"/>
            </w:tcBorders>
          </w:tcPr>
          <w:p w14:paraId="2D56FF18" w14:textId="77777777" w:rsidR="00961C7F" w:rsidRDefault="008A042F">
            <w:pPr>
              <w:spacing w:after="0" w:line="240" w:lineRule="auto"/>
            </w:pPr>
            <w:r>
              <w:rPr>
                <w:sz w:val="20"/>
                <w:szCs w:val="20"/>
              </w:rPr>
              <w:t>3</w:t>
            </w:r>
          </w:p>
        </w:tc>
        <w:tc>
          <w:tcPr>
            <w:tcW w:w="1458" w:type="dxa"/>
            <w:tcBorders>
              <w:top w:val="single" w:sz="4" w:space="0" w:color="BFBFBF"/>
              <w:left w:val="single" w:sz="4" w:space="0" w:color="BFBFBF"/>
              <w:bottom w:val="single" w:sz="4" w:space="0" w:color="BFBFBF"/>
              <w:right w:val="single" w:sz="4" w:space="0" w:color="BFBFBF"/>
            </w:tcBorders>
          </w:tcPr>
          <w:p w14:paraId="7D8515B4" w14:textId="77777777" w:rsidR="00961C7F" w:rsidRDefault="008A042F">
            <w:pPr>
              <w:spacing w:after="0" w:line="240" w:lineRule="auto"/>
            </w:pPr>
            <w:r>
              <w:rPr>
                <w:sz w:val="20"/>
                <w:szCs w:val="20"/>
              </w:rPr>
              <w:t>64</w:t>
            </w:r>
          </w:p>
        </w:tc>
      </w:tr>
    </w:tbl>
    <w:p w14:paraId="617AE0EE" w14:textId="77777777" w:rsidR="00333C79" w:rsidRDefault="00333C79" w:rsidP="001B5A82">
      <w:pPr>
        <w:jc w:val="both"/>
      </w:pPr>
    </w:p>
    <w:p w14:paraId="4213FFE0" w14:textId="77777777" w:rsidR="00961C7F" w:rsidRDefault="008A042F" w:rsidP="001B5A82">
      <w:pPr>
        <w:jc w:val="both"/>
      </w:pPr>
      <w:r>
        <w:t>Restrictiveness is a signed summary of Legal entry and stay reforms across multiple tools, not the effect of one legal instrument. The preferred all-migrant-worker score aggregates magnitude-weighted event values across these retained tools. Table 3 reports the policy-tool composition of the current all-migrant-worker-only measure.</w:t>
      </w:r>
    </w:p>
    <w:p w14:paraId="144C000E" w14:textId="77777777" w:rsidR="009401EE" w:rsidRDefault="009401EE" w:rsidP="001B5A82">
      <w:pPr>
        <w:jc w:val="both"/>
      </w:pPr>
    </w:p>
    <w:p w14:paraId="42AADE18" w14:textId="77777777" w:rsidR="007830C2" w:rsidRDefault="008A042F" w:rsidP="001B5A82">
      <w:pPr>
        <w:jc w:val="both"/>
      </w:pPr>
      <w:r>
        <w:t xml:space="preserve">Work visa/permit is the largest category (91 events), covering permit issuance, employer-sponsored procedures, fast-track routes, and related labor-entry rules. Quota/target (24 events) covers numerical caps and related adjustments, while entry-visa/stay rules (20 events, including one event recorded under the near-duplicate source label 'Entry visa and stay') cover residence </w:t>
      </w:r>
      <w:r>
        <w:lastRenderedPageBreak/>
        <w:t>and entry conditions. Table 3 reports every policy-tool category with at least one event in the preferred all-migrant-worker score. The three smallest categories together account for four events: action plans/strategy/reports (2), a points-based-system event (1), and a language, housing and cultural integration programme event (1).</w:t>
      </w:r>
    </w:p>
    <w:p w14:paraId="301723B9" w14:textId="77777777" w:rsidR="007830C2" w:rsidRDefault="008A042F" w:rsidP="001B5A82">
      <w:pPr>
        <w:jc w:val="both"/>
      </w:pPr>
      <w:r>
        <w:t>These categories are retained because they are coded as Legal entry and stay reforms in DEMIG-QuantMig. The core labor-entry robustness check later narrows this broader all-tools measure by excluding categories that do not directly govern employer-permit admission.</w:t>
      </w:r>
    </w:p>
    <w:p w14:paraId="02C2445B" w14:textId="77777777" w:rsidR="00961C7F" w:rsidRDefault="008A042F">
      <w:pPr>
        <w:jc w:val="center"/>
      </w:pPr>
      <w:r>
        <w:rPr>
          <w:b/>
          <w:i/>
          <w:sz w:val="18"/>
        </w:rPr>
        <w:t>Table 3. Preferred all-migrant-worker cumulative policy measure by policy tool, target origin All foreign nationalities.</w:t>
      </w:r>
    </w:p>
    <w:tbl>
      <w:tblPr>
        <w:tblW w:w="9026" w:type="dxa"/>
        <w:jc w:val="center"/>
        <w:tblLayout w:type="fixed"/>
        <w:tblCellMar>
          <w:top w:w="80" w:type="dxa"/>
          <w:left w:w="80" w:type="dxa"/>
          <w:bottom w:w="80" w:type="dxa"/>
          <w:right w:w="80" w:type="dxa"/>
        </w:tblCellMar>
        <w:tblLook w:val="04A0" w:firstRow="1" w:lastRow="0" w:firstColumn="1" w:lastColumn="0" w:noHBand="0" w:noVBand="1"/>
      </w:tblPr>
      <w:tblGrid>
        <w:gridCol w:w="2676"/>
        <w:gridCol w:w="1099"/>
        <w:gridCol w:w="1123"/>
        <w:gridCol w:w="4128"/>
      </w:tblGrid>
      <w:tr w:rsidR="00961C7F" w14:paraId="39D871A9" w14:textId="77777777" w:rsidTr="001F1C47">
        <w:trPr>
          <w:cantSplit/>
          <w:tblHeader/>
          <w:jc w:val="center"/>
        </w:trPr>
        <w:tc>
          <w:tcPr>
            <w:tcW w:w="2676" w:type="dxa"/>
            <w:tcBorders>
              <w:top w:val="single" w:sz="4" w:space="0" w:color="BFBFBF"/>
              <w:left w:val="single" w:sz="4" w:space="0" w:color="BFBFBF"/>
              <w:bottom w:val="single" w:sz="4" w:space="0" w:color="BFBFBF"/>
              <w:right w:val="single" w:sz="4" w:space="0" w:color="BFBFBF"/>
            </w:tcBorders>
          </w:tcPr>
          <w:p w14:paraId="71C509DB" w14:textId="77777777" w:rsidR="00961C7F" w:rsidRDefault="008A042F">
            <w:pPr>
              <w:spacing w:after="0" w:line="240" w:lineRule="auto"/>
            </w:pPr>
            <w:r>
              <w:rPr>
                <w:b/>
                <w:sz w:val="20"/>
                <w:szCs w:val="20"/>
              </w:rPr>
              <w:t>Policy tool in preferred all-migrant-worker measure</w:t>
            </w:r>
          </w:p>
        </w:tc>
        <w:tc>
          <w:tcPr>
            <w:tcW w:w="1099" w:type="dxa"/>
            <w:tcBorders>
              <w:top w:val="single" w:sz="4" w:space="0" w:color="BFBFBF"/>
              <w:left w:val="single" w:sz="4" w:space="0" w:color="BFBFBF"/>
              <w:bottom w:val="single" w:sz="4" w:space="0" w:color="BFBFBF"/>
              <w:right w:val="single" w:sz="4" w:space="0" w:color="BFBFBF"/>
            </w:tcBorders>
          </w:tcPr>
          <w:p w14:paraId="2F181C9C" w14:textId="77777777" w:rsidR="00961C7F" w:rsidRDefault="008A042F">
            <w:pPr>
              <w:spacing w:after="0" w:line="240" w:lineRule="auto"/>
            </w:pPr>
            <w:r>
              <w:rPr>
                <w:b/>
                <w:sz w:val="20"/>
                <w:szCs w:val="20"/>
              </w:rPr>
              <w:t>All events</w:t>
            </w:r>
          </w:p>
        </w:tc>
        <w:tc>
          <w:tcPr>
            <w:tcW w:w="1123" w:type="dxa"/>
            <w:tcBorders>
              <w:top w:val="single" w:sz="4" w:space="0" w:color="BFBFBF"/>
              <w:left w:val="single" w:sz="4" w:space="0" w:color="BFBFBF"/>
              <w:bottom w:val="single" w:sz="4" w:space="0" w:color="BFBFBF"/>
              <w:right w:val="single" w:sz="4" w:space="0" w:color="BFBFBF"/>
            </w:tcBorders>
          </w:tcPr>
          <w:p w14:paraId="4B0E556D" w14:textId="77777777" w:rsidR="00961C7F" w:rsidRDefault="008A042F">
            <w:pPr>
              <w:spacing w:after="0" w:line="240" w:lineRule="auto"/>
            </w:pPr>
            <w:r>
              <w:rPr>
                <w:b/>
                <w:sz w:val="20"/>
                <w:szCs w:val="20"/>
              </w:rPr>
              <w:t>More restrictive events</w:t>
            </w:r>
          </w:p>
        </w:tc>
        <w:tc>
          <w:tcPr>
            <w:tcW w:w="4128" w:type="dxa"/>
            <w:tcBorders>
              <w:top w:val="single" w:sz="4" w:space="0" w:color="BFBFBF"/>
              <w:left w:val="single" w:sz="4" w:space="0" w:color="BFBFBF"/>
              <w:bottom w:val="single" w:sz="4" w:space="0" w:color="BFBFBF"/>
              <w:right w:val="single" w:sz="4" w:space="0" w:color="BFBFBF"/>
            </w:tcBorders>
          </w:tcPr>
          <w:p w14:paraId="7FF01EBF" w14:textId="77777777" w:rsidR="00961C7F" w:rsidRDefault="008A042F">
            <w:pPr>
              <w:spacing w:after="0" w:line="240" w:lineRule="auto"/>
            </w:pPr>
            <w:r>
              <w:rPr>
                <w:b/>
                <w:sz w:val="20"/>
                <w:szCs w:val="20"/>
              </w:rPr>
              <w:t>Role in the measure</w:t>
            </w:r>
          </w:p>
        </w:tc>
      </w:tr>
      <w:tr w:rsidR="00961C7F" w14:paraId="5CEBD80D"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3F8D2601" w14:textId="77777777" w:rsidR="00961C7F" w:rsidRDefault="008A042F">
            <w:pPr>
              <w:spacing w:after="0" w:line="240" w:lineRule="auto"/>
            </w:pPr>
            <w:r>
              <w:rPr>
                <w:sz w:val="20"/>
                <w:szCs w:val="20"/>
              </w:rPr>
              <w:t>Work visa/permit</w:t>
            </w:r>
          </w:p>
        </w:tc>
        <w:tc>
          <w:tcPr>
            <w:tcW w:w="1099" w:type="dxa"/>
            <w:tcBorders>
              <w:top w:val="single" w:sz="4" w:space="0" w:color="BFBFBF"/>
              <w:left w:val="single" w:sz="4" w:space="0" w:color="BFBFBF"/>
              <w:bottom w:val="single" w:sz="4" w:space="0" w:color="BFBFBF"/>
              <w:right w:val="single" w:sz="4" w:space="0" w:color="BFBFBF"/>
            </w:tcBorders>
          </w:tcPr>
          <w:p w14:paraId="24F7C464" w14:textId="77777777" w:rsidR="00961C7F" w:rsidRDefault="008A042F">
            <w:pPr>
              <w:spacing w:after="0" w:line="240" w:lineRule="auto"/>
            </w:pPr>
            <w:r>
              <w:rPr>
                <w:sz w:val="20"/>
                <w:szCs w:val="20"/>
              </w:rPr>
              <w:t>91</w:t>
            </w:r>
          </w:p>
        </w:tc>
        <w:tc>
          <w:tcPr>
            <w:tcW w:w="1123" w:type="dxa"/>
            <w:tcBorders>
              <w:top w:val="single" w:sz="4" w:space="0" w:color="BFBFBF"/>
              <w:left w:val="single" w:sz="4" w:space="0" w:color="BFBFBF"/>
              <w:bottom w:val="single" w:sz="4" w:space="0" w:color="BFBFBF"/>
              <w:right w:val="single" w:sz="4" w:space="0" w:color="BFBFBF"/>
            </w:tcBorders>
          </w:tcPr>
          <w:p w14:paraId="5035E381" w14:textId="77777777" w:rsidR="00961C7F" w:rsidRDefault="008A042F">
            <w:pPr>
              <w:spacing w:after="0" w:line="240" w:lineRule="auto"/>
            </w:pPr>
            <w:r>
              <w:rPr>
                <w:sz w:val="20"/>
                <w:szCs w:val="20"/>
              </w:rPr>
              <w:t>24</w:t>
            </w:r>
          </w:p>
        </w:tc>
        <w:tc>
          <w:tcPr>
            <w:tcW w:w="4128" w:type="dxa"/>
            <w:tcBorders>
              <w:top w:val="single" w:sz="4" w:space="0" w:color="BFBFBF"/>
              <w:left w:val="single" w:sz="4" w:space="0" w:color="BFBFBF"/>
              <w:bottom w:val="single" w:sz="4" w:space="0" w:color="BFBFBF"/>
              <w:right w:val="single" w:sz="4" w:space="0" w:color="BFBFBF"/>
            </w:tcBorders>
          </w:tcPr>
          <w:p w14:paraId="3E65A807" w14:textId="77777777" w:rsidR="00961C7F" w:rsidRDefault="008A042F">
            <w:pPr>
              <w:spacing w:after="0" w:line="240" w:lineRule="auto"/>
            </w:pPr>
            <w:r>
              <w:rPr>
                <w:sz w:val="20"/>
                <w:szCs w:val="20"/>
              </w:rPr>
              <w:t>Core channel for legal labor entry and work authorization</w:t>
            </w:r>
          </w:p>
        </w:tc>
      </w:tr>
      <w:tr w:rsidR="00961C7F" w14:paraId="4869BB9D"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5ECC5DD0" w14:textId="77777777" w:rsidR="00961C7F" w:rsidRDefault="008A042F">
            <w:pPr>
              <w:spacing w:after="0" w:line="240" w:lineRule="auto"/>
            </w:pPr>
            <w:r>
              <w:rPr>
                <w:sz w:val="20"/>
                <w:szCs w:val="20"/>
              </w:rPr>
              <w:t>Employer liabilities</w:t>
            </w:r>
          </w:p>
        </w:tc>
        <w:tc>
          <w:tcPr>
            <w:tcW w:w="1099" w:type="dxa"/>
            <w:tcBorders>
              <w:top w:val="single" w:sz="4" w:space="0" w:color="BFBFBF"/>
              <w:left w:val="single" w:sz="4" w:space="0" w:color="BFBFBF"/>
              <w:bottom w:val="single" w:sz="4" w:space="0" w:color="BFBFBF"/>
              <w:right w:val="single" w:sz="4" w:space="0" w:color="BFBFBF"/>
            </w:tcBorders>
          </w:tcPr>
          <w:p w14:paraId="6137CE66" w14:textId="77777777" w:rsidR="00961C7F" w:rsidRDefault="008A042F">
            <w:pPr>
              <w:spacing w:after="0" w:line="240" w:lineRule="auto"/>
            </w:pPr>
            <w:r>
              <w:rPr>
                <w:sz w:val="20"/>
                <w:szCs w:val="20"/>
              </w:rPr>
              <w:t>19</w:t>
            </w:r>
          </w:p>
        </w:tc>
        <w:tc>
          <w:tcPr>
            <w:tcW w:w="1123" w:type="dxa"/>
            <w:tcBorders>
              <w:top w:val="single" w:sz="4" w:space="0" w:color="BFBFBF"/>
              <w:left w:val="single" w:sz="4" w:space="0" w:color="BFBFBF"/>
              <w:bottom w:val="single" w:sz="4" w:space="0" w:color="BFBFBF"/>
              <w:right w:val="single" w:sz="4" w:space="0" w:color="BFBFBF"/>
            </w:tcBorders>
          </w:tcPr>
          <w:p w14:paraId="34F61717" w14:textId="77777777" w:rsidR="00961C7F" w:rsidRDefault="008A042F">
            <w:pPr>
              <w:spacing w:after="0" w:line="240" w:lineRule="auto"/>
            </w:pPr>
            <w:r>
              <w:rPr>
                <w:sz w:val="20"/>
                <w:szCs w:val="20"/>
              </w:rPr>
              <w:t>17</w:t>
            </w:r>
          </w:p>
        </w:tc>
        <w:tc>
          <w:tcPr>
            <w:tcW w:w="4128" w:type="dxa"/>
            <w:tcBorders>
              <w:top w:val="single" w:sz="4" w:space="0" w:color="BFBFBF"/>
              <w:left w:val="single" w:sz="4" w:space="0" w:color="BFBFBF"/>
              <w:bottom w:val="single" w:sz="4" w:space="0" w:color="BFBFBF"/>
              <w:right w:val="single" w:sz="4" w:space="0" w:color="BFBFBF"/>
            </w:tcBorders>
          </w:tcPr>
          <w:p w14:paraId="5FE0A6BE" w14:textId="77777777" w:rsidR="00961C7F" w:rsidRDefault="008A042F">
            <w:pPr>
              <w:spacing w:after="0" w:line="240" w:lineRule="auto"/>
            </w:pPr>
            <w:r>
              <w:rPr>
                <w:sz w:val="20"/>
                <w:szCs w:val="20"/>
              </w:rPr>
              <w:t>Employer duties, sanctions, or sponsorship obligations</w:t>
            </w:r>
          </w:p>
        </w:tc>
      </w:tr>
      <w:tr w:rsidR="00961C7F" w14:paraId="63197B33"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1B4F41CA" w14:textId="77777777" w:rsidR="00961C7F" w:rsidRDefault="008A042F">
            <w:pPr>
              <w:spacing w:after="0" w:line="240" w:lineRule="auto"/>
            </w:pPr>
            <w:r>
              <w:rPr>
                <w:sz w:val="20"/>
                <w:szCs w:val="20"/>
              </w:rPr>
              <w:t>Quota/target</w:t>
            </w:r>
          </w:p>
        </w:tc>
        <w:tc>
          <w:tcPr>
            <w:tcW w:w="1099" w:type="dxa"/>
            <w:tcBorders>
              <w:top w:val="single" w:sz="4" w:space="0" w:color="BFBFBF"/>
              <w:left w:val="single" w:sz="4" w:space="0" w:color="BFBFBF"/>
              <w:bottom w:val="single" w:sz="4" w:space="0" w:color="BFBFBF"/>
              <w:right w:val="single" w:sz="4" w:space="0" w:color="BFBFBF"/>
            </w:tcBorders>
          </w:tcPr>
          <w:p w14:paraId="4A9BAE5C" w14:textId="77777777" w:rsidR="00961C7F" w:rsidRDefault="008A042F">
            <w:pPr>
              <w:spacing w:after="0" w:line="240" w:lineRule="auto"/>
            </w:pPr>
            <w:r>
              <w:rPr>
                <w:sz w:val="20"/>
                <w:szCs w:val="20"/>
              </w:rPr>
              <w:t>24</w:t>
            </w:r>
          </w:p>
        </w:tc>
        <w:tc>
          <w:tcPr>
            <w:tcW w:w="1123" w:type="dxa"/>
            <w:tcBorders>
              <w:top w:val="single" w:sz="4" w:space="0" w:color="BFBFBF"/>
              <w:left w:val="single" w:sz="4" w:space="0" w:color="BFBFBF"/>
              <w:bottom w:val="single" w:sz="4" w:space="0" w:color="BFBFBF"/>
              <w:right w:val="single" w:sz="4" w:space="0" w:color="BFBFBF"/>
            </w:tcBorders>
          </w:tcPr>
          <w:p w14:paraId="517CE04E" w14:textId="77777777" w:rsidR="00961C7F" w:rsidRDefault="008A042F">
            <w:pPr>
              <w:spacing w:after="0" w:line="240" w:lineRule="auto"/>
            </w:pPr>
            <w:r>
              <w:rPr>
                <w:sz w:val="20"/>
                <w:szCs w:val="20"/>
              </w:rPr>
              <w:t>11</w:t>
            </w:r>
          </w:p>
        </w:tc>
        <w:tc>
          <w:tcPr>
            <w:tcW w:w="4128" w:type="dxa"/>
            <w:tcBorders>
              <w:top w:val="single" w:sz="4" w:space="0" w:color="BFBFBF"/>
              <w:left w:val="single" w:sz="4" w:space="0" w:color="BFBFBF"/>
              <w:bottom w:val="single" w:sz="4" w:space="0" w:color="BFBFBF"/>
              <w:right w:val="single" w:sz="4" w:space="0" w:color="BFBFBF"/>
            </w:tcBorders>
          </w:tcPr>
          <w:p w14:paraId="3EB5E4DB" w14:textId="77777777" w:rsidR="00961C7F" w:rsidRDefault="008A042F">
            <w:pPr>
              <w:spacing w:after="0" w:line="240" w:lineRule="auto"/>
            </w:pPr>
            <w:r>
              <w:rPr>
                <w:sz w:val="20"/>
                <w:szCs w:val="20"/>
              </w:rPr>
              <w:t>Numerical caps, targets, or quota rules</w:t>
            </w:r>
          </w:p>
        </w:tc>
      </w:tr>
      <w:tr w:rsidR="00961C7F" w14:paraId="7C7B2BAC"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639844F8" w14:textId="77777777" w:rsidR="00961C7F" w:rsidRDefault="008A042F">
            <w:pPr>
              <w:spacing w:after="0" w:line="240" w:lineRule="auto"/>
            </w:pPr>
            <w:r>
              <w:rPr>
                <w:sz w:val="20"/>
                <w:szCs w:val="20"/>
              </w:rPr>
              <w:t>Other sanctions</w:t>
            </w:r>
          </w:p>
        </w:tc>
        <w:tc>
          <w:tcPr>
            <w:tcW w:w="1099" w:type="dxa"/>
            <w:tcBorders>
              <w:top w:val="single" w:sz="4" w:space="0" w:color="BFBFBF"/>
              <w:left w:val="single" w:sz="4" w:space="0" w:color="BFBFBF"/>
              <w:bottom w:val="single" w:sz="4" w:space="0" w:color="BFBFBF"/>
              <w:right w:val="single" w:sz="4" w:space="0" w:color="BFBFBF"/>
            </w:tcBorders>
          </w:tcPr>
          <w:p w14:paraId="639AB815" w14:textId="77777777" w:rsidR="00961C7F" w:rsidRDefault="008A042F">
            <w:pPr>
              <w:spacing w:after="0" w:line="240" w:lineRule="auto"/>
            </w:pPr>
            <w:r>
              <w:rPr>
                <w:sz w:val="20"/>
                <w:szCs w:val="20"/>
              </w:rPr>
              <w:t>4</w:t>
            </w:r>
          </w:p>
        </w:tc>
        <w:tc>
          <w:tcPr>
            <w:tcW w:w="1123" w:type="dxa"/>
            <w:tcBorders>
              <w:top w:val="single" w:sz="4" w:space="0" w:color="BFBFBF"/>
              <w:left w:val="single" w:sz="4" w:space="0" w:color="BFBFBF"/>
              <w:bottom w:val="single" w:sz="4" w:space="0" w:color="BFBFBF"/>
              <w:right w:val="single" w:sz="4" w:space="0" w:color="BFBFBF"/>
            </w:tcBorders>
          </w:tcPr>
          <w:p w14:paraId="4194DD3D" w14:textId="77777777" w:rsidR="00961C7F" w:rsidRDefault="008A042F">
            <w:pPr>
              <w:spacing w:after="0" w:line="240" w:lineRule="auto"/>
            </w:pPr>
            <w:r>
              <w:rPr>
                <w:sz w:val="20"/>
                <w:szCs w:val="20"/>
              </w:rPr>
              <w:t>4</w:t>
            </w:r>
          </w:p>
        </w:tc>
        <w:tc>
          <w:tcPr>
            <w:tcW w:w="4128" w:type="dxa"/>
            <w:tcBorders>
              <w:top w:val="single" w:sz="4" w:space="0" w:color="BFBFBF"/>
              <w:left w:val="single" w:sz="4" w:space="0" w:color="BFBFBF"/>
              <w:bottom w:val="single" w:sz="4" w:space="0" w:color="BFBFBF"/>
              <w:right w:val="single" w:sz="4" w:space="0" w:color="BFBFBF"/>
            </w:tcBorders>
          </w:tcPr>
          <w:p w14:paraId="06F83E50" w14:textId="77777777" w:rsidR="00961C7F" w:rsidRDefault="008A042F">
            <w:pPr>
              <w:spacing w:after="0" w:line="240" w:lineRule="auto"/>
            </w:pPr>
            <w:r>
              <w:rPr>
                <w:sz w:val="20"/>
                <w:szCs w:val="20"/>
              </w:rPr>
              <w:t>Penalties linked to non-compliance</w:t>
            </w:r>
          </w:p>
        </w:tc>
      </w:tr>
      <w:tr w:rsidR="00961C7F" w14:paraId="34A73588"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1C47508F" w14:textId="77777777" w:rsidR="00961C7F" w:rsidRDefault="008A042F">
            <w:pPr>
              <w:spacing w:after="0" w:line="240" w:lineRule="auto"/>
            </w:pPr>
            <w:r>
              <w:rPr>
                <w:sz w:val="20"/>
                <w:szCs w:val="20"/>
              </w:rPr>
              <w:t>Access to social and socio-economic rights</w:t>
            </w:r>
          </w:p>
        </w:tc>
        <w:tc>
          <w:tcPr>
            <w:tcW w:w="1099" w:type="dxa"/>
            <w:tcBorders>
              <w:top w:val="single" w:sz="4" w:space="0" w:color="BFBFBF"/>
              <w:left w:val="single" w:sz="4" w:space="0" w:color="BFBFBF"/>
              <w:bottom w:val="single" w:sz="4" w:space="0" w:color="BFBFBF"/>
              <w:right w:val="single" w:sz="4" w:space="0" w:color="BFBFBF"/>
            </w:tcBorders>
          </w:tcPr>
          <w:p w14:paraId="76EA4727" w14:textId="77777777" w:rsidR="00961C7F" w:rsidRDefault="008A042F">
            <w:pPr>
              <w:spacing w:after="0" w:line="240" w:lineRule="auto"/>
            </w:pPr>
            <w:r>
              <w:rPr>
                <w:sz w:val="20"/>
                <w:szCs w:val="20"/>
              </w:rPr>
              <w:t>10</w:t>
            </w:r>
          </w:p>
        </w:tc>
        <w:tc>
          <w:tcPr>
            <w:tcW w:w="1123" w:type="dxa"/>
            <w:tcBorders>
              <w:top w:val="single" w:sz="4" w:space="0" w:color="BFBFBF"/>
              <w:left w:val="single" w:sz="4" w:space="0" w:color="BFBFBF"/>
              <w:bottom w:val="single" w:sz="4" w:space="0" w:color="BFBFBF"/>
              <w:right w:val="single" w:sz="4" w:space="0" w:color="BFBFBF"/>
            </w:tcBorders>
          </w:tcPr>
          <w:p w14:paraId="14B88EC5" w14:textId="77777777" w:rsidR="00961C7F" w:rsidRDefault="008A042F">
            <w:pPr>
              <w:spacing w:after="0" w:line="240" w:lineRule="auto"/>
            </w:pPr>
            <w:r>
              <w:rPr>
                <w:sz w:val="20"/>
                <w:szCs w:val="20"/>
              </w:rPr>
              <w:t>4</w:t>
            </w:r>
          </w:p>
        </w:tc>
        <w:tc>
          <w:tcPr>
            <w:tcW w:w="4128" w:type="dxa"/>
            <w:tcBorders>
              <w:top w:val="single" w:sz="4" w:space="0" w:color="BFBFBF"/>
              <w:left w:val="single" w:sz="4" w:space="0" w:color="BFBFBF"/>
              <w:bottom w:val="single" w:sz="4" w:space="0" w:color="BFBFBF"/>
              <w:right w:val="single" w:sz="4" w:space="0" w:color="BFBFBF"/>
            </w:tcBorders>
          </w:tcPr>
          <w:p w14:paraId="0749C8C1" w14:textId="77777777" w:rsidR="00961C7F" w:rsidRDefault="008A042F">
            <w:pPr>
              <w:spacing w:after="0" w:line="240" w:lineRule="auto"/>
            </w:pPr>
            <w:r>
              <w:rPr>
                <w:sz w:val="20"/>
                <w:szCs w:val="20"/>
              </w:rPr>
              <w:t>Rights attached to legal stay or work</w:t>
            </w:r>
          </w:p>
        </w:tc>
      </w:tr>
      <w:tr w:rsidR="00961C7F" w14:paraId="4C292358"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0DBD7CB3" w14:textId="77777777" w:rsidR="00961C7F" w:rsidRDefault="008A042F">
            <w:pPr>
              <w:spacing w:after="0" w:line="240" w:lineRule="auto"/>
            </w:pPr>
            <w:r>
              <w:rPr>
                <w:sz w:val="20"/>
                <w:szCs w:val="20"/>
              </w:rPr>
              <w:t>Entry visa/stay permit (including source label ‘Entry visa and stay’)</w:t>
            </w:r>
          </w:p>
        </w:tc>
        <w:tc>
          <w:tcPr>
            <w:tcW w:w="1099" w:type="dxa"/>
            <w:tcBorders>
              <w:top w:val="single" w:sz="4" w:space="0" w:color="BFBFBF"/>
              <w:left w:val="single" w:sz="4" w:space="0" w:color="BFBFBF"/>
              <w:bottom w:val="single" w:sz="4" w:space="0" w:color="BFBFBF"/>
              <w:right w:val="single" w:sz="4" w:space="0" w:color="BFBFBF"/>
            </w:tcBorders>
          </w:tcPr>
          <w:p w14:paraId="39658DC9" w14:textId="77777777" w:rsidR="00961C7F" w:rsidRDefault="008A042F">
            <w:pPr>
              <w:spacing w:after="0" w:line="240" w:lineRule="auto"/>
            </w:pPr>
            <w:r>
              <w:rPr>
                <w:sz w:val="20"/>
                <w:szCs w:val="20"/>
              </w:rPr>
              <w:t>20</w:t>
            </w:r>
          </w:p>
        </w:tc>
        <w:tc>
          <w:tcPr>
            <w:tcW w:w="1123" w:type="dxa"/>
            <w:tcBorders>
              <w:top w:val="single" w:sz="4" w:space="0" w:color="BFBFBF"/>
              <w:left w:val="single" w:sz="4" w:space="0" w:color="BFBFBF"/>
              <w:bottom w:val="single" w:sz="4" w:space="0" w:color="BFBFBF"/>
              <w:right w:val="single" w:sz="4" w:space="0" w:color="BFBFBF"/>
            </w:tcBorders>
          </w:tcPr>
          <w:p w14:paraId="07FD18B0" w14:textId="77777777" w:rsidR="00961C7F" w:rsidRDefault="008A042F">
            <w:pPr>
              <w:spacing w:after="0" w:line="240" w:lineRule="auto"/>
            </w:pPr>
            <w:r>
              <w:rPr>
                <w:sz w:val="20"/>
                <w:szCs w:val="20"/>
              </w:rPr>
              <w:t>1</w:t>
            </w:r>
          </w:p>
        </w:tc>
        <w:tc>
          <w:tcPr>
            <w:tcW w:w="4128" w:type="dxa"/>
            <w:tcBorders>
              <w:top w:val="single" w:sz="4" w:space="0" w:color="BFBFBF"/>
              <w:left w:val="single" w:sz="4" w:space="0" w:color="BFBFBF"/>
              <w:bottom w:val="single" w:sz="4" w:space="0" w:color="BFBFBF"/>
              <w:right w:val="single" w:sz="4" w:space="0" w:color="BFBFBF"/>
            </w:tcBorders>
          </w:tcPr>
          <w:p w14:paraId="13A8C20D" w14:textId="77777777" w:rsidR="00961C7F" w:rsidRDefault="008A042F">
            <w:pPr>
              <w:spacing w:after="0" w:line="240" w:lineRule="auto"/>
            </w:pPr>
            <w:r>
              <w:rPr>
                <w:sz w:val="20"/>
                <w:szCs w:val="20"/>
              </w:rPr>
              <w:t>Residence, entry, or stay-permit conditions; includes one near-duplicate source tool label</w:t>
            </w:r>
          </w:p>
        </w:tc>
      </w:tr>
      <w:tr w:rsidR="00961C7F" w14:paraId="4985325D"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613DD0C4" w14:textId="77777777" w:rsidR="00961C7F" w:rsidRDefault="008A042F">
            <w:pPr>
              <w:spacing w:after="0" w:line="240" w:lineRule="auto"/>
            </w:pPr>
            <w:r>
              <w:rPr>
                <w:sz w:val="20"/>
                <w:szCs w:val="20"/>
              </w:rPr>
              <w:t>Institutional capacities</w:t>
            </w:r>
          </w:p>
        </w:tc>
        <w:tc>
          <w:tcPr>
            <w:tcW w:w="1099" w:type="dxa"/>
            <w:tcBorders>
              <w:top w:val="single" w:sz="4" w:space="0" w:color="BFBFBF"/>
              <w:left w:val="single" w:sz="4" w:space="0" w:color="BFBFBF"/>
              <w:bottom w:val="single" w:sz="4" w:space="0" w:color="BFBFBF"/>
              <w:right w:val="single" w:sz="4" w:space="0" w:color="BFBFBF"/>
            </w:tcBorders>
          </w:tcPr>
          <w:p w14:paraId="1B7EDB54" w14:textId="77777777" w:rsidR="00961C7F" w:rsidRDefault="008A042F">
            <w:pPr>
              <w:spacing w:after="0" w:line="240" w:lineRule="auto"/>
            </w:pPr>
            <w:r>
              <w:rPr>
                <w:sz w:val="20"/>
                <w:szCs w:val="20"/>
              </w:rPr>
              <w:t>3</w:t>
            </w:r>
          </w:p>
        </w:tc>
        <w:tc>
          <w:tcPr>
            <w:tcW w:w="1123" w:type="dxa"/>
            <w:tcBorders>
              <w:top w:val="single" w:sz="4" w:space="0" w:color="BFBFBF"/>
              <w:left w:val="single" w:sz="4" w:space="0" w:color="BFBFBF"/>
              <w:bottom w:val="single" w:sz="4" w:space="0" w:color="BFBFBF"/>
              <w:right w:val="single" w:sz="4" w:space="0" w:color="BFBFBF"/>
            </w:tcBorders>
          </w:tcPr>
          <w:p w14:paraId="6CB0DD1C" w14:textId="77777777" w:rsidR="00961C7F" w:rsidRDefault="008A042F">
            <w:pPr>
              <w:spacing w:after="0" w:line="240" w:lineRule="auto"/>
            </w:pPr>
            <w:r>
              <w:rPr>
                <w:sz w:val="20"/>
                <w:szCs w:val="20"/>
              </w:rPr>
              <w:t>2</w:t>
            </w:r>
          </w:p>
        </w:tc>
        <w:tc>
          <w:tcPr>
            <w:tcW w:w="4128" w:type="dxa"/>
            <w:tcBorders>
              <w:top w:val="single" w:sz="4" w:space="0" w:color="BFBFBF"/>
              <w:left w:val="single" w:sz="4" w:space="0" w:color="BFBFBF"/>
              <w:bottom w:val="single" w:sz="4" w:space="0" w:color="BFBFBF"/>
              <w:right w:val="single" w:sz="4" w:space="0" w:color="BFBFBF"/>
            </w:tcBorders>
          </w:tcPr>
          <w:p w14:paraId="581F72D5" w14:textId="77777777" w:rsidR="00961C7F" w:rsidRDefault="008A042F">
            <w:pPr>
              <w:spacing w:after="0" w:line="240" w:lineRule="auto"/>
            </w:pPr>
            <w:r>
              <w:rPr>
                <w:sz w:val="20"/>
                <w:szCs w:val="20"/>
              </w:rPr>
              <w:t>Administrative implementation capacity</w:t>
            </w:r>
          </w:p>
        </w:tc>
      </w:tr>
      <w:tr w:rsidR="00961C7F" w14:paraId="6D2CC5EB"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15EA0396" w14:textId="77777777" w:rsidR="00961C7F" w:rsidRDefault="008A042F">
            <w:pPr>
              <w:spacing w:after="0" w:line="240" w:lineRule="auto"/>
            </w:pPr>
            <w:r>
              <w:rPr>
                <w:sz w:val="20"/>
                <w:szCs w:val="20"/>
              </w:rPr>
              <w:t>Points-based system</w:t>
            </w:r>
          </w:p>
        </w:tc>
        <w:tc>
          <w:tcPr>
            <w:tcW w:w="1099" w:type="dxa"/>
            <w:tcBorders>
              <w:top w:val="single" w:sz="4" w:space="0" w:color="BFBFBF"/>
              <w:left w:val="single" w:sz="4" w:space="0" w:color="BFBFBF"/>
              <w:bottom w:val="single" w:sz="4" w:space="0" w:color="BFBFBF"/>
              <w:right w:val="single" w:sz="4" w:space="0" w:color="BFBFBF"/>
            </w:tcBorders>
          </w:tcPr>
          <w:p w14:paraId="4D985740" w14:textId="77777777" w:rsidR="00961C7F" w:rsidRDefault="008A042F">
            <w:pPr>
              <w:spacing w:after="0" w:line="240" w:lineRule="auto"/>
            </w:pPr>
            <w:r>
              <w:rPr>
                <w:sz w:val="20"/>
                <w:szCs w:val="20"/>
              </w:rPr>
              <w:t>1</w:t>
            </w:r>
          </w:p>
        </w:tc>
        <w:tc>
          <w:tcPr>
            <w:tcW w:w="1123" w:type="dxa"/>
            <w:tcBorders>
              <w:top w:val="single" w:sz="4" w:space="0" w:color="BFBFBF"/>
              <w:left w:val="single" w:sz="4" w:space="0" w:color="BFBFBF"/>
              <w:bottom w:val="single" w:sz="4" w:space="0" w:color="BFBFBF"/>
              <w:right w:val="single" w:sz="4" w:space="0" w:color="BFBFBF"/>
            </w:tcBorders>
          </w:tcPr>
          <w:p w14:paraId="68581035" w14:textId="77777777" w:rsidR="00961C7F" w:rsidRDefault="008A042F">
            <w:pPr>
              <w:spacing w:after="0" w:line="240" w:lineRule="auto"/>
            </w:pPr>
            <w:r>
              <w:rPr>
                <w:sz w:val="20"/>
                <w:szCs w:val="20"/>
              </w:rPr>
              <w:t>1</w:t>
            </w:r>
          </w:p>
        </w:tc>
        <w:tc>
          <w:tcPr>
            <w:tcW w:w="4128" w:type="dxa"/>
            <w:tcBorders>
              <w:top w:val="single" w:sz="4" w:space="0" w:color="BFBFBF"/>
              <w:left w:val="single" w:sz="4" w:space="0" w:color="BFBFBF"/>
              <w:bottom w:val="single" w:sz="4" w:space="0" w:color="BFBFBF"/>
              <w:right w:val="single" w:sz="4" w:space="0" w:color="BFBFBF"/>
            </w:tcBorders>
          </w:tcPr>
          <w:p w14:paraId="1572B8EB" w14:textId="77777777" w:rsidR="00961C7F" w:rsidRDefault="008A042F">
            <w:pPr>
              <w:spacing w:after="0" w:line="240" w:lineRule="auto"/>
            </w:pPr>
            <w:r>
              <w:rPr>
                <w:sz w:val="20"/>
                <w:szCs w:val="20"/>
              </w:rPr>
              <w:t>Selection rules based on points or criteria</w:t>
            </w:r>
          </w:p>
        </w:tc>
      </w:tr>
      <w:tr w:rsidR="00961C7F" w14:paraId="730EBB43"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69B1AB33" w14:textId="77777777" w:rsidR="00961C7F" w:rsidRDefault="008A042F">
            <w:pPr>
              <w:spacing w:after="0" w:line="240" w:lineRule="auto"/>
            </w:pPr>
            <w:r>
              <w:rPr>
                <w:sz w:val="20"/>
                <w:szCs w:val="20"/>
              </w:rPr>
              <w:t>Access to justice and political rights</w:t>
            </w:r>
          </w:p>
        </w:tc>
        <w:tc>
          <w:tcPr>
            <w:tcW w:w="1099" w:type="dxa"/>
            <w:tcBorders>
              <w:top w:val="single" w:sz="4" w:space="0" w:color="BFBFBF"/>
              <w:left w:val="single" w:sz="4" w:space="0" w:color="BFBFBF"/>
              <w:bottom w:val="single" w:sz="4" w:space="0" w:color="BFBFBF"/>
              <w:right w:val="single" w:sz="4" w:space="0" w:color="BFBFBF"/>
            </w:tcBorders>
          </w:tcPr>
          <w:p w14:paraId="6001B3D8" w14:textId="77777777" w:rsidR="00961C7F" w:rsidRDefault="008A042F">
            <w:pPr>
              <w:spacing w:after="0" w:line="240" w:lineRule="auto"/>
            </w:pPr>
            <w:r>
              <w:rPr>
                <w:sz w:val="20"/>
                <w:szCs w:val="20"/>
              </w:rPr>
              <w:t>3</w:t>
            </w:r>
          </w:p>
        </w:tc>
        <w:tc>
          <w:tcPr>
            <w:tcW w:w="1123" w:type="dxa"/>
            <w:tcBorders>
              <w:top w:val="single" w:sz="4" w:space="0" w:color="BFBFBF"/>
              <w:left w:val="single" w:sz="4" w:space="0" w:color="BFBFBF"/>
              <w:bottom w:val="single" w:sz="4" w:space="0" w:color="BFBFBF"/>
              <w:right w:val="single" w:sz="4" w:space="0" w:color="BFBFBF"/>
            </w:tcBorders>
          </w:tcPr>
          <w:p w14:paraId="3C5D4A06" w14: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w14:paraId="61ED98E0" w14:textId="77777777" w:rsidR="00961C7F" w:rsidRDefault="008A042F">
            <w:pPr>
              <w:spacing w:after="0" w:line="240" w:lineRule="auto"/>
            </w:pPr>
            <w:r>
              <w:rPr>
                <w:sz w:val="20"/>
                <w:szCs w:val="20"/>
              </w:rPr>
              <w:t>Rights and legal-access reforms associated with legal residence or work</w:t>
            </w:r>
          </w:p>
        </w:tc>
      </w:tr>
      <w:tr w:rsidR="00961C7F" w14:paraId="53ADA818"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1732FD24" w14:textId="77777777" w:rsidR="00961C7F" w:rsidRDefault="008A042F">
            <w:pPr>
              <w:spacing w:after="0" w:line="240" w:lineRule="auto"/>
            </w:pPr>
            <w:r>
              <w:rPr>
                <w:sz w:val="20"/>
                <w:szCs w:val="20"/>
              </w:rPr>
              <w:t>Action Plan, Strategy, Report</w:t>
            </w:r>
          </w:p>
        </w:tc>
        <w:tc>
          <w:tcPr>
            <w:tcW w:w="1099" w:type="dxa"/>
            <w:tcBorders>
              <w:top w:val="single" w:sz="4" w:space="0" w:color="BFBFBF"/>
              <w:left w:val="single" w:sz="4" w:space="0" w:color="BFBFBF"/>
              <w:bottom w:val="single" w:sz="4" w:space="0" w:color="BFBFBF"/>
              <w:right w:val="single" w:sz="4" w:space="0" w:color="BFBFBF"/>
            </w:tcBorders>
          </w:tcPr>
          <w:p w14:paraId="1A26150A" w14:textId="77777777" w:rsidR="00961C7F" w:rsidRDefault="008A042F">
            <w:pPr>
              <w:spacing w:after="0" w:line="240" w:lineRule="auto"/>
            </w:pPr>
            <w:r>
              <w:rPr>
                <w:sz w:val="20"/>
                <w:szCs w:val="20"/>
              </w:rPr>
              <w:t>2</w:t>
            </w:r>
          </w:p>
        </w:tc>
        <w:tc>
          <w:tcPr>
            <w:tcW w:w="1123" w:type="dxa"/>
            <w:tcBorders>
              <w:top w:val="single" w:sz="4" w:space="0" w:color="BFBFBF"/>
              <w:left w:val="single" w:sz="4" w:space="0" w:color="BFBFBF"/>
              <w:bottom w:val="single" w:sz="4" w:space="0" w:color="BFBFBF"/>
              <w:right w:val="single" w:sz="4" w:space="0" w:color="BFBFBF"/>
            </w:tcBorders>
          </w:tcPr>
          <w:p w14:paraId="4201D4A2" w14: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w14:paraId="5B4726F0" w14:textId="77777777" w:rsidR="00961C7F" w:rsidRDefault="008A042F">
            <w:pPr>
              <w:spacing w:after="0" w:line="240" w:lineRule="auto"/>
            </w:pPr>
            <w:r>
              <w:rPr>
                <w:sz w:val="20"/>
                <w:szCs w:val="20"/>
              </w:rPr>
              <w:t>Strategy or administrative framework; included in all-tools measure, excluded from core subset</w:t>
            </w:r>
          </w:p>
        </w:tc>
      </w:tr>
      <w:tr w:rsidR="00961C7F" w14:paraId="6BF8F229"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48167191" w14:textId="77777777" w:rsidR="00961C7F" w:rsidRDefault="008A042F">
            <w:pPr>
              <w:spacing w:after="0" w:line="240" w:lineRule="auto"/>
            </w:pPr>
            <w:r>
              <w:rPr>
                <w:sz w:val="20"/>
                <w:szCs w:val="20"/>
              </w:rPr>
              <w:t>Language, housing and cultural integration programmes</w:t>
            </w:r>
          </w:p>
        </w:tc>
        <w:tc>
          <w:tcPr>
            <w:tcW w:w="1099" w:type="dxa"/>
            <w:tcBorders>
              <w:top w:val="single" w:sz="4" w:space="0" w:color="BFBFBF"/>
              <w:left w:val="single" w:sz="4" w:space="0" w:color="BFBFBF"/>
              <w:bottom w:val="single" w:sz="4" w:space="0" w:color="BFBFBF"/>
              <w:right w:val="single" w:sz="4" w:space="0" w:color="BFBFBF"/>
            </w:tcBorders>
          </w:tcPr>
          <w:p w14:paraId="200FA124" w14:textId="77777777" w:rsidR="00961C7F" w:rsidRDefault="008A042F">
            <w:pPr>
              <w:spacing w:after="0" w:line="240" w:lineRule="auto"/>
            </w:pPr>
            <w:r>
              <w:rPr>
                <w:sz w:val="20"/>
                <w:szCs w:val="20"/>
              </w:rPr>
              <w:t>1</w:t>
            </w:r>
          </w:p>
        </w:tc>
        <w:tc>
          <w:tcPr>
            <w:tcW w:w="1123" w:type="dxa"/>
            <w:tcBorders>
              <w:top w:val="single" w:sz="4" w:space="0" w:color="BFBFBF"/>
              <w:left w:val="single" w:sz="4" w:space="0" w:color="BFBFBF"/>
              <w:bottom w:val="single" w:sz="4" w:space="0" w:color="BFBFBF"/>
              <w:right w:val="single" w:sz="4" w:space="0" w:color="BFBFBF"/>
            </w:tcBorders>
          </w:tcPr>
          <w:p w14:paraId="12A5B746" w14: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w14:paraId="7A74C00F" w14:textId="77777777" w:rsidR="00961C7F" w:rsidRDefault="008A042F">
            <w:pPr>
              <w:spacing w:after="0" w:line="240" w:lineRule="auto"/>
            </w:pPr>
            <w:r>
              <w:rPr>
                <w:sz w:val="20"/>
                <w:szCs w:val="20"/>
              </w:rPr>
              <w:t>Integration-related condition; included in all-tools measure, excluded from core subset</w:t>
            </w:r>
          </w:p>
        </w:tc>
      </w:tr>
    </w:tbl>
    <w:p w14:paraId="486F12B1" w14:textId="77777777" w:rsidR="00961C7F" w:rsidRDefault="008A042F">
      <w:pPr>
        <w:pStyle w:val="Heading2"/>
      </w:pPr>
      <w:r>
        <w:t>6.3 Controls and sample construction</w:t>
      </w:r>
    </w:p>
    <w:p w14:paraId="682CFD9E" w14:textId="77777777" w:rsidR="00961C7F" w:rsidRDefault="008A042F" w:rsidP="00E9740F">
      <w:pPr>
        <w:ind w:firstLine="720"/>
        <w:jc w:val="both"/>
      </w:pPr>
      <w:r>
        <w:t>The destination-year controls are lagged unemployment and lagged real GDP growth. GDP growth is complete in the current panel, while unemployment has 37 missing country-year values and therefore reduces the full-control aggregate sample.</w:t>
      </w:r>
    </w:p>
    <w:p w14:paraId="210A9721" w14:textId="77777777" w:rsidR="00961C7F" w:rsidRDefault="008A042F" w:rsidP="00E9740F">
      <w:pPr>
        <w:ind w:firstLine="720"/>
        <w:jc w:val="both"/>
      </w:pPr>
      <w:r>
        <w:lastRenderedPageBreak/>
        <w:t>The main share regressions require a positive employment-permit denominator and retain cells with at least 30 current employment permits. This transparent minimum-cell rule limits ratios driven by only a handful of permits; denominator weighting then gives larger retained cells more influence. Because both choices use the observed denominator, Section 8 also reports a weighted sensitivity check that retains every positive-denominator corridor.</w:t>
      </w:r>
    </w:p>
    <w:p w14:paraId="2E5482B7" w14:textId="77777777" w:rsidR="00961C7F" w:rsidRDefault="008A042F" w:rsidP="001B5A82">
      <w:pPr>
        <w:jc w:val="both"/>
      </w:pPr>
      <w:r>
        <w:t>The empirical base is sizeable. After the baseline Eurostat filters are applied, the residence-permit data contain 281,952 long-format rows before aggregation and 1,176 constructed outcome rows across citizenship groups. DEMIG-QuantMig contains more than 7,600 policy records before the thesis filters are applied. This coverage supports detailed descriptive measurement and multiple robustness checks. It does not, however, resolve policy endogeneity, so controls and cautious interpretation remain necessary.</w:t>
      </w:r>
    </w:p>
    <w:p w14:paraId="7B276305" w14:textId="77777777" w:rsidR="008F026E" w:rsidRDefault="00000000">
      <w:pPr>
        <w:jc w:val="both"/>
      </w:pPr>
      <w:r>
        <w:t>Destination-country economic conditions can shape both migration policy and permit inflows. A government facing high unemployment or weak growth may tighten work-permit conditions, expand labor-market tests, or impose stricter employer obligations. A government facing strong growth, labor shortages, or demographic pressure may instead liberalize entry or favor workers with scarce skills. The same conditions can also change the number and composition of permits issued.</w:t>
      </w:r>
    </w:p>
    <w:p w14:paraId="310EAE07" w14:textId="77777777" w:rsidR="008F026E" w:rsidRDefault="00000000">
      <w:pPr>
        <w:jc w:val="both"/>
      </w:pPr>
      <w:r>
        <w:t>Lagged unemployment and GDP growth therefore help account for the economic environment in which policy decisions are made. They remain broad proxies, however, rather than complete measures of labor demand, vacancies, wages, or sector-specific shortages.</w:t>
      </w:r>
    </w:p>
    <w:p w14:paraId="1B371C16" w14:textId="77777777" w:rsidR="00961C7F" w:rsidRDefault="008A042F" w:rsidP="001B5A82">
      <w:pPr>
        <w:jc w:val="both"/>
      </w:pPr>
      <w:r>
        <w:t>The bilateral model also includes origin-year fixed effects, which absorb time-varying conditions shared by migrants from the same origin in a given year. This is preferable to adding incomplete origin controls that are not measured consistently across the panel.</w:t>
      </w:r>
    </w:p>
    <w:p w14:paraId="2C3D2DCB" w14:textId="77777777" w:rsidR="002C6307" w:rsidRPr="00F86F57" w:rsidRDefault="008A042F" w:rsidP="00F86F57">
      <w:pPr>
        <w:jc w:val="both"/>
      </w:pPr>
      <w:r>
        <w:t>To assist with replication, Table 4 below summarizes every variable used in the main regression specifications, together with its definition and original data source. All main-model variables are constructed from publicly available Eurostat and DEMIG-QuantMig records; additional data sources used only in robustness checks are documented in Section 8.</w:t>
      </w:r>
    </w:p>
    <w:p w14:paraId="42128842" w14:textId="77777777" w:rsidR="00961C7F" w:rsidRDefault="008A042F">
      <w:pPr>
        <w:jc w:val="center"/>
      </w:pPr>
      <w:r>
        <w:rPr>
          <w:b/>
          <w:i/>
          <w:sz w:val="18"/>
        </w:rPr>
        <w:t>Table 4. Variable definitions for the regression specifications.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93"/>
        <w:gridCol w:w="4932"/>
        <w:gridCol w:w="2101"/>
      </w:tblGrid>
      <w:tr w:rsidR="00961C7F" w14:paraId="05DB6D34" w14:textId="77777777" w:rsidTr="007F06D5">
        <w:trPr>
          <w:cantSplit/>
          <w:tblHeader/>
          <w:jc w:val="center"/>
        </w:trPr>
        <w:tc>
          <w:tcPr>
            <w:tcW w:w="1993" w:type="dxa"/>
          </w:tcPr>
          <w:p w14:paraId="5C0218B4" w14:textId="77777777" w:rsidR="00961C7F" w:rsidRDefault="007F06D5">
            <w:pPr>
              <w:spacing w:after="0" w:line="240" w:lineRule="auto"/>
              <w:rPr>
                <w:rFonts w:eastAsia="MS Mincho"/>
              </w:rPr>
            </w:pPr>
            <w:r>
              <w:rPr>
                <w:rFonts w:eastAsia="MS Mincho"/>
                <w:b/>
                <w:sz w:val="20"/>
                <w:szCs w:val="20"/>
              </w:rPr>
              <w:t>V</w:t>
            </w:r>
            <w:r w:rsidR="008A042F">
              <w:rPr>
                <w:rFonts w:eastAsia="MS Mincho"/>
                <w:b/>
                <w:sz w:val="20"/>
                <w:szCs w:val="20"/>
              </w:rPr>
              <w:t>ariable (code name)</w:t>
            </w:r>
          </w:p>
        </w:tc>
        <w:tc>
          <w:tcPr>
            <w:tcW w:w="4932" w:type="dxa"/>
          </w:tcPr>
          <w:p w14:paraId="577A8B3B" w14:textId="77777777" w:rsidR="00961C7F" w:rsidRDefault="008A042F">
            <w:pPr>
              <w:spacing w:after="0" w:line="240" w:lineRule="auto"/>
              <w:rPr>
                <w:rFonts w:eastAsia="MS Mincho"/>
              </w:rPr>
            </w:pPr>
            <w:r>
              <w:rPr>
                <w:rFonts w:eastAsia="MS Mincho"/>
                <w:b/>
                <w:sz w:val="20"/>
                <w:szCs w:val="20"/>
              </w:rPr>
              <w:t>Definition</w:t>
            </w:r>
          </w:p>
        </w:tc>
        <w:tc>
          <w:tcPr>
            <w:tcW w:w="2101" w:type="dxa"/>
          </w:tcPr>
          <w:p w14:paraId="133C281C" w14:textId="77777777" w:rsidR="00961C7F" w:rsidRDefault="008A042F">
            <w:pPr>
              <w:spacing w:after="0" w:line="240" w:lineRule="auto"/>
              <w:rPr>
                <w:rFonts w:eastAsia="MS Mincho"/>
              </w:rPr>
            </w:pPr>
            <w:r>
              <w:rPr>
                <w:rFonts w:eastAsia="MS Mincho"/>
                <w:b/>
                <w:sz w:val="20"/>
                <w:szCs w:val="20"/>
              </w:rPr>
              <w:t>Source</w:t>
            </w:r>
          </w:p>
        </w:tc>
      </w:tr>
      <w:tr w:rsidR="00961C7F" w14:paraId="21919102" w14:textId="77777777" w:rsidTr="007F06D5">
        <w:trPr>
          <w:cantSplit/>
          <w:jc w:val="center"/>
        </w:trPr>
        <w:tc>
          <w:tcPr>
            <w:tcW w:w="1993" w:type="dxa"/>
          </w:tcPr>
          <w:p w14:paraId="4DF90BC1" w14:textId="77777777" w:rsidR="00961C7F" w:rsidRDefault="008A042F">
            <w:pPr>
              <w:spacing w:after="0" w:line="240" w:lineRule="auto"/>
              <w:rPr>
                <w:rFonts w:eastAsia="MS Mincho"/>
              </w:rPr>
            </w:pPr>
            <w:r>
              <w:rPr>
                <w:rFonts w:eastAsia="MS Mincho"/>
                <w:sz w:val="20"/>
                <w:szCs w:val="20"/>
              </w:rPr>
              <w:t>High-skilled permit share (</w:t>
            </w:r>
            <w:proofErr w:type="spellStart"/>
            <w:r>
              <w:rPr>
                <w:rFonts w:eastAsia="MS Mincho"/>
                <w:sz w:val="20"/>
                <w:szCs w:val="20"/>
              </w:rPr>
              <w:t>HSRate</w:t>
            </w:r>
            <w:proofErr w:type="spellEnd"/>
            <w:r>
              <w:rPr>
                <w:rFonts w:eastAsia="MS Mincho"/>
                <w:sz w:val="20"/>
                <w:szCs w:val="20"/>
              </w:rPr>
              <w:t>)</w:t>
            </w:r>
          </w:p>
        </w:tc>
        <w:tc>
          <w:tcPr>
            <w:tcW w:w="4932" w:type="dxa"/>
          </w:tcPr>
          <w:p w14:paraId="6644B6DD" w14:textId="77777777" w:rsidR="00961C7F" w:rsidRDefault="008A042F">
            <w:pPr>
              <w:spacing w:after="0" w:line="240" w:lineRule="auto"/>
              <w:rPr>
                <w:rFonts w:eastAsia="MS Mincho"/>
              </w:rPr>
            </w:pPr>
            <w:r>
              <w:rPr>
                <w:rFonts w:eastAsia="MS Mincho"/>
                <w:sz w:val="20"/>
                <w:szCs w:val="20"/>
              </w:rPr>
              <w:t xml:space="preserve">High-skilled share of employment-related first residence permits, computed as </w:t>
            </w:r>
            <w:proofErr w:type="spellStart"/>
            <w:r>
              <w:rPr>
                <w:rFonts w:eastAsia="MS Mincho"/>
                <w:sz w:val="20"/>
                <w:szCs w:val="20"/>
              </w:rPr>
              <w:t>HSNumber</w:t>
            </w:r>
            <w:proofErr w:type="spellEnd"/>
            <w:r>
              <w:rPr>
                <w:rFonts w:eastAsia="MS Mincho"/>
                <w:sz w:val="20"/>
                <w:szCs w:val="20"/>
              </w:rPr>
              <w:t xml:space="preserve"> divided by the total employment-related permit flow.</w:t>
            </w:r>
          </w:p>
        </w:tc>
        <w:tc>
          <w:tcPr>
            <w:tcW w:w="2101" w:type="dxa"/>
          </w:tcPr>
          <w:p w14:paraId="75282E9F"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w14:paraId="6B63B73C" w14:textId="77777777" w:rsidTr="007F06D5">
        <w:trPr>
          <w:cantSplit/>
          <w:jc w:val="center"/>
        </w:trPr>
        <w:tc>
          <w:tcPr>
            <w:tcW w:w="1993" w:type="dxa"/>
          </w:tcPr>
          <w:p w14:paraId="6874CE52" w14:textId="77777777" w:rsidR="00961C7F" w:rsidRDefault="008A042F">
            <w:pPr>
              <w:spacing w:after="0" w:line="240" w:lineRule="auto"/>
              <w:rPr>
                <w:rFonts w:eastAsia="MS Mincho"/>
              </w:rPr>
            </w:pPr>
            <w:r>
              <w:rPr>
                <w:rFonts w:eastAsia="MS Mincho"/>
                <w:sz w:val="20"/>
                <w:szCs w:val="20"/>
              </w:rPr>
              <w:lastRenderedPageBreak/>
              <w:t>All-first-permits high-skilled share</w:t>
            </w:r>
          </w:p>
        </w:tc>
        <w:tc>
          <w:tcPr>
            <w:tcW w:w="4932" w:type="dxa"/>
          </w:tcPr>
          <w:p w14:paraId="641BFC66" w14:textId="77777777" w:rsidR="00961C7F" w:rsidRDefault="008A042F">
            <w:pPr>
              <w:spacing w:after="0" w:line="240" w:lineRule="auto"/>
              <w:rPr>
                <w:rFonts w:eastAsia="MS Mincho"/>
              </w:rPr>
            </w:pPr>
            <w:r>
              <w:rPr>
                <w:rFonts w:eastAsia="MS Mincho"/>
                <w:sz w:val="20"/>
                <w:szCs w:val="20"/>
              </w:rPr>
              <w:t>Robustness outcome: high-skilled employment permits divided by all first residence permits across family, education, employment, and other reasons.</w:t>
            </w:r>
          </w:p>
        </w:tc>
        <w:tc>
          <w:tcPr>
            <w:tcW w:w="2101" w:type="dxa"/>
          </w:tcPr>
          <w:p w14:paraId="20AEC261"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migr_resfirst</w:t>
            </w:r>
            <w:proofErr w:type="spellEnd"/>
            <w:r>
              <w:rPr>
                <w:rFonts w:eastAsia="MS Mincho"/>
                <w:sz w:val="20"/>
                <w:szCs w:val="20"/>
              </w:rPr>
              <w:t xml:space="preserve"> plus </w:t>
            </w:r>
            <w:proofErr w:type="spellStart"/>
            <w:r>
              <w:rPr>
                <w:rFonts w:eastAsia="MS Mincho"/>
                <w:sz w:val="20"/>
                <w:szCs w:val="20"/>
              </w:rPr>
              <w:t>migr_resocc</w:t>
            </w:r>
            <w:proofErr w:type="spellEnd"/>
          </w:p>
        </w:tc>
      </w:tr>
      <w:tr w:rsidR="00961C7F" w14:paraId="624F4871" w14:textId="77777777" w:rsidTr="007F06D5">
        <w:trPr>
          <w:cantSplit/>
          <w:jc w:val="center"/>
        </w:trPr>
        <w:tc>
          <w:tcPr>
            <w:tcW w:w="1993" w:type="dxa"/>
          </w:tcPr>
          <w:p w14:paraId="6B797B3F" w14:textId="77777777" w:rsidR="00961C7F" w:rsidRDefault="008A042F">
            <w:pPr>
              <w:spacing w:after="0" w:line="240" w:lineRule="auto"/>
              <w:rPr>
                <w:rFonts w:eastAsia="MS Mincho"/>
              </w:rPr>
            </w:pPr>
            <w:r>
              <w:rPr>
                <w:rFonts w:eastAsia="MS Mincho"/>
                <w:sz w:val="20"/>
                <w:szCs w:val="20"/>
              </w:rPr>
              <w:t>High-skilled permit count (</w:t>
            </w:r>
            <w:proofErr w:type="spellStart"/>
            <w:r>
              <w:rPr>
                <w:rFonts w:eastAsia="MS Mincho"/>
                <w:sz w:val="20"/>
                <w:szCs w:val="20"/>
              </w:rPr>
              <w:t>HSNumber</w:t>
            </w:r>
            <w:proofErr w:type="spellEnd"/>
            <w:r>
              <w:rPr>
                <w:rFonts w:eastAsia="MS Mincho"/>
                <w:sz w:val="20"/>
                <w:szCs w:val="20"/>
              </w:rPr>
              <w:t>)</w:t>
            </w:r>
          </w:p>
        </w:tc>
        <w:tc>
          <w:tcPr>
            <w:tcW w:w="4932" w:type="dxa"/>
          </w:tcPr>
          <w:p w14:paraId="2E7A02DE" w14:textId="77777777" w:rsidR="00961C7F" w:rsidRDefault="008A042F">
            <w:pPr>
              <w:spacing w:after="0" w:line="240" w:lineRule="auto"/>
              <w:rPr>
                <w:rFonts w:eastAsia="MS Mincho"/>
              </w:rPr>
            </w:pPr>
            <w:r>
              <w:rPr>
                <w:rFonts w:eastAsia="MS Mincho"/>
                <w:sz w:val="20"/>
                <w:szCs w:val="20"/>
              </w:rPr>
              <w:t>Sum of permits issued to highly skilled workers and researchers; level/count outcome in the M4 and PPML specifications.</w:t>
            </w:r>
          </w:p>
        </w:tc>
        <w:tc>
          <w:tcPr>
            <w:tcW w:w="2101" w:type="dxa"/>
          </w:tcPr>
          <w:p w14:paraId="19CCD68B"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w14:paraId="368F6129" w14:textId="77777777" w:rsidTr="007F06D5">
        <w:trPr>
          <w:cantSplit/>
          <w:jc w:val="center"/>
        </w:trPr>
        <w:tc>
          <w:tcPr>
            <w:tcW w:w="1993" w:type="dxa"/>
          </w:tcPr>
          <w:p w14:paraId="169B0EDD" w14:textId="77777777" w:rsidR="00961C7F" w:rsidRDefault="008A042F">
            <w:pPr>
              <w:spacing w:after="0" w:line="240" w:lineRule="auto"/>
              <w:rPr>
                <w:rFonts w:eastAsia="MS Mincho"/>
              </w:rPr>
            </w:pPr>
            <w:r>
              <w:rPr>
                <w:rFonts w:eastAsia="MS Mincho"/>
                <w:sz w:val="20"/>
                <w:szCs w:val="20"/>
              </w:rPr>
              <w:t>Lagged cumulative all-migrant-worker policy score (Restrict_lag1)</w:t>
            </w:r>
          </w:p>
        </w:tc>
        <w:tc>
          <w:tcPr>
            <w:tcW w:w="4932" w:type="dxa"/>
          </w:tcPr>
          <w:p w14:paraId="5595F8C5" w14:textId="77777777" w:rsidR="00961C7F" w:rsidRDefault="008A042F">
            <w:pPr>
              <w:spacing w:after="0" w:line="240" w:lineRule="auto"/>
              <w:rPr>
                <w:rFonts w:eastAsia="MS Mincho"/>
              </w:rPr>
            </w:pPr>
            <w:r>
              <w:rPr>
                <w:rFonts w:eastAsia="MS Mincho"/>
                <w:sz w:val="20"/>
                <w:szCs w:val="20"/>
              </w:rPr>
              <w:t>One-year lag of the cumulative net magnitude-weighted Restrict score for all-migrant-worker-only reforms coded for All foreign nationalities; coefficient of interest in the preferred model.</w:t>
            </w:r>
          </w:p>
        </w:tc>
        <w:tc>
          <w:tcPr>
            <w:tcW w:w="2101" w:type="dxa"/>
          </w:tcPr>
          <w:p w14:paraId="75757827" w14:textId="77777777" w:rsidR="00961C7F" w:rsidRDefault="008A042F">
            <w:pPr>
              <w:spacing w:after="0" w:line="240" w:lineRule="auto"/>
              <w:rPr>
                <w:rFonts w:eastAsia="MS Mincho"/>
              </w:rPr>
            </w:pPr>
            <w:r>
              <w:rPr>
                <w:rFonts w:eastAsia="MS Mincho"/>
                <w:sz w:val="20"/>
                <w:szCs w:val="20"/>
              </w:rPr>
              <w:t>DEMIG-QuantMig (constructed)</w:t>
            </w:r>
          </w:p>
        </w:tc>
      </w:tr>
      <w:tr w:rsidR="00961C7F" w14:paraId="437A7D5A" w14:textId="77777777" w:rsidTr="007F06D5">
        <w:trPr>
          <w:cantSplit/>
          <w:jc w:val="center"/>
        </w:trPr>
        <w:tc>
          <w:tcPr>
            <w:tcW w:w="1993" w:type="dxa"/>
          </w:tcPr>
          <w:p w14:paraId="358F3870" w14:textId="77777777" w:rsidR="00961C7F" w:rsidRDefault="008A042F">
            <w:pPr>
              <w:spacing w:after="0" w:line="240" w:lineRule="auto"/>
              <w:rPr>
                <w:rFonts w:eastAsia="MS Mincho"/>
              </w:rPr>
            </w:pPr>
            <w:r>
              <w:rPr>
                <w:rFonts w:eastAsia="MS Mincho"/>
                <w:sz w:val="20"/>
                <w:szCs w:val="20"/>
              </w:rPr>
              <w:t>Lagged cumulative high-skill-targeted policy score (Restrict_hs_lag1)</w:t>
            </w:r>
          </w:p>
        </w:tc>
        <w:tc>
          <w:tcPr>
            <w:tcW w:w="4932" w:type="dxa"/>
          </w:tcPr>
          <w:p w14:paraId="5274F2A9" w14:textId="77777777" w:rsidR="00961C7F" w:rsidRDefault="008A042F">
            <w:pPr>
              <w:spacing w:after="0" w:line="240" w:lineRule="auto"/>
              <w:rPr>
                <w:rFonts w:eastAsia="MS Mincho"/>
              </w:rPr>
            </w:pPr>
            <w:r>
              <w:rPr>
                <w:rFonts w:eastAsia="MS Mincho"/>
                <w:sz w:val="20"/>
                <w:szCs w:val="20"/>
              </w:rPr>
              <w:t>One-year lag of the cumulative net magnitude-weighted Restrict score for reforms targeting skilled/high-skilled workers; included as a policy control.</w:t>
            </w:r>
          </w:p>
        </w:tc>
        <w:tc>
          <w:tcPr>
            <w:tcW w:w="2101" w:type="dxa"/>
          </w:tcPr>
          <w:p w14:paraId="6B8E0C4B" w14:textId="77777777" w:rsidR="00961C7F" w:rsidRDefault="008A042F">
            <w:pPr>
              <w:spacing w:after="0" w:line="240" w:lineRule="auto"/>
              <w:rPr>
                <w:rFonts w:eastAsia="MS Mincho"/>
              </w:rPr>
            </w:pPr>
            <w:r>
              <w:rPr>
                <w:rFonts w:eastAsia="MS Mincho"/>
                <w:sz w:val="20"/>
                <w:szCs w:val="20"/>
              </w:rPr>
              <w:t>DEMIG-QuantMig (constructed)</w:t>
            </w:r>
          </w:p>
        </w:tc>
      </w:tr>
      <w:tr w:rsidR="00961C7F" w14:paraId="056D5F37" w14:textId="77777777" w:rsidTr="007F06D5">
        <w:trPr>
          <w:cantSplit/>
          <w:jc w:val="center"/>
        </w:trPr>
        <w:tc>
          <w:tcPr>
            <w:tcW w:w="1993" w:type="dxa"/>
          </w:tcPr>
          <w:p w14:paraId="4D27B2F2" w14:textId="77777777" w:rsidR="00961C7F" w:rsidRDefault="008A042F">
            <w:pPr>
              <w:spacing w:after="0" w:line="240" w:lineRule="auto"/>
              <w:rPr>
                <w:rFonts w:eastAsia="MS Mincho"/>
              </w:rPr>
            </w:pPr>
            <w:r>
              <w:rPr>
                <w:rFonts w:eastAsia="MS Mincho"/>
                <w:sz w:val="20"/>
                <w:szCs w:val="20"/>
              </w:rPr>
              <w:t>Lagged cumulative low-skill-targeted policy score (Restrict_low_lag1)</w:t>
            </w:r>
          </w:p>
        </w:tc>
        <w:tc>
          <w:tcPr>
            <w:tcW w:w="4932" w:type="dxa"/>
          </w:tcPr>
          <w:p w14:paraId="0708D22C" w14:textId="77777777" w:rsidR="00961C7F" w:rsidRDefault="008A042F">
            <w:pPr>
              <w:spacing w:after="0" w:line="240" w:lineRule="auto"/>
              <w:rPr>
                <w:rFonts w:eastAsia="MS Mincho"/>
              </w:rPr>
            </w:pPr>
            <w:r>
              <w:rPr>
                <w:rFonts w:eastAsia="MS Mincho"/>
                <w:sz w:val="20"/>
                <w:szCs w:val="20"/>
              </w:rPr>
              <w:t>One-year lag of the cumulative net magnitude-weighted Restrict score for reforms targeting low-skilled workers; included as a policy control.</w:t>
            </w:r>
          </w:p>
        </w:tc>
        <w:tc>
          <w:tcPr>
            <w:tcW w:w="2101" w:type="dxa"/>
          </w:tcPr>
          <w:p w14:paraId="787396CE" w14:textId="77777777" w:rsidR="00961C7F" w:rsidRDefault="008A042F">
            <w:pPr>
              <w:spacing w:after="0" w:line="240" w:lineRule="auto"/>
              <w:rPr>
                <w:rFonts w:eastAsia="MS Mincho"/>
              </w:rPr>
            </w:pPr>
            <w:r>
              <w:rPr>
                <w:rFonts w:eastAsia="MS Mincho"/>
                <w:sz w:val="20"/>
                <w:szCs w:val="20"/>
              </w:rPr>
              <w:t>DEMIG-QuantMig (constructed)</w:t>
            </w:r>
          </w:p>
        </w:tc>
      </w:tr>
      <w:tr w:rsidR="00961C7F" w14:paraId="6584AFA3" w14:textId="77777777" w:rsidTr="007F06D5">
        <w:trPr>
          <w:cantSplit/>
          <w:jc w:val="center"/>
        </w:trPr>
        <w:tc>
          <w:tcPr>
            <w:tcW w:w="1993" w:type="dxa"/>
          </w:tcPr>
          <w:p w14:paraId="4FEA768E" w14:textId="77777777" w:rsidR="00961C7F" w:rsidRDefault="008A042F">
            <w:pPr>
              <w:spacing w:after="0" w:line="240" w:lineRule="auto"/>
              <w:rPr>
                <w:rFonts w:eastAsia="MS Mincho"/>
              </w:rPr>
            </w:pPr>
            <w:r>
              <w:rPr>
                <w:rFonts w:eastAsia="MS Mincho"/>
                <w:sz w:val="20"/>
                <w:szCs w:val="20"/>
              </w:rPr>
              <w:t>Lagged annual all-migrant-worker policy flow (restrict_event_lag1)</w:t>
            </w:r>
          </w:p>
        </w:tc>
        <w:tc>
          <w:tcPr>
            <w:tcW w:w="4932" w:type="dxa"/>
          </w:tcPr>
          <w:p w14:paraId="70D2FA8D" w14:textId="77777777" w:rsidR="00961C7F" w:rsidRDefault="008A042F">
            <w:pPr>
              <w:spacing w:after="0" w:line="240" w:lineRule="auto"/>
              <w:rPr>
                <w:rFonts w:eastAsia="MS Mincho"/>
              </w:rPr>
            </w:pPr>
            <w:r>
              <w:rPr>
                <w:rFonts w:eastAsia="MS Mincho"/>
                <w:sz w:val="20"/>
                <w:szCs w:val="20"/>
              </w:rPr>
              <w:t>One-year lag of the annual policy-flow Restrict measure for all-migrant-worker-only reforms.</w:t>
            </w:r>
          </w:p>
        </w:tc>
        <w:tc>
          <w:tcPr>
            <w:tcW w:w="2101" w:type="dxa"/>
          </w:tcPr>
          <w:p w14:paraId="68E2F2AC" w14:textId="77777777" w:rsidR="00961C7F" w:rsidRDefault="008A042F">
            <w:pPr>
              <w:spacing w:after="0" w:line="240" w:lineRule="auto"/>
              <w:rPr>
                <w:rFonts w:eastAsia="MS Mincho"/>
              </w:rPr>
            </w:pPr>
            <w:r>
              <w:rPr>
                <w:rFonts w:eastAsia="MS Mincho"/>
                <w:sz w:val="20"/>
                <w:szCs w:val="20"/>
              </w:rPr>
              <w:t>DEMIG-QuantMig (constructed)</w:t>
            </w:r>
          </w:p>
        </w:tc>
      </w:tr>
      <w:tr w:rsidR="00961C7F" w14:paraId="75F39737" w14:textId="77777777" w:rsidTr="007F06D5">
        <w:trPr>
          <w:cantSplit/>
          <w:jc w:val="center"/>
        </w:trPr>
        <w:tc>
          <w:tcPr>
            <w:tcW w:w="1993" w:type="dxa"/>
          </w:tcPr>
          <w:p w14:paraId="2E52E36C" w14:textId="77777777" w:rsidR="00961C7F" w:rsidRDefault="008A042F">
            <w:pPr>
              <w:spacing w:after="0" w:line="240" w:lineRule="auto"/>
              <w:rPr>
                <w:rFonts w:eastAsia="MS Mincho"/>
              </w:rPr>
            </w:pPr>
            <w:r>
              <w:rPr>
                <w:rFonts w:eastAsia="MS Mincho"/>
                <w:sz w:val="20"/>
                <w:szCs w:val="20"/>
              </w:rPr>
              <w:t>Lagged annual high-skill-targeted policy flow (restrict_event_hs_lag1)</w:t>
            </w:r>
          </w:p>
        </w:tc>
        <w:tc>
          <w:tcPr>
            <w:tcW w:w="4932" w:type="dxa"/>
          </w:tcPr>
          <w:p w14:paraId="3CEB6C98" w14:textId="77777777" w:rsidR="00961C7F" w:rsidRDefault="008A042F">
            <w:pPr>
              <w:spacing w:after="0" w:line="240" w:lineRule="auto"/>
              <w:rPr>
                <w:rFonts w:eastAsia="MS Mincho"/>
              </w:rPr>
            </w:pPr>
            <w:r>
              <w:rPr>
                <w:rFonts w:eastAsia="MS Mincho"/>
                <w:sz w:val="20"/>
                <w:szCs w:val="20"/>
              </w:rPr>
              <w:t>One-year lag of the annual policy-flow measure for skilled/high-skilled-targeted reforms; control in annual-flow specifications.</w:t>
            </w:r>
          </w:p>
        </w:tc>
        <w:tc>
          <w:tcPr>
            <w:tcW w:w="2101" w:type="dxa"/>
          </w:tcPr>
          <w:p w14:paraId="2EB1CC33" w14:textId="77777777" w:rsidR="00961C7F" w:rsidRDefault="008A042F">
            <w:pPr>
              <w:spacing w:after="0" w:line="240" w:lineRule="auto"/>
              <w:rPr>
                <w:rFonts w:eastAsia="MS Mincho"/>
              </w:rPr>
            </w:pPr>
            <w:r>
              <w:rPr>
                <w:rFonts w:eastAsia="MS Mincho"/>
                <w:sz w:val="20"/>
                <w:szCs w:val="20"/>
              </w:rPr>
              <w:t>DEMIG-QuantMig (constructed)</w:t>
            </w:r>
          </w:p>
        </w:tc>
      </w:tr>
      <w:tr w:rsidR="00961C7F" w14:paraId="23ADD1F2" w14:textId="77777777" w:rsidTr="007F06D5">
        <w:trPr>
          <w:cantSplit/>
          <w:jc w:val="center"/>
        </w:trPr>
        <w:tc>
          <w:tcPr>
            <w:tcW w:w="1993" w:type="dxa"/>
          </w:tcPr>
          <w:p w14:paraId="1CFD1F41" w14:textId="77777777" w:rsidR="00961C7F" w:rsidRDefault="008A042F">
            <w:pPr>
              <w:spacing w:after="0" w:line="240" w:lineRule="auto"/>
              <w:rPr>
                <w:rFonts w:eastAsia="MS Mincho"/>
              </w:rPr>
            </w:pPr>
            <w:r>
              <w:rPr>
                <w:rFonts w:eastAsia="MS Mincho"/>
                <w:sz w:val="20"/>
                <w:szCs w:val="20"/>
              </w:rPr>
              <w:t>Lagged annual low-skill-targeted policy flow (restrict_event_low_lag1)</w:t>
            </w:r>
          </w:p>
        </w:tc>
        <w:tc>
          <w:tcPr>
            <w:tcW w:w="4932" w:type="dxa"/>
          </w:tcPr>
          <w:p w14:paraId="35A4C746" w14:textId="77777777" w:rsidR="00961C7F" w:rsidRDefault="008A042F">
            <w:pPr>
              <w:spacing w:after="0" w:line="240" w:lineRule="auto"/>
              <w:rPr>
                <w:rFonts w:eastAsia="MS Mincho"/>
              </w:rPr>
            </w:pPr>
            <w:r>
              <w:rPr>
                <w:rFonts w:eastAsia="MS Mincho"/>
                <w:sz w:val="20"/>
                <w:szCs w:val="20"/>
              </w:rPr>
              <w:t>One-year lag of the annual policy-flow measure for low-skilled-targeted reforms; control in annual-flow specifications.</w:t>
            </w:r>
          </w:p>
        </w:tc>
        <w:tc>
          <w:tcPr>
            <w:tcW w:w="2101" w:type="dxa"/>
          </w:tcPr>
          <w:p w14:paraId="0D7D86EC" w14:textId="77777777" w:rsidR="00961C7F" w:rsidRDefault="008A042F">
            <w:pPr>
              <w:spacing w:after="0" w:line="240" w:lineRule="auto"/>
              <w:rPr>
                <w:rFonts w:eastAsia="MS Mincho"/>
              </w:rPr>
            </w:pPr>
            <w:r>
              <w:rPr>
                <w:rFonts w:eastAsia="MS Mincho"/>
                <w:sz w:val="20"/>
                <w:szCs w:val="20"/>
              </w:rPr>
              <w:t>DEMIG-QuantMig (constructed)</w:t>
            </w:r>
          </w:p>
        </w:tc>
      </w:tr>
      <w:tr w:rsidR="00961C7F" w14:paraId="33EE7609" w14:textId="77777777" w:rsidTr="007F06D5">
        <w:trPr>
          <w:cantSplit/>
          <w:jc w:val="center"/>
        </w:trPr>
        <w:tc>
          <w:tcPr>
            <w:tcW w:w="1993" w:type="dxa"/>
          </w:tcPr>
          <w:p w14:paraId="5E5BEBF5" w14:textId="77777777" w:rsidR="00961C7F" w:rsidRDefault="008A042F">
            <w:pPr>
              <w:spacing w:after="0" w:line="240" w:lineRule="auto"/>
              <w:rPr>
                <w:rFonts w:eastAsia="MS Mincho"/>
              </w:rPr>
            </w:pPr>
            <w:r>
              <w:rPr>
                <w:rFonts w:eastAsia="MS Mincho"/>
                <w:sz w:val="20"/>
                <w:szCs w:val="20"/>
              </w:rPr>
              <w:t>Lagged destination permit scale (lnEMP_lag)</w:t>
            </w:r>
          </w:p>
        </w:tc>
        <w:tc>
          <w:tcPr>
            <w:tcW w:w="4932" w:type="dxa"/>
          </w:tcPr>
          <w:p w14:paraId="0777F4F1" w14:textId="77777777" w:rsidR="00961C7F" w:rsidRDefault="008A042F">
            <w:pPr>
              <w:spacing w:after="0" w:line="240" w:lineRule="auto"/>
              <w:rPr>
                <w:rFonts w:eastAsia="MS Mincho"/>
              </w:rPr>
            </w:pPr>
            <w:r>
              <w:rPr>
                <w:rFonts w:eastAsia="MS Mincho"/>
                <w:sz w:val="20"/>
                <w:szCs w:val="20"/>
              </w:rPr>
              <w:t>One-year lag of the log of total employment-related first residence permits in the destination-year cell.</w:t>
            </w:r>
          </w:p>
        </w:tc>
        <w:tc>
          <w:tcPr>
            <w:tcW w:w="2101" w:type="dxa"/>
          </w:tcPr>
          <w:p w14:paraId="1FFC7A59"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w14:paraId="4623FED8" w14:textId="77777777" w:rsidTr="007F06D5">
        <w:trPr>
          <w:cantSplit/>
          <w:jc w:val="center"/>
        </w:trPr>
        <w:tc>
          <w:tcPr>
            <w:tcW w:w="1993" w:type="dxa"/>
          </w:tcPr>
          <w:p w14:paraId="5E32F89B" w14:textId="77777777" w:rsidR="00961C7F" w:rsidRDefault="008A042F">
            <w:pPr>
              <w:spacing w:after="0" w:line="240" w:lineRule="auto"/>
              <w:rPr>
                <w:rFonts w:eastAsia="MS Mincho"/>
              </w:rPr>
            </w:pPr>
            <w:r>
              <w:rPr>
                <w:rFonts w:eastAsia="MS Mincho"/>
                <w:sz w:val="20"/>
                <w:szCs w:val="20"/>
              </w:rPr>
              <w:t>Lagged bilateral permit scale (lnEMP_pair_lag)</w:t>
            </w:r>
          </w:p>
        </w:tc>
        <w:tc>
          <w:tcPr>
            <w:tcW w:w="4932" w:type="dxa"/>
          </w:tcPr>
          <w:p w14:paraId="64783B22" w14:textId="77777777" w:rsidR="00961C7F" w:rsidRDefault="008A042F">
            <w:pPr>
              <w:spacing w:after="0" w:line="240" w:lineRule="auto"/>
              <w:rPr>
                <w:rFonts w:eastAsia="MS Mincho"/>
              </w:rPr>
            </w:pPr>
            <w:r>
              <w:rPr>
                <w:rFonts w:eastAsia="MS Mincho"/>
                <w:sz w:val="20"/>
                <w:szCs w:val="20"/>
              </w:rPr>
              <w:t>One-year lag of the log of total employment-related first residence permits in the origin-destination-year corridor; bilateral variant of PermitScale.</w:t>
            </w:r>
          </w:p>
        </w:tc>
        <w:tc>
          <w:tcPr>
            <w:tcW w:w="2101" w:type="dxa"/>
          </w:tcPr>
          <w:p w14:paraId="7381659C"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w14:paraId="02AEA70E" w14:textId="77777777" w:rsidTr="007F06D5">
        <w:trPr>
          <w:cantSplit/>
          <w:jc w:val="center"/>
        </w:trPr>
        <w:tc>
          <w:tcPr>
            <w:tcW w:w="1993" w:type="dxa"/>
          </w:tcPr>
          <w:p w14:paraId="6DF470F8" w14:textId="77777777" w:rsidR="00961C7F" w:rsidRDefault="008A042F">
            <w:pPr>
              <w:spacing w:after="0" w:line="240" w:lineRule="auto"/>
              <w:rPr>
                <w:rFonts w:eastAsia="MS Mincho"/>
              </w:rPr>
            </w:pPr>
            <w:r>
              <w:rPr>
                <w:rFonts w:eastAsia="MS Mincho"/>
                <w:sz w:val="20"/>
                <w:szCs w:val="20"/>
              </w:rPr>
              <w:t>Lagged destination unemployment (lnUnemp_lag)</w:t>
            </w:r>
          </w:p>
        </w:tc>
        <w:tc>
          <w:tcPr>
            <w:tcW w:w="4932" w:type="dxa"/>
          </w:tcPr>
          <w:p w14:paraId="559EC564" w14:textId="77777777" w:rsidR="00961C7F" w:rsidRDefault="008A042F">
            <w:pPr>
              <w:spacing w:after="0" w:line="240" w:lineRule="auto"/>
              <w:rPr>
                <w:rFonts w:eastAsia="MS Mincho"/>
              </w:rPr>
            </w:pPr>
            <w:r>
              <w:rPr>
                <w:rFonts w:eastAsia="MS Mincho"/>
                <w:sz w:val="20"/>
                <w:szCs w:val="20"/>
              </w:rPr>
              <w:t>One-year lag of the natural log of the destination annual unemployment rate.</w:t>
            </w:r>
          </w:p>
        </w:tc>
        <w:tc>
          <w:tcPr>
            <w:tcW w:w="2101" w:type="dxa"/>
          </w:tcPr>
          <w:p w14:paraId="47076B5D"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une_rt_a</w:t>
            </w:r>
            <w:proofErr w:type="spellEnd"/>
          </w:p>
        </w:tc>
      </w:tr>
      <w:tr w:rsidR="00961C7F" w14:paraId="7304ED66" w14:textId="77777777" w:rsidTr="007F06D5">
        <w:trPr>
          <w:cantSplit/>
          <w:jc w:val="center"/>
        </w:trPr>
        <w:tc>
          <w:tcPr>
            <w:tcW w:w="1993" w:type="dxa"/>
          </w:tcPr>
          <w:p w14:paraId="014B7684" w14:textId="77777777" w:rsidR="00961C7F" w:rsidRDefault="008A042F">
            <w:pPr>
              <w:spacing w:after="0" w:line="240" w:lineRule="auto"/>
              <w:rPr>
                <w:rFonts w:eastAsia="MS Mincho"/>
              </w:rPr>
            </w:pPr>
            <w:r>
              <w:rPr>
                <w:rFonts w:eastAsia="MS Mincho"/>
                <w:sz w:val="20"/>
                <w:szCs w:val="20"/>
              </w:rPr>
              <w:t>Lagged destination real GDP growth (GDPg_lag)</w:t>
            </w:r>
          </w:p>
        </w:tc>
        <w:tc>
          <w:tcPr>
            <w:tcW w:w="4932" w:type="dxa"/>
          </w:tcPr>
          <w:p w14:paraId="470E62CC" w14:textId="77777777" w:rsidR="00961C7F" w:rsidRDefault="008A042F">
            <w:pPr>
              <w:spacing w:after="0" w:line="240" w:lineRule="auto"/>
              <w:rPr>
                <w:rFonts w:eastAsia="MS Mincho"/>
              </w:rPr>
            </w:pPr>
            <w:r>
              <w:rPr>
                <w:rFonts w:eastAsia="MS Mincho"/>
                <w:sz w:val="20"/>
                <w:szCs w:val="20"/>
              </w:rPr>
              <w:t>One-year lag of the destination annual real GDP growth rate in percent.</w:t>
            </w:r>
          </w:p>
        </w:tc>
        <w:tc>
          <w:tcPr>
            <w:tcW w:w="2101" w:type="dxa"/>
          </w:tcPr>
          <w:p w14:paraId="0DF10978" w14:textId="77777777" w:rsidR="00961C7F" w:rsidRDefault="008A042F">
            <w:pPr>
              <w:spacing w:after="0" w:line="240" w:lineRule="auto"/>
              <w:rPr>
                <w:rFonts w:eastAsia="MS Mincho"/>
              </w:rPr>
            </w:pPr>
            <w:r>
              <w:rPr>
                <w:rFonts w:eastAsia="MS Mincho"/>
                <w:sz w:val="20"/>
                <w:szCs w:val="20"/>
              </w:rPr>
              <w:t>Eurostat nama_10_gdp</w:t>
            </w:r>
          </w:p>
        </w:tc>
      </w:tr>
    </w:tbl>
    <w:p w14:paraId="1F1453B9" w14:textId="77777777" w:rsidR="009401EE" w:rsidRDefault="009401EE" w:rsidP="001B5A82">
      <w:pPr>
        <w:jc w:val="both"/>
      </w:pPr>
    </w:p>
    <w:p w14:paraId="69DCA8CF" w14:textId="77777777" w:rsidR="006F3032" w:rsidRDefault="006F3032">
      <w:pPr>
        <w:spacing w:after="0" w:line="240" w:lineRule="auto"/>
      </w:pPr>
    </w:p>
    <w:p w14:paraId="51450DC7" w14:textId="77777777" w:rsidR="00961C7F" w:rsidRPr="006F3032" w:rsidRDefault="008A042F" w:rsidP="006F3032">
      <w:pPr>
        <w:jc w:val="center"/>
      </w:pPr>
      <w:r>
        <w:rPr>
          <w:b/>
          <w:i/>
          <w:sz w:val="18"/>
        </w:rPr>
        <w:lastRenderedPageBreak/>
        <w:t>Table 5. Descriptive statistics for core HSRate regression samples.</w:t>
      </w:r>
    </w:p>
    <w:p w14:paraId="612E5971" w14:textId="77777777" w:rsidR="00943825" w:rsidRPr="00943825" w:rsidRDefault="00943825" w:rsidP="00943825">
      <w:pPr>
        <w:rPr>
          <w:bCs/>
          <w:iCs/>
        </w:rPr>
      </w:pPr>
      <w:r>
        <w:rPr>
          <w:rFonts w:eastAsia="MS Mincho"/>
        </w:rPr>
        <w:t>Panel A: Aggregate sample (G = 30 destinations)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93"/>
        <w:gridCol w:w="1339"/>
        <w:gridCol w:w="1416"/>
        <w:gridCol w:w="1431"/>
        <w:gridCol w:w="1430"/>
        <w:gridCol w:w="1417"/>
      </w:tblGrid>
      <w:tr w:rsidR="00961C7F" w14:paraId="57AFE0F3" w14:textId="77777777" w:rsidTr="002225A5">
        <w:trPr>
          <w:cantSplit/>
          <w:tblHeader/>
          <w:jc w:val="center"/>
        </w:trPr>
        <w:tc>
          <w:tcPr>
            <w:tcW w:w="1993" w:type="dxa"/>
          </w:tcPr>
          <w:p w14:paraId="4A2A2F33" w14:textId="77777777" w:rsidR="00961C7F" w:rsidRDefault="008A042F">
            <w:pPr>
              <w:spacing w:after="0" w:line="240" w:lineRule="auto"/>
              <w:rPr>
                <w:rFonts w:eastAsia="MS Mincho"/>
              </w:rPr>
            </w:pPr>
            <w:r>
              <w:rPr>
                <w:rFonts w:eastAsia="MS Mincho"/>
                <w:b/>
                <w:sz w:val="20"/>
                <w:szCs w:val="20"/>
              </w:rPr>
              <w:t>Variable</w:t>
            </w:r>
          </w:p>
        </w:tc>
        <w:tc>
          <w:tcPr>
            <w:tcW w:w="1339" w:type="dxa"/>
          </w:tcPr>
          <w:p w14:paraId="4F6187A0" w14:textId="77777777" w:rsidR="00961C7F" w:rsidRDefault="008A042F">
            <w:pPr>
              <w:spacing w:after="0" w:line="240" w:lineRule="auto"/>
              <w:rPr>
                <w:rFonts w:eastAsia="MS Mincho"/>
              </w:rPr>
            </w:pPr>
            <w:r>
              <w:rPr>
                <w:rFonts w:eastAsia="MS Mincho"/>
                <w:b/>
                <w:sz w:val="20"/>
                <w:szCs w:val="20"/>
              </w:rPr>
              <w:t>Mean</w:t>
            </w:r>
          </w:p>
        </w:tc>
        <w:tc>
          <w:tcPr>
            <w:tcW w:w="1416" w:type="dxa"/>
          </w:tcPr>
          <w:p w14:paraId="6B9CE5A1" w14:textId="77777777" w:rsidR="00961C7F" w:rsidRDefault="008A042F">
            <w:pPr>
              <w:spacing w:after="0" w:line="240" w:lineRule="auto"/>
              <w:rPr>
                <w:rFonts w:eastAsia="MS Mincho"/>
              </w:rPr>
            </w:pPr>
            <w:r>
              <w:rPr>
                <w:rFonts w:eastAsia="MS Mincho"/>
                <w:b/>
                <w:sz w:val="20"/>
                <w:szCs w:val="20"/>
              </w:rPr>
              <w:t>SD</w:t>
            </w:r>
          </w:p>
        </w:tc>
        <w:tc>
          <w:tcPr>
            <w:tcW w:w="1431" w:type="dxa"/>
          </w:tcPr>
          <w:p w14:paraId="7D224FE4" w14:textId="77777777" w:rsidR="00961C7F" w:rsidRDefault="008A042F">
            <w:pPr>
              <w:spacing w:after="0" w:line="240" w:lineRule="auto"/>
              <w:rPr>
                <w:rFonts w:eastAsia="MS Mincho"/>
              </w:rPr>
            </w:pPr>
            <w:r>
              <w:rPr>
                <w:rFonts w:eastAsia="MS Mincho"/>
                <w:b/>
                <w:sz w:val="20"/>
                <w:szCs w:val="20"/>
              </w:rPr>
              <w:t>Min</w:t>
            </w:r>
          </w:p>
        </w:tc>
        <w:tc>
          <w:tcPr>
            <w:tcW w:w="1430" w:type="dxa"/>
          </w:tcPr>
          <w:p w14:paraId="285FC827" w14:textId="77777777" w:rsidR="00961C7F" w:rsidRDefault="008A042F">
            <w:pPr>
              <w:spacing w:after="0" w:line="240" w:lineRule="auto"/>
              <w:rPr>
                <w:rFonts w:eastAsia="MS Mincho"/>
              </w:rPr>
            </w:pPr>
            <w:r>
              <w:rPr>
                <w:rFonts w:eastAsia="MS Mincho"/>
                <w:b/>
                <w:sz w:val="20"/>
                <w:szCs w:val="20"/>
              </w:rPr>
              <w:t>Max</w:t>
            </w:r>
          </w:p>
        </w:tc>
        <w:tc>
          <w:tcPr>
            <w:tcW w:w="1417" w:type="dxa"/>
          </w:tcPr>
          <w:p w14:paraId="7D8E506A" w14:textId="77777777" w:rsidR="00961C7F" w:rsidRDefault="008A042F">
            <w:pPr>
              <w:spacing w:after="0" w:line="240" w:lineRule="auto"/>
              <w:rPr>
                <w:rFonts w:eastAsia="MS Mincho"/>
              </w:rPr>
            </w:pPr>
            <w:r>
              <w:rPr>
                <w:rFonts w:eastAsia="MS Mincho"/>
                <w:b/>
                <w:sz w:val="20"/>
                <w:szCs w:val="20"/>
              </w:rPr>
              <w:t>N</w:t>
            </w:r>
          </w:p>
        </w:tc>
      </w:tr>
      <w:tr w:rsidR="00961C7F" w14:paraId="5AC2298F" w14:textId="77777777" w:rsidTr="002225A5">
        <w:trPr>
          <w:cantSplit/>
          <w:jc w:val="center"/>
        </w:trPr>
        <w:tc>
          <w:tcPr>
            <w:tcW w:w="1993" w:type="dxa"/>
          </w:tcPr>
          <w:p w14:paraId="1155C071" w14:textId="77777777" w:rsidR="00961C7F" w:rsidRDefault="008A042F">
            <w:pPr>
              <w:spacing w:after="0" w:line="240" w:lineRule="auto"/>
              <w:rPr>
                <w:rFonts w:eastAsia="MS Mincho"/>
              </w:rPr>
            </w:pPr>
            <w:r>
              <w:rPr>
                <w:rFonts w:eastAsia="MS Mincho"/>
                <w:sz w:val="20"/>
                <w:szCs w:val="20"/>
              </w:rPr>
              <w:t>High-skilled permit share</w:t>
            </w:r>
          </w:p>
        </w:tc>
        <w:tc>
          <w:tcPr>
            <w:tcW w:w="1339" w:type="dxa"/>
          </w:tcPr>
          <w:p w14:paraId="21C473B0" w14:textId="77777777" w:rsidR="00961C7F" w:rsidRDefault="008A042F">
            <w:pPr>
              <w:spacing w:after="0" w:line="240" w:lineRule="auto"/>
              <w:rPr>
                <w:rFonts w:eastAsia="MS Mincho"/>
              </w:rPr>
            </w:pPr>
            <w:r>
              <w:rPr>
                <w:rFonts w:eastAsia="MS Mincho"/>
                <w:sz w:val="20"/>
                <w:szCs w:val="20"/>
              </w:rPr>
              <w:t>0.175</w:t>
            </w:r>
          </w:p>
        </w:tc>
        <w:tc>
          <w:tcPr>
            <w:tcW w:w="1416" w:type="dxa"/>
          </w:tcPr>
          <w:p w14:paraId="0896E91A" w14:textId="77777777" w:rsidR="00961C7F" w:rsidRDefault="008A042F">
            <w:pPr>
              <w:spacing w:after="0" w:line="240" w:lineRule="auto"/>
              <w:rPr>
                <w:rFonts w:eastAsia="MS Mincho"/>
              </w:rPr>
            </w:pPr>
            <w:r>
              <w:rPr>
                <w:rFonts w:eastAsia="MS Mincho"/>
                <w:sz w:val="20"/>
                <w:szCs w:val="20"/>
              </w:rPr>
              <w:t>0.237</w:t>
            </w:r>
          </w:p>
        </w:tc>
        <w:tc>
          <w:tcPr>
            <w:tcW w:w="1431" w:type="dxa"/>
          </w:tcPr>
          <w:p w14:paraId="20794CD6" w14:textId="77777777" w:rsidR="00961C7F" w:rsidRDefault="008A042F">
            <w:pPr>
              <w:spacing w:after="0" w:line="240" w:lineRule="auto"/>
              <w:rPr>
                <w:rFonts w:eastAsia="MS Mincho"/>
              </w:rPr>
            </w:pPr>
            <w:r>
              <w:rPr>
                <w:rFonts w:eastAsia="MS Mincho"/>
                <w:sz w:val="20"/>
                <w:szCs w:val="20"/>
              </w:rPr>
              <w:t>0.000</w:t>
            </w:r>
          </w:p>
        </w:tc>
        <w:tc>
          <w:tcPr>
            <w:tcW w:w="1430" w:type="dxa"/>
          </w:tcPr>
          <w:p w14:paraId="68855EAB" w14:textId="77777777" w:rsidR="00961C7F" w:rsidRDefault="008A042F">
            <w:pPr>
              <w:spacing w:after="0" w:line="240" w:lineRule="auto"/>
              <w:rPr>
                <w:rFonts w:eastAsia="MS Mincho"/>
              </w:rPr>
            </w:pPr>
            <w:r>
              <w:rPr>
                <w:rFonts w:eastAsia="MS Mincho"/>
                <w:sz w:val="20"/>
                <w:szCs w:val="20"/>
              </w:rPr>
              <w:t>0.996</w:t>
            </w:r>
          </w:p>
        </w:tc>
        <w:tc>
          <w:tcPr>
            <w:tcW w:w="1417" w:type="dxa"/>
          </w:tcPr>
          <w:p w14:paraId="5F8DB769" w14:textId="77777777" w:rsidR="00961C7F" w:rsidRDefault="008A042F">
            <w:pPr>
              <w:spacing w:after="0" w:line="240" w:lineRule="auto"/>
              <w:rPr>
                <w:rFonts w:eastAsia="MS Mincho"/>
              </w:rPr>
            </w:pPr>
            <w:r>
              <w:rPr>
                <w:rFonts w:eastAsia="MS Mincho"/>
                <w:sz w:val="20"/>
                <w:szCs w:val="20"/>
              </w:rPr>
              <w:t>280</w:t>
            </w:r>
          </w:p>
        </w:tc>
      </w:tr>
      <w:tr w:rsidR="00961C7F" w14:paraId="352EE4DB" w14:textId="77777777" w:rsidTr="002225A5">
        <w:trPr>
          <w:cantSplit/>
          <w:jc w:val="center"/>
        </w:trPr>
        <w:tc>
          <w:tcPr>
            <w:tcW w:w="1993" w:type="dxa"/>
          </w:tcPr>
          <w:p w14:paraId="65C13ACC" w14:textId="77777777" w:rsidR="00961C7F" w:rsidRDefault="008A042F">
            <w:pPr>
              <w:spacing w:after="0" w:line="240" w:lineRule="auto"/>
              <w:rPr>
                <w:rFonts w:eastAsia="MS Mincho"/>
              </w:rPr>
            </w:pPr>
            <w:r>
              <w:rPr>
                <w:rFonts w:eastAsia="MS Mincho"/>
                <w:sz w:val="20"/>
                <w:szCs w:val="20"/>
              </w:rPr>
              <w:t>Lagged all-migrant-worker policy score</w:t>
            </w:r>
          </w:p>
        </w:tc>
        <w:tc>
          <w:tcPr>
            <w:tcW w:w="1339" w:type="dxa"/>
          </w:tcPr>
          <w:p w14:paraId="40F99ADF" w14:textId="77777777" w:rsidR="00961C7F" w:rsidRDefault="008A042F">
            <w:pPr>
              <w:spacing w:after="0" w:line="240" w:lineRule="auto"/>
              <w:rPr>
                <w:rFonts w:eastAsia="MS Mincho"/>
              </w:rPr>
            </w:pPr>
            <w:r>
              <w:rPr>
                <w:rFonts w:eastAsia="MS Mincho"/>
                <w:sz w:val="20"/>
                <w:szCs w:val="20"/>
              </w:rPr>
              <w:t>-0.914</w:t>
            </w:r>
          </w:p>
        </w:tc>
        <w:tc>
          <w:tcPr>
            <w:tcW w:w="1416" w:type="dxa"/>
          </w:tcPr>
          <w:p w14:paraId="42B73308" w14:textId="77777777" w:rsidR="00961C7F" w:rsidRDefault="008A042F">
            <w:pPr>
              <w:spacing w:after="0" w:line="240" w:lineRule="auto"/>
              <w:rPr>
                <w:rFonts w:eastAsia="MS Mincho"/>
              </w:rPr>
            </w:pPr>
            <w:r>
              <w:rPr>
                <w:rFonts w:eastAsia="MS Mincho"/>
                <w:sz w:val="20"/>
                <w:szCs w:val="20"/>
              </w:rPr>
              <w:t>4.284</w:t>
            </w:r>
          </w:p>
        </w:tc>
        <w:tc>
          <w:tcPr>
            <w:tcW w:w="1431" w:type="dxa"/>
          </w:tcPr>
          <w:p w14:paraId="092D8177" w14:textId="77777777" w:rsidR="00961C7F" w:rsidRDefault="008A042F">
            <w:pPr>
              <w:spacing w:after="0" w:line="240" w:lineRule="auto"/>
              <w:rPr>
                <w:rFonts w:eastAsia="MS Mincho"/>
              </w:rPr>
            </w:pPr>
            <w:r>
              <w:rPr>
                <w:rFonts w:eastAsia="MS Mincho"/>
                <w:sz w:val="20"/>
                <w:szCs w:val="20"/>
              </w:rPr>
              <w:t>-16.000</w:t>
            </w:r>
          </w:p>
        </w:tc>
        <w:tc>
          <w:tcPr>
            <w:tcW w:w="1430" w:type="dxa"/>
          </w:tcPr>
          <w:p w14:paraId="31CC779E" w14:textId="77777777" w:rsidR="00961C7F" w:rsidRDefault="008A042F">
            <w:pPr>
              <w:spacing w:after="0" w:line="240" w:lineRule="auto"/>
              <w:rPr>
                <w:rFonts w:eastAsia="MS Mincho"/>
              </w:rPr>
            </w:pPr>
            <w:r>
              <w:rPr>
                <w:rFonts w:eastAsia="MS Mincho"/>
                <w:sz w:val="20"/>
                <w:szCs w:val="20"/>
              </w:rPr>
              <w:t>8.000</w:t>
            </w:r>
          </w:p>
        </w:tc>
        <w:tc>
          <w:tcPr>
            <w:tcW w:w="1417" w:type="dxa"/>
          </w:tcPr>
          <w:p w14:paraId="0C15A385" w14:textId="77777777" w:rsidR="00961C7F" w:rsidRDefault="008A042F">
            <w:pPr>
              <w:spacing w:after="0" w:line="240" w:lineRule="auto"/>
              <w:rPr>
                <w:rFonts w:eastAsia="MS Mincho"/>
              </w:rPr>
            </w:pPr>
            <w:r>
              <w:rPr>
                <w:rFonts w:eastAsia="MS Mincho"/>
                <w:sz w:val="20"/>
                <w:szCs w:val="20"/>
              </w:rPr>
              <w:t>280</w:t>
            </w:r>
          </w:p>
        </w:tc>
      </w:tr>
      <w:tr w:rsidR="00961C7F" w14:paraId="490A5BAD" w14:textId="77777777" w:rsidTr="002225A5">
        <w:trPr>
          <w:cantSplit/>
          <w:jc w:val="center"/>
        </w:trPr>
        <w:tc>
          <w:tcPr>
            <w:tcW w:w="1993" w:type="dxa"/>
          </w:tcPr>
          <w:p w14:paraId="630E8098" w14:textId="77777777" w:rsidR="00961C7F" w:rsidRDefault="008A042F">
            <w:pPr>
              <w:spacing w:after="0" w:line="240" w:lineRule="auto"/>
              <w:rPr>
                <w:rFonts w:eastAsia="MS Mincho"/>
              </w:rPr>
            </w:pPr>
            <w:r>
              <w:rPr>
                <w:rFonts w:eastAsia="MS Mincho"/>
                <w:sz w:val="20"/>
                <w:szCs w:val="20"/>
              </w:rPr>
              <w:t>Lagged annual all-migrant-worker policy flow</w:t>
            </w:r>
          </w:p>
        </w:tc>
        <w:tc>
          <w:tcPr>
            <w:tcW w:w="1339" w:type="dxa"/>
          </w:tcPr>
          <w:p w14:paraId="3E683BA8" w14:textId="77777777" w:rsidR="00961C7F" w:rsidRDefault="008A042F">
            <w:pPr>
              <w:spacing w:after="0" w:line="240" w:lineRule="auto"/>
              <w:rPr>
                <w:rFonts w:eastAsia="MS Mincho"/>
              </w:rPr>
            </w:pPr>
            <w:r>
              <w:rPr>
                <w:rFonts w:eastAsia="MS Mincho"/>
                <w:sz w:val="20"/>
                <w:szCs w:val="20"/>
              </w:rPr>
              <w:t>-0.279</w:t>
            </w:r>
          </w:p>
        </w:tc>
        <w:tc>
          <w:tcPr>
            <w:tcW w:w="1416" w:type="dxa"/>
          </w:tcPr>
          <w:p w14:paraId="3FC58036" w14:textId="77777777" w:rsidR="00961C7F" w:rsidRDefault="008A042F">
            <w:pPr>
              <w:spacing w:after="0" w:line="240" w:lineRule="auto"/>
              <w:rPr>
                <w:rFonts w:eastAsia="MS Mincho"/>
              </w:rPr>
            </w:pPr>
            <w:r>
              <w:rPr>
                <w:rFonts w:eastAsia="MS Mincho"/>
                <w:sz w:val="20"/>
                <w:szCs w:val="20"/>
              </w:rPr>
              <w:t>1.946</w:t>
            </w:r>
          </w:p>
        </w:tc>
        <w:tc>
          <w:tcPr>
            <w:tcW w:w="1431" w:type="dxa"/>
          </w:tcPr>
          <w:p w14:paraId="16D46BD7" w14:textId="77777777" w:rsidR="00961C7F" w:rsidRDefault="008A042F">
            <w:pPr>
              <w:spacing w:after="0" w:line="240" w:lineRule="auto"/>
              <w:rPr>
                <w:rFonts w:eastAsia="MS Mincho"/>
              </w:rPr>
            </w:pPr>
            <w:r>
              <w:rPr>
                <w:rFonts w:eastAsia="MS Mincho"/>
                <w:sz w:val="20"/>
                <w:szCs w:val="20"/>
              </w:rPr>
              <w:t>-10.000</w:t>
            </w:r>
          </w:p>
        </w:tc>
        <w:tc>
          <w:tcPr>
            <w:tcW w:w="1430" w:type="dxa"/>
          </w:tcPr>
          <w:p w14:paraId="6E39D0DF" w14:textId="77777777" w:rsidR="00961C7F" w:rsidRDefault="008A042F">
            <w:pPr>
              <w:spacing w:after="0" w:line="240" w:lineRule="auto"/>
              <w:rPr>
                <w:rFonts w:eastAsia="MS Mincho"/>
              </w:rPr>
            </w:pPr>
            <w:r>
              <w:rPr>
                <w:rFonts w:eastAsia="MS Mincho"/>
                <w:sz w:val="20"/>
                <w:szCs w:val="20"/>
              </w:rPr>
              <w:t>8.000</w:t>
            </w:r>
          </w:p>
        </w:tc>
        <w:tc>
          <w:tcPr>
            <w:tcW w:w="1417" w:type="dxa"/>
          </w:tcPr>
          <w:p w14:paraId="3B0EFCF0" w14:textId="77777777" w:rsidR="00961C7F" w:rsidRDefault="008A042F">
            <w:pPr>
              <w:spacing w:after="0" w:line="240" w:lineRule="auto"/>
              <w:rPr>
                <w:rFonts w:eastAsia="MS Mincho"/>
              </w:rPr>
            </w:pPr>
            <w:r>
              <w:rPr>
                <w:rFonts w:eastAsia="MS Mincho"/>
                <w:sz w:val="20"/>
                <w:szCs w:val="20"/>
              </w:rPr>
              <w:t>280</w:t>
            </w:r>
          </w:p>
        </w:tc>
      </w:tr>
      <w:tr w:rsidR="00961C7F" w14:paraId="65E4CF5D" w14:textId="77777777" w:rsidTr="002225A5">
        <w:trPr>
          <w:cantSplit/>
          <w:jc w:val="center"/>
        </w:trPr>
        <w:tc>
          <w:tcPr>
            <w:tcW w:w="1993" w:type="dxa"/>
          </w:tcPr>
          <w:p w14:paraId="2D6BE98B" w14:textId="77777777" w:rsidR="00961C7F" w:rsidRDefault="008A042F">
            <w:pPr>
              <w:spacing w:after="0" w:line="240" w:lineRule="auto"/>
              <w:rPr>
                <w:rFonts w:eastAsia="MS Mincho"/>
              </w:rPr>
            </w:pPr>
            <w:r>
              <w:rPr>
                <w:rFonts w:eastAsia="MS Mincho"/>
                <w:sz w:val="20"/>
                <w:szCs w:val="20"/>
              </w:rPr>
              <w:t>Lagged destination permit scale</w:t>
            </w:r>
          </w:p>
        </w:tc>
        <w:tc>
          <w:tcPr>
            <w:tcW w:w="1339" w:type="dxa"/>
          </w:tcPr>
          <w:p w14:paraId="1FEB5057" w14:textId="77777777" w:rsidR="00961C7F" w:rsidRDefault="008A042F">
            <w:pPr>
              <w:spacing w:after="0" w:line="240" w:lineRule="auto"/>
              <w:rPr>
                <w:rFonts w:eastAsia="MS Mincho"/>
              </w:rPr>
            </w:pPr>
            <w:r>
              <w:rPr>
                <w:rFonts w:eastAsia="MS Mincho"/>
                <w:sz w:val="20"/>
                <w:szCs w:val="20"/>
              </w:rPr>
              <w:t>7.818</w:t>
            </w:r>
          </w:p>
        </w:tc>
        <w:tc>
          <w:tcPr>
            <w:tcW w:w="1416" w:type="dxa"/>
          </w:tcPr>
          <w:p w14:paraId="2175E117" w14:textId="77777777" w:rsidR="00961C7F" w:rsidRDefault="008A042F">
            <w:pPr>
              <w:spacing w:after="0" w:line="240" w:lineRule="auto"/>
              <w:rPr>
                <w:rFonts w:eastAsia="MS Mincho"/>
              </w:rPr>
            </w:pPr>
            <w:r>
              <w:rPr>
                <w:rFonts w:eastAsia="MS Mincho"/>
                <w:sz w:val="20"/>
                <w:szCs w:val="20"/>
              </w:rPr>
              <w:t>1.831</w:t>
            </w:r>
          </w:p>
        </w:tc>
        <w:tc>
          <w:tcPr>
            <w:tcW w:w="1431" w:type="dxa"/>
          </w:tcPr>
          <w:p w14:paraId="4248EDC5" w14:textId="77777777" w:rsidR="00961C7F" w:rsidRDefault="008A042F">
            <w:pPr>
              <w:spacing w:after="0" w:line="240" w:lineRule="auto"/>
              <w:rPr>
                <w:rFonts w:eastAsia="MS Mincho"/>
              </w:rPr>
            </w:pPr>
            <w:r>
              <w:rPr>
                <w:rFonts w:eastAsia="MS Mincho"/>
                <w:sz w:val="20"/>
                <w:szCs w:val="20"/>
              </w:rPr>
              <w:t>0.000</w:t>
            </w:r>
          </w:p>
        </w:tc>
        <w:tc>
          <w:tcPr>
            <w:tcW w:w="1430" w:type="dxa"/>
          </w:tcPr>
          <w:p w14:paraId="02D6842C" w14:textId="77777777" w:rsidR="00961C7F" w:rsidRDefault="008A042F">
            <w:pPr>
              <w:spacing w:after="0" w:line="240" w:lineRule="auto"/>
              <w:rPr>
                <w:rFonts w:eastAsia="MS Mincho"/>
              </w:rPr>
            </w:pPr>
            <w:r>
              <w:rPr>
                <w:rFonts w:eastAsia="MS Mincho"/>
                <w:sz w:val="20"/>
                <w:szCs w:val="20"/>
              </w:rPr>
              <w:t>12.186</w:t>
            </w:r>
          </w:p>
        </w:tc>
        <w:tc>
          <w:tcPr>
            <w:tcW w:w="1417" w:type="dxa"/>
          </w:tcPr>
          <w:p w14:paraId="7A994B25" w14:textId="77777777" w:rsidR="00961C7F" w:rsidRDefault="008A042F">
            <w:pPr>
              <w:spacing w:after="0" w:line="240" w:lineRule="auto"/>
              <w:rPr>
                <w:rFonts w:eastAsia="MS Mincho"/>
              </w:rPr>
            </w:pPr>
            <w:r>
              <w:rPr>
                <w:rFonts w:eastAsia="MS Mincho"/>
                <w:sz w:val="20"/>
                <w:szCs w:val="20"/>
              </w:rPr>
              <w:t>280</w:t>
            </w:r>
          </w:p>
        </w:tc>
      </w:tr>
      <w:tr w:rsidR="00961C7F" w14:paraId="2766F55D" w14:textId="77777777" w:rsidTr="002225A5">
        <w:trPr>
          <w:cantSplit/>
          <w:jc w:val="center"/>
        </w:trPr>
        <w:tc>
          <w:tcPr>
            <w:tcW w:w="1993" w:type="dxa"/>
          </w:tcPr>
          <w:p w14:paraId="15F41C66" w14:textId="77777777" w:rsidR="00961C7F" w:rsidRDefault="008A042F">
            <w:pPr>
              <w:spacing w:after="0" w:line="240" w:lineRule="auto"/>
              <w:rPr>
                <w:rFonts w:eastAsia="MS Mincho"/>
              </w:rPr>
            </w:pPr>
            <w:r>
              <w:rPr>
                <w:rFonts w:eastAsia="MS Mincho"/>
                <w:sz w:val="20"/>
                <w:szCs w:val="20"/>
              </w:rPr>
              <w:t>Lagged destination log unemployment</w:t>
            </w:r>
          </w:p>
        </w:tc>
        <w:tc>
          <w:tcPr>
            <w:tcW w:w="1339" w:type="dxa"/>
          </w:tcPr>
          <w:p w14:paraId="50F220F6" w14:textId="77777777" w:rsidR="00961C7F" w:rsidRDefault="008A042F">
            <w:pPr>
              <w:spacing w:after="0" w:line="240" w:lineRule="auto"/>
              <w:rPr>
                <w:rFonts w:eastAsia="MS Mincho"/>
              </w:rPr>
            </w:pPr>
            <w:r>
              <w:rPr>
                <w:rFonts w:eastAsia="MS Mincho"/>
                <w:sz w:val="20"/>
                <w:szCs w:val="20"/>
              </w:rPr>
              <w:t>2.113</w:t>
            </w:r>
          </w:p>
        </w:tc>
        <w:tc>
          <w:tcPr>
            <w:tcW w:w="1416" w:type="dxa"/>
          </w:tcPr>
          <w:p w14:paraId="73E76823" w14:textId="77777777" w:rsidR="00961C7F" w:rsidRDefault="008A042F">
            <w:pPr>
              <w:spacing w:after="0" w:line="240" w:lineRule="auto"/>
              <w:rPr>
                <w:rFonts w:eastAsia="MS Mincho"/>
              </w:rPr>
            </w:pPr>
            <w:r>
              <w:rPr>
                <w:rFonts w:eastAsia="MS Mincho"/>
                <w:sz w:val="20"/>
                <w:szCs w:val="20"/>
              </w:rPr>
              <w:t>0.480</w:t>
            </w:r>
          </w:p>
        </w:tc>
        <w:tc>
          <w:tcPr>
            <w:tcW w:w="1431" w:type="dxa"/>
          </w:tcPr>
          <w:p w14:paraId="0F9300B4" w14:textId="77777777" w:rsidR="00961C7F" w:rsidRDefault="008A042F">
            <w:pPr>
              <w:spacing w:after="0" w:line="240" w:lineRule="auto"/>
              <w:rPr>
                <w:rFonts w:eastAsia="MS Mincho"/>
              </w:rPr>
            </w:pPr>
            <w:r>
              <w:rPr>
                <w:rFonts w:eastAsia="MS Mincho"/>
                <w:sz w:val="20"/>
                <w:szCs w:val="20"/>
              </w:rPr>
              <w:t>0.788</w:t>
            </w:r>
          </w:p>
        </w:tc>
        <w:tc>
          <w:tcPr>
            <w:tcW w:w="1430" w:type="dxa"/>
          </w:tcPr>
          <w:p w14:paraId="158EA1C8" w14:textId="77777777" w:rsidR="00961C7F" w:rsidRDefault="008A042F">
            <w:pPr>
              <w:spacing w:after="0" w:line="240" w:lineRule="auto"/>
              <w:rPr>
                <w:rFonts w:eastAsia="MS Mincho"/>
              </w:rPr>
            </w:pPr>
            <w:r>
              <w:rPr>
                <w:rFonts w:eastAsia="MS Mincho"/>
                <w:sz w:val="20"/>
                <w:szCs w:val="20"/>
              </w:rPr>
              <w:t>3.325</w:t>
            </w:r>
          </w:p>
        </w:tc>
        <w:tc>
          <w:tcPr>
            <w:tcW w:w="1417" w:type="dxa"/>
          </w:tcPr>
          <w:p w14:paraId="1BE12577" w14:textId="77777777" w:rsidR="00961C7F" w:rsidRDefault="008A042F">
            <w:pPr>
              <w:spacing w:after="0" w:line="240" w:lineRule="auto"/>
              <w:rPr>
                <w:rFonts w:eastAsia="MS Mincho"/>
              </w:rPr>
            </w:pPr>
            <w:r>
              <w:rPr>
                <w:rFonts w:eastAsia="MS Mincho"/>
                <w:sz w:val="20"/>
                <w:szCs w:val="20"/>
              </w:rPr>
              <w:t>280</w:t>
            </w:r>
          </w:p>
        </w:tc>
      </w:tr>
      <w:tr w:rsidR="00961C7F" w14:paraId="326456B7" w14:textId="77777777" w:rsidTr="002225A5">
        <w:trPr>
          <w:cantSplit/>
          <w:jc w:val="center"/>
        </w:trPr>
        <w:tc>
          <w:tcPr>
            <w:tcW w:w="1993" w:type="dxa"/>
          </w:tcPr>
          <w:p w14:paraId="33DFADED" w14:textId="77777777" w:rsidR="00961C7F" w:rsidRDefault="008A042F">
            <w:pPr>
              <w:spacing w:after="0" w:line="240" w:lineRule="auto"/>
              <w:rPr>
                <w:rFonts w:eastAsia="MS Mincho"/>
              </w:rPr>
            </w:pPr>
            <w:r>
              <w:rPr>
                <w:rFonts w:eastAsia="MS Mincho"/>
                <w:sz w:val="20"/>
                <w:szCs w:val="20"/>
              </w:rPr>
              <w:t>Lagged destination real GDP growth</w:t>
            </w:r>
          </w:p>
        </w:tc>
        <w:tc>
          <w:tcPr>
            <w:tcW w:w="1339" w:type="dxa"/>
          </w:tcPr>
          <w:p w14:paraId="27203F55" w14:textId="77777777" w:rsidR="00961C7F" w:rsidRDefault="008A042F">
            <w:pPr>
              <w:spacing w:after="0" w:line="240" w:lineRule="auto"/>
              <w:rPr>
                <w:rFonts w:eastAsia="MS Mincho"/>
              </w:rPr>
            </w:pPr>
            <w:r>
              <w:rPr>
                <w:rFonts w:eastAsia="MS Mincho"/>
                <w:sz w:val="20"/>
                <w:szCs w:val="20"/>
              </w:rPr>
              <w:t>1.561</w:t>
            </w:r>
          </w:p>
        </w:tc>
        <w:tc>
          <w:tcPr>
            <w:tcW w:w="1416" w:type="dxa"/>
          </w:tcPr>
          <w:p w14:paraId="1B2A5861" w14:textId="77777777" w:rsidR="00961C7F" w:rsidRDefault="008A042F">
            <w:pPr>
              <w:spacing w:after="0" w:line="240" w:lineRule="auto"/>
              <w:rPr>
                <w:rFonts w:eastAsia="MS Mincho"/>
              </w:rPr>
            </w:pPr>
            <w:r>
              <w:rPr>
                <w:rFonts w:eastAsia="MS Mincho"/>
                <w:sz w:val="20"/>
                <w:szCs w:val="20"/>
              </w:rPr>
              <w:t>3.806</w:t>
            </w:r>
          </w:p>
        </w:tc>
        <w:tc>
          <w:tcPr>
            <w:tcW w:w="1431" w:type="dxa"/>
          </w:tcPr>
          <w:p w14:paraId="428D3311" w14:textId="77777777" w:rsidR="00961C7F" w:rsidRDefault="008A042F">
            <w:pPr>
              <w:spacing w:after="0" w:line="240" w:lineRule="auto"/>
              <w:rPr>
                <w:rFonts w:eastAsia="MS Mincho"/>
              </w:rPr>
            </w:pPr>
            <w:r>
              <w:rPr>
                <w:rFonts w:eastAsia="MS Mincho"/>
                <w:sz w:val="20"/>
                <w:szCs w:val="20"/>
              </w:rPr>
              <w:t>-16.000</w:t>
            </w:r>
          </w:p>
        </w:tc>
        <w:tc>
          <w:tcPr>
            <w:tcW w:w="1430" w:type="dxa"/>
          </w:tcPr>
          <w:p w14:paraId="3DECE4FF" w14:textId="77777777" w:rsidR="00961C7F" w:rsidRDefault="008A042F">
            <w:pPr>
              <w:spacing w:after="0" w:line="240" w:lineRule="auto"/>
              <w:rPr>
                <w:rFonts w:eastAsia="MS Mincho"/>
              </w:rPr>
            </w:pPr>
            <w:r>
              <w:rPr>
                <w:rFonts w:eastAsia="MS Mincho"/>
                <w:sz w:val="20"/>
                <w:szCs w:val="20"/>
              </w:rPr>
              <w:t>24.600</w:t>
            </w:r>
          </w:p>
        </w:tc>
        <w:tc>
          <w:tcPr>
            <w:tcW w:w="1417" w:type="dxa"/>
          </w:tcPr>
          <w:p w14:paraId="4419F1F7" w14:textId="77777777" w:rsidR="00961C7F" w:rsidRDefault="008A042F">
            <w:pPr>
              <w:spacing w:after="0" w:line="240" w:lineRule="auto"/>
              <w:rPr>
                <w:rFonts w:eastAsia="MS Mincho"/>
              </w:rPr>
            </w:pPr>
            <w:r>
              <w:rPr>
                <w:rFonts w:eastAsia="MS Mincho"/>
                <w:sz w:val="20"/>
                <w:szCs w:val="20"/>
              </w:rPr>
              <w:t>280</w:t>
            </w:r>
          </w:p>
        </w:tc>
      </w:tr>
    </w:tbl>
    <w:p w14:paraId="4E5F76FB" w14:textId="77777777" w:rsidR="009401EE" w:rsidRDefault="009401EE"/>
    <w:p w14:paraId="3F64667B" w14:textId="77777777" w:rsidR="00943825" w:rsidRDefault="00943825">
      <w:r>
        <w:rPr>
          <w:rFonts w:eastAsia="MS Mincho"/>
        </w:rPr>
        <w:t>Panel B: Bilateral sample (G = 30 destinations, 122 origins)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16"/>
        <w:gridCol w:w="1416"/>
        <w:gridCol w:w="1416"/>
        <w:gridCol w:w="1431"/>
        <w:gridCol w:w="1430"/>
        <w:gridCol w:w="1417"/>
      </w:tblGrid>
      <w:tr w:rsidR="00943825" w14:paraId="4DAF43ED" w14:textId="77777777">
        <w:trPr>
          <w:cantSplit/>
          <w:tblHeader/>
          <w:jc w:val="center"/>
        </w:trPr>
        <w:tc>
          <w:tcPr>
            <w:tcW w:w="1916" w:type="dxa"/>
          </w:tcPr>
          <w:p w14:paraId="09BC5AB9" w14:textId="77777777" w:rsidR="00943825" w:rsidRDefault="00943825" w:rsidP="00943825">
            <w:pPr>
              <w:spacing w:after="0" w:line="240" w:lineRule="auto"/>
              <w:rPr>
                <w:rFonts w:eastAsia="MS Mincho"/>
              </w:rPr>
            </w:pPr>
            <w:r>
              <w:rPr>
                <w:rFonts w:eastAsia="MS Mincho"/>
                <w:b/>
                <w:sz w:val="20"/>
                <w:szCs w:val="20"/>
              </w:rPr>
              <w:t>Variable</w:t>
            </w:r>
          </w:p>
        </w:tc>
        <w:tc>
          <w:tcPr>
            <w:tcW w:w="1416" w:type="dxa"/>
          </w:tcPr>
          <w:p w14:paraId="19F11D1D" w14:textId="77777777" w:rsidR="00943825" w:rsidRDefault="00943825" w:rsidP="00943825">
            <w:pPr>
              <w:spacing w:after="0" w:line="240" w:lineRule="auto"/>
              <w:rPr>
                <w:rFonts w:eastAsia="MS Mincho"/>
              </w:rPr>
            </w:pPr>
            <w:r>
              <w:rPr>
                <w:rFonts w:eastAsia="MS Mincho"/>
                <w:b/>
                <w:sz w:val="20"/>
                <w:szCs w:val="20"/>
              </w:rPr>
              <w:t>Mean</w:t>
            </w:r>
          </w:p>
        </w:tc>
        <w:tc>
          <w:tcPr>
            <w:tcW w:w="1416" w:type="dxa"/>
          </w:tcPr>
          <w:p w14:paraId="51F693F6" w14:textId="77777777" w:rsidR="00943825" w:rsidRDefault="00943825" w:rsidP="00943825">
            <w:pPr>
              <w:spacing w:after="0" w:line="240" w:lineRule="auto"/>
              <w:rPr>
                <w:rFonts w:eastAsia="MS Mincho"/>
              </w:rPr>
            </w:pPr>
            <w:r>
              <w:rPr>
                <w:rFonts w:eastAsia="MS Mincho"/>
                <w:b/>
                <w:sz w:val="20"/>
                <w:szCs w:val="20"/>
              </w:rPr>
              <w:t>SD</w:t>
            </w:r>
          </w:p>
        </w:tc>
        <w:tc>
          <w:tcPr>
            <w:tcW w:w="1431" w:type="dxa"/>
          </w:tcPr>
          <w:p w14:paraId="7B972792" w14:textId="77777777" w:rsidR="00943825" w:rsidRDefault="00943825" w:rsidP="00943825">
            <w:pPr>
              <w:spacing w:after="0" w:line="240" w:lineRule="auto"/>
              <w:rPr>
                <w:rFonts w:eastAsia="MS Mincho"/>
              </w:rPr>
            </w:pPr>
            <w:r>
              <w:rPr>
                <w:rFonts w:eastAsia="MS Mincho"/>
                <w:b/>
                <w:sz w:val="20"/>
                <w:szCs w:val="20"/>
              </w:rPr>
              <w:t>Min</w:t>
            </w:r>
          </w:p>
        </w:tc>
        <w:tc>
          <w:tcPr>
            <w:tcW w:w="1430" w:type="dxa"/>
          </w:tcPr>
          <w:p w14:paraId="70D5F8C2" w14:textId="77777777" w:rsidR="00943825" w:rsidRDefault="00943825" w:rsidP="00943825">
            <w:pPr>
              <w:spacing w:after="0" w:line="240" w:lineRule="auto"/>
              <w:rPr>
                <w:rFonts w:eastAsia="MS Mincho"/>
              </w:rPr>
            </w:pPr>
            <w:r>
              <w:rPr>
                <w:rFonts w:eastAsia="MS Mincho"/>
                <w:b/>
                <w:sz w:val="20"/>
                <w:szCs w:val="20"/>
              </w:rPr>
              <w:t>Max</w:t>
            </w:r>
          </w:p>
        </w:tc>
        <w:tc>
          <w:tcPr>
            <w:tcW w:w="1417" w:type="dxa"/>
          </w:tcPr>
          <w:p w14:paraId="5BB519E5" w14:textId="77777777" w:rsidR="00943825" w:rsidRDefault="00943825" w:rsidP="00943825">
            <w:pPr>
              <w:spacing w:after="0" w:line="240" w:lineRule="auto"/>
              <w:rPr>
                <w:rFonts w:eastAsia="MS Mincho"/>
              </w:rPr>
            </w:pPr>
            <w:r>
              <w:rPr>
                <w:rFonts w:eastAsia="MS Mincho"/>
                <w:b/>
                <w:sz w:val="20"/>
                <w:szCs w:val="20"/>
              </w:rPr>
              <w:t>N</w:t>
            </w:r>
          </w:p>
        </w:tc>
      </w:tr>
      <w:tr w:rsidR="00943825" w14:paraId="59420610" w14:textId="77777777">
        <w:trPr>
          <w:cantSplit/>
          <w:jc w:val="center"/>
        </w:trPr>
        <w:tc>
          <w:tcPr>
            <w:tcW w:w="1916" w:type="dxa"/>
          </w:tcPr>
          <w:p w14:paraId="57CDBDDA" w14:textId="77777777" w:rsidR="00943825" w:rsidRDefault="00943825" w:rsidP="00943825">
            <w:pPr>
              <w:spacing w:after="0" w:line="240" w:lineRule="auto"/>
              <w:rPr>
                <w:rFonts w:eastAsia="MS Mincho"/>
              </w:rPr>
            </w:pPr>
            <w:r>
              <w:rPr>
                <w:rFonts w:eastAsia="MS Mincho"/>
                <w:sz w:val="20"/>
                <w:szCs w:val="20"/>
              </w:rPr>
              <w:t>High-skilled permit share</w:t>
            </w:r>
          </w:p>
        </w:tc>
        <w:tc>
          <w:tcPr>
            <w:tcW w:w="1416" w:type="dxa"/>
          </w:tcPr>
          <w:p w14:paraId="0AF93D79" w14:textId="77777777" w:rsidR="00943825" w:rsidRDefault="00943825" w:rsidP="00943825">
            <w:pPr>
              <w:spacing w:after="0" w:line="240" w:lineRule="auto"/>
              <w:rPr>
                <w:rFonts w:eastAsia="MS Mincho"/>
              </w:rPr>
            </w:pPr>
            <w:r>
              <w:rPr>
                <w:rFonts w:eastAsia="MS Mincho"/>
                <w:sz w:val="20"/>
                <w:szCs w:val="20"/>
              </w:rPr>
              <w:t>0.210</w:t>
            </w:r>
          </w:p>
        </w:tc>
        <w:tc>
          <w:tcPr>
            <w:tcW w:w="1416" w:type="dxa"/>
          </w:tcPr>
          <w:p w14:paraId="16B8064E" w14:textId="77777777" w:rsidR="00943825" w:rsidRDefault="00943825" w:rsidP="00943825">
            <w:pPr>
              <w:spacing w:after="0" w:line="240" w:lineRule="auto"/>
              <w:rPr>
                <w:rFonts w:eastAsia="MS Mincho"/>
              </w:rPr>
            </w:pPr>
            <w:r>
              <w:rPr>
                <w:rFonts w:eastAsia="MS Mincho"/>
                <w:sz w:val="20"/>
                <w:szCs w:val="20"/>
              </w:rPr>
              <w:t>0.295</w:t>
            </w:r>
          </w:p>
        </w:tc>
        <w:tc>
          <w:tcPr>
            <w:tcW w:w="1431" w:type="dxa"/>
          </w:tcPr>
          <w:p w14:paraId="2CD68C6B" w14:textId="77777777" w:rsidR="00943825" w:rsidRDefault="00943825" w:rsidP="00943825">
            <w:pPr>
              <w:spacing w:after="0" w:line="240" w:lineRule="auto"/>
              <w:rPr>
                <w:rFonts w:eastAsia="MS Mincho"/>
              </w:rPr>
            </w:pPr>
            <w:r>
              <w:rPr>
                <w:rFonts w:eastAsia="MS Mincho"/>
                <w:sz w:val="20"/>
                <w:szCs w:val="20"/>
              </w:rPr>
              <w:t>0.000</w:t>
            </w:r>
          </w:p>
        </w:tc>
        <w:tc>
          <w:tcPr>
            <w:tcW w:w="1430" w:type="dxa"/>
          </w:tcPr>
          <w:p w14:paraId="3DD5B38C" w14:textId="77777777" w:rsidR="00943825" w:rsidRDefault="00943825" w:rsidP="00943825">
            <w:pPr>
              <w:spacing w:after="0" w:line="240" w:lineRule="auto"/>
              <w:rPr>
                <w:rFonts w:eastAsia="MS Mincho"/>
              </w:rPr>
            </w:pPr>
            <w:r>
              <w:rPr>
                <w:rFonts w:eastAsia="MS Mincho"/>
                <w:sz w:val="20"/>
                <w:szCs w:val="20"/>
              </w:rPr>
              <w:t>1.000</w:t>
            </w:r>
          </w:p>
        </w:tc>
        <w:tc>
          <w:tcPr>
            <w:tcW w:w="1417" w:type="dxa"/>
          </w:tcPr>
          <w:p w14:paraId="4A55D10F" w14:textId="77777777" w:rsidR="00943825" w:rsidRDefault="00943825" w:rsidP="00943825">
            <w:pPr>
              <w:spacing w:after="0" w:line="240" w:lineRule="auto"/>
              <w:rPr>
                <w:rFonts w:eastAsia="MS Mincho"/>
              </w:rPr>
            </w:pPr>
            <w:r>
              <w:rPr>
                <w:rFonts w:eastAsia="MS Mincho"/>
                <w:sz w:val="20"/>
                <w:szCs w:val="20"/>
              </w:rPr>
              <w:t>5,608</w:t>
            </w:r>
          </w:p>
        </w:tc>
      </w:tr>
      <w:tr w:rsidR="00943825" w14:paraId="688D7D23" w14:textId="77777777">
        <w:trPr>
          <w:cantSplit/>
          <w:jc w:val="center"/>
        </w:trPr>
        <w:tc>
          <w:tcPr>
            <w:tcW w:w="1916" w:type="dxa"/>
          </w:tcPr>
          <w:p w14:paraId="54EF76F1" w14:textId="77777777" w:rsidR="00943825" w:rsidRDefault="00943825" w:rsidP="00943825">
            <w:pPr>
              <w:spacing w:after="0" w:line="240" w:lineRule="auto"/>
              <w:rPr>
                <w:rFonts w:eastAsia="MS Mincho"/>
              </w:rPr>
            </w:pPr>
            <w:r>
              <w:rPr>
                <w:rFonts w:eastAsia="MS Mincho"/>
                <w:sz w:val="20"/>
                <w:szCs w:val="20"/>
              </w:rPr>
              <w:t>Lagged all-migrant-worker policy score</w:t>
            </w:r>
          </w:p>
        </w:tc>
        <w:tc>
          <w:tcPr>
            <w:tcW w:w="1416" w:type="dxa"/>
          </w:tcPr>
          <w:p w14:paraId="01B2E14F" w14:textId="77777777" w:rsidR="00943825" w:rsidRDefault="00943825" w:rsidP="00943825">
            <w:pPr>
              <w:spacing w:after="0" w:line="240" w:lineRule="auto"/>
              <w:rPr>
                <w:rFonts w:eastAsia="MS Mincho"/>
              </w:rPr>
            </w:pPr>
            <w:r>
              <w:rPr>
                <w:rFonts w:eastAsia="MS Mincho"/>
                <w:sz w:val="20"/>
                <w:szCs w:val="20"/>
              </w:rPr>
              <w:t>-0.859</w:t>
            </w:r>
          </w:p>
        </w:tc>
        <w:tc>
          <w:tcPr>
            <w:tcW w:w="1416" w:type="dxa"/>
          </w:tcPr>
          <w:p w14:paraId="467A3A70" w14:textId="77777777" w:rsidR="00943825" w:rsidRDefault="00943825" w:rsidP="00943825">
            <w:pPr>
              <w:spacing w:after="0" w:line="240" w:lineRule="auto"/>
              <w:rPr>
                <w:rFonts w:eastAsia="MS Mincho"/>
              </w:rPr>
            </w:pPr>
            <w:r>
              <w:rPr>
                <w:rFonts w:eastAsia="MS Mincho"/>
                <w:sz w:val="20"/>
                <w:szCs w:val="20"/>
              </w:rPr>
              <w:t>4.847</w:t>
            </w:r>
          </w:p>
        </w:tc>
        <w:tc>
          <w:tcPr>
            <w:tcW w:w="1431" w:type="dxa"/>
          </w:tcPr>
          <w:p w14:paraId="5A20B102" w14:textId="77777777" w:rsidR="00943825" w:rsidRDefault="00943825" w:rsidP="00943825">
            <w:pPr>
              <w:spacing w:after="0" w:line="240" w:lineRule="auto"/>
              <w:rPr>
                <w:rFonts w:eastAsia="MS Mincho"/>
              </w:rPr>
            </w:pPr>
            <w:r>
              <w:rPr>
                <w:rFonts w:eastAsia="MS Mincho"/>
                <w:sz w:val="20"/>
                <w:szCs w:val="20"/>
              </w:rPr>
              <w:t>-16.000</w:t>
            </w:r>
          </w:p>
        </w:tc>
        <w:tc>
          <w:tcPr>
            <w:tcW w:w="1430" w:type="dxa"/>
          </w:tcPr>
          <w:p w14:paraId="33336DCC" w14:textId="77777777" w:rsidR="00943825" w:rsidRDefault="00943825" w:rsidP="00943825">
            <w:pPr>
              <w:spacing w:after="0" w:line="240" w:lineRule="auto"/>
              <w:rPr>
                <w:rFonts w:eastAsia="MS Mincho"/>
              </w:rPr>
            </w:pPr>
            <w:r>
              <w:rPr>
                <w:rFonts w:eastAsia="MS Mincho"/>
                <w:sz w:val="20"/>
                <w:szCs w:val="20"/>
              </w:rPr>
              <w:t>8.000</w:t>
            </w:r>
          </w:p>
        </w:tc>
        <w:tc>
          <w:tcPr>
            <w:tcW w:w="1417" w:type="dxa"/>
          </w:tcPr>
          <w:p w14:paraId="5707FD4E" w14:textId="77777777" w:rsidR="00943825" w:rsidRDefault="00943825" w:rsidP="00943825">
            <w:pPr>
              <w:spacing w:after="0" w:line="240" w:lineRule="auto"/>
              <w:rPr>
                <w:rFonts w:eastAsia="MS Mincho"/>
              </w:rPr>
            </w:pPr>
            <w:r>
              <w:rPr>
                <w:rFonts w:eastAsia="MS Mincho"/>
                <w:sz w:val="20"/>
                <w:szCs w:val="20"/>
              </w:rPr>
              <w:t>5,608</w:t>
            </w:r>
          </w:p>
        </w:tc>
      </w:tr>
      <w:tr w:rsidR="00943825" w14:paraId="6206AA12" w14:textId="77777777">
        <w:trPr>
          <w:cantSplit/>
          <w:jc w:val="center"/>
        </w:trPr>
        <w:tc>
          <w:tcPr>
            <w:tcW w:w="1916" w:type="dxa"/>
          </w:tcPr>
          <w:p w14:paraId="1706A5D2" w14:textId="77777777" w:rsidR="00943825" w:rsidRDefault="00943825" w:rsidP="00943825">
            <w:pPr>
              <w:spacing w:after="0" w:line="240" w:lineRule="auto"/>
              <w:rPr>
                <w:rFonts w:eastAsia="MS Mincho"/>
              </w:rPr>
            </w:pPr>
            <w:r>
              <w:rPr>
                <w:rFonts w:eastAsia="MS Mincho"/>
                <w:sz w:val="20"/>
                <w:szCs w:val="20"/>
              </w:rPr>
              <w:t>Lagged high-skill-targeted policy score</w:t>
            </w:r>
          </w:p>
        </w:tc>
        <w:tc>
          <w:tcPr>
            <w:tcW w:w="1416" w:type="dxa"/>
          </w:tcPr>
          <w:p w14:paraId="751437A9" w14:textId="77777777" w:rsidR="00943825" w:rsidRDefault="00943825" w:rsidP="00943825">
            <w:pPr>
              <w:spacing w:after="0" w:line="240" w:lineRule="auto"/>
              <w:rPr>
                <w:rFonts w:eastAsia="MS Mincho"/>
              </w:rPr>
            </w:pPr>
            <w:r>
              <w:rPr>
                <w:rFonts w:eastAsia="MS Mincho"/>
                <w:sz w:val="20"/>
                <w:szCs w:val="20"/>
              </w:rPr>
              <w:t>-9.008</w:t>
            </w:r>
          </w:p>
        </w:tc>
        <w:tc>
          <w:tcPr>
            <w:tcW w:w="1416" w:type="dxa"/>
          </w:tcPr>
          <w:p w14:paraId="23A84E73" w14:textId="77777777" w:rsidR="00943825" w:rsidRDefault="00943825" w:rsidP="00943825">
            <w:pPr>
              <w:spacing w:after="0" w:line="240" w:lineRule="auto"/>
              <w:rPr>
                <w:rFonts w:eastAsia="MS Mincho"/>
              </w:rPr>
            </w:pPr>
            <w:r>
              <w:rPr>
                <w:rFonts w:eastAsia="MS Mincho"/>
                <w:sz w:val="20"/>
                <w:szCs w:val="20"/>
              </w:rPr>
              <w:t>8.178</w:t>
            </w:r>
          </w:p>
        </w:tc>
        <w:tc>
          <w:tcPr>
            <w:tcW w:w="1431" w:type="dxa"/>
          </w:tcPr>
          <w:p w14:paraId="0AD65597" w14:textId="77777777" w:rsidR="00943825" w:rsidRDefault="00943825" w:rsidP="00943825">
            <w:pPr>
              <w:spacing w:after="0" w:line="240" w:lineRule="auto"/>
              <w:rPr>
                <w:rFonts w:eastAsia="MS Mincho"/>
              </w:rPr>
            </w:pPr>
            <w:r>
              <w:rPr>
                <w:rFonts w:eastAsia="MS Mincho"/>
                <w:sz w:val="20"/>
                <w:szCs w:val="20"/>
              </w:rPr>
              <w:t>-34.000</w:t>
            </w:r>
          </w:p>
        </w:tc>
        <w:tc>
          <w:tcPr>
            <w:tcW w:w="1430" w:type="dxa"/>
          </w:tcPr>
          <w:p w14:paraId="5B9E4417" w14:textId="77777777" w:rsidR="00943825" w:rsidRDefault="00943825" w:rsidP="00943825">
            <w:pPr>
              <w:spacing w:after="0" w:line="240" w:lineRule="auto"/>
              <w:rPr>
                <w:rFonts w:eastAsia="MS Mincho"/>
              </w:rPr>
            </w:pPr>
            <w:r>
              <w:rPr>
                <w:rFonts w:eastAsia="MS Mincho"/>
                <w:sz w:val="20"/>
                <w:szCs w:val="20"/>
              </w:rPr>
              <w:t>3.000</w:t>
            </w:r>
          </w:p>
        </w:tc>
        <w:tc>
          <w:tcPr>
            <w:tcW w:w="1417" w:type="dxa"/>
          </w:tcPr>
          <w:p w14:paraId="61A71612" w14:textId="77777777" w:rsidR="00943825" w:rsidRDefault="00943825" w:rsidP="00943825">
            <w:pPr>
              <w:spacing w:after="0" w:line="240" w:lineRule="auto"/>
              <w:rPr>
                <w:rFonts w:eastAsia="MS Mincho"/>
              </w:rPr>
            </w:pPr>
            <w:r>
              <w:rPr>
                <w:rFonts w:eastAsia="MS Mincho"/>
                <w:sz w:val="20"/>
                <w:szCs w:val="20"/>
              </w:rPr>
              <w:t>5,608</w:t>
            </w:r>
          </w:p>
        </w:tc>
      </w:tr>
      <w:tr w:rsidR="00943825" w14:paraId="2CE0810A" w14:textId="77777777">
        <w:trPr>
          <w:cantSplit/>
          <w:jc w:val="center"/>
        </w:trPr>
        <w:tc>
          <w:tcPr>
            <w:tcW w:w="1916" w:type="dxa"/>
          </w:tcPr>
          <w:p w14:paraId="34B76635" w14:textId="77777777" w:rsidR="00943825" w:rsidRDefault="00943825" w:rsidP="00943825">
            <w:pPr>
              <w:spacing w:after="0" w:line="240" w:lineRule="auto"/>
              <w:rPr>
                <w:rFonts w:eastAsia="MS Mincho"/>
              </w:rPr>
            </w:pPr>
            <w:r>
              <w:rPr>
                <w:rFonts w:eastAsia="MS Mincho"/>
                <w:sz w:val="20"/>
                <w:szCs w:val="20"/>
              </w:rPr>
              <w:t>Lagged low-skill-targeted policy score</w:t>
            </w:r>
          </w:p>
        </w:tc>
        <w:tc>
          <w:tcPr>
            <w:tcW w:w="1416" w:type="dxa"/>
          </w:tcPr>
          <w:p w14:paraId="7AD8C7C8" w14:textId="77777777" w:rsidR="00943825" w:rsidRDefault="00943825" w:rsidP="00943825">
            <w:pPr>
              <w:spacing w:after="0" w:line="240" w:lineRule="auto"/>
              <w:rPr>
                <w:rFonts w:eastAsia="MS Mincho"/>
              </w:rPr>
            </w:pPr>
            <w:r>
              <w:rPr>
                <w:rFonts w:eastAsia="MS Mincho"/>
                <w:sz w:val="20"/>
                <w:szCs w:val="20"/>
              </w:rPr>
              <w:t>-0.045</w:t>
            </w:r>
          </w:p>
        </w:tc>
        <w:tc>
          <w:tcPr>
            <w:tcW w:w="1416" w:type="dxa"/>
          </w:tcPr>
          <w:p w14:paraId="69753D43" w14:textId="77777777" w:rsidR="00943825" w:rsidRDefault="00943825" w:rsidP="00943825">
            <w:pPr>
              <w:spacing w:after="0" w:line="240" w:lineRule="auto"/>
              <w:rPr>
                <w:rFonts w:eastAsia="MS Mincho"/>
              </w:rPr>
            </w:pPr>
            <w:r>
              <w:rPr>
                <w:rFonts w:eastAsia="MS Mincho"/>
                <w:sz w:val="20"/>
                <w:szCs w:val="20"/>
              </w:rPr>
              <w:t>1.582</w:t>
            </w:r>
          </w:p>
        </w:tc>
        <w:tc>
          <w:tcPr>
            <w:tcW w:w="1431" w:type="dxa"/>
          </w:tcPr>
          <w:p w14:paraId="51BC2C0C" w14:textId="77777777" w:rsidR="00943825" w:rsidRDefault="00943825" w:rsidP="00943825">
            <w:pPr>
              <w:spacing w:after="0" w:line="240" w:lineRule="auto"/>
              <w:rPr>
                <w:rFonts w:eastAsia="MS Mincho"/>
              </w:rPr>
            </w:pPr>
            <w:r>
              <w:rPr>
                <w:rFonts w:eastAsia="MS Mincho"/>
                <w:sz w:val="20"/>
                <w:szCs w:val="20"/>
              </w:rPr>
              <w:t>-6.000</w:t>
            </w:r>
          </w:p>
        </w:tc>
        <w:tc>
          <w:tcPr>
            <w:tcW w:w="1430" w:type="dxa"/>
          </w:tcPr>
          <w:p w14:paraId="3AF2BA1A" w14:textId="77777777" w:rsidR="00943825" w:rsidRDefault="00943825" w:rsidP="00943825">
            <w:pPr>
              <w:spacing w:after="0" w:line="240" w:lineRule="auto"/>
              <w:rPr>
                <w:rFonts w:eastAsia="MS Mincho"/>
              </w:rPr>
            </w:pPr>
            <w:r>
              <w:rPr>
                <w:rFonts w:eastAsia="MS Mincho"/>
                <w:sz w:val="20"/>
                <w:szCs w:val="20"/>
              </w:rPr>
              <w:t>4.000</w:t>
            </w:r>
          </w:p>
        </w:tc>
        <w:tc>
          <w:tcPr>
            <w:tcW w:w="1417" w:type="dxa"/>
          </w:tcPr>
          <w:p w14:paraId="0CDA46F3" w14:textId="77777777" w:rsidR="00943825" w:rsidRDefault="00943825" w:rsidP="00943825">
            <w:pPr>
              <w:spacing w:after="0" w:line="240" w:lineRule="auto"/>
              <w:rPr>
                <w:rFonts w:eastAsia="MS Mincho"/>
              </w:rPr>
            </w:pPr>
            <w:r>
              <w:rPr>
                <w:rFonts w:eastAsia="MS Mincho"/>
                <w:sz w:val="20"/>
                <w:szCs w:val="20"/>
              </w:rPr>
              <w:t>5,608</w:t>
            </w:r>
          </w:p>
        </w:tc>
      </w:tr>
      <w:tr w:rsidR="00943825" w14:paraId="2F3A9B3C" w14:textId="77777777">
        <w:trPr>
          <w:cantSplit/>
          <w:jc w:val="center"/>
        </w:trPr>
        <w:tc>
          <w:tcPr>
            <w:tcW w:w="1916" w:type="dxa"/>
          </w:tcPr>
          <w:p w14:paraId="3BC32F48" w14:textId="77777777" w:rsidR="00943825" w:rsidRDefault="00943825" w:rsidP="00943825">
            <w:pPr>
              <w:spacing w:after="0" w:line="240" w:lineRule="auto"/>
              <w:rPr>
                <w:rFonts w:eastAsia="MS Mincho"/>
              </w:rPr>
            </w:pPr>
            <w:r>
              <w:rPr>
                <w:rFonts w:eastAsia="MS Mincho"/>
                <w:sz w:val="20"/>
                <w:szCs w:val="20"/>
              </w:rPr>
              <w:t>Lagged bilateral permit scale</w:t>
            </w:r>
          </w:p>
        </w:tc>
        <w:tc>
          <w:tcPr>
            <w:tcW w:w="1416" w:type="dxa"/>
          </w:tcPr>
          <w:p w14:paraId="49F99E0B" w14:textId="77777777" w:rsidR="00943825" w:rsidRDefault="00943825" w:rsidP="00943825">
            <w:pPr>
              <w:spacing w:after="0" w:line="240" w:lineRule="auto"/>
              <w:rPr>
                <w:rFonts w:eastAsia="MS Mincho"/>
              </w:rPr>
            </w:pPr>
            <w:r>
              <w:rPr>
                <w:rFonts w:eastAsia="MS Mincho"/>
                <w:sz w:val="20"/>
                <w:szCs w:val="20"/>
              </w:rPr>
              <w:t>4.697</w:t>
            </w:r>
          </w:p>
        </w:tc>
        <w:tc>
          <w:tcPr>
            <w:tcW w:w="1416" w:type="dxa"/>
          </w:tcPr>
          <w:p w14:paraId="0830F161" w14:textId="77777777" w:rsidR="00943825" w:rsidRDefault="00943825" w:rsidP="00943825">
            <w:pPr>
              <w:spacing w:after="0" w:line="240" w:lineRule="auto"/>
              <w:rPr>
                <w:rFonts w:eastAsia="MS Mincho"/>
              </w:rPr>
            </w:pPr>
            <w:r>
              <w:rPr>
                <w:rFonts w:eastAsia="MS Mincho"/>
                <w:sz w:val="20"/>
                <w:szCs w:val="20"/>
              </w:rPr>
              <w:t>1.531</w:t>
            </w:r>
          </w:p>
        </w:tc>
        <w:tc>
          <w:tcPr>
            <w:tcW w:w="1431" w:type="dxa"/>
          </w:tcPr>
          <w:p w14:paraId="58A8C07F" w14:textId="77777777" w:rsidR="00943825" w:rsidRDefault="00943825" w:rsidP="00943825">
            <w:pPr>
              <w:spacing w:after="0" w:line="240" w:lineRule="auto"/>
              <w:rPr>
                <w:rFonts w:eastAsia="MS Mincho"/>
              </w:rPr>
            </w:pPr>
            <w:r>
              <w:rPr>
                <w:rFonts w:eastAsia="MS Mincho"/>
                <w:sz w:val="20"/>
                <w:szCs w:val="20"/>
              </w:rPr>
              <w:t>0.000</w:t>
            </w:r>
          </w:p>
        </w:tc>
        <w:tc>
          <w:tcPr>
            <w:tcW w:w="1430" w:type="dxa"/>
          </w:tcPr>
          <w:p w14:paraId="5CEDB30F" w14:textId="77777777" w:rsidR="00943825" w:rsidRDefault="00943825" w:rsidP="00943825">
            <w:pPr>
              <w:spacing w:after="0" w:line="240" w:lineRule="auto"/>
              <w:rPr>
                <w:rFonts w:eastAsia="MS Mincho"/>
              </w:rPr>
            </w:pPr>
            <w:r>
              <w:rPr>
                <w:rFonts w:eastAsia="MS Mincho"/>
                <w:sz w:val="20"/>
                <w:szCs w:val="20"/>
              </w:rPr>
              <w:t>10.603</w:t>
            </w:r>
          </w:p>
        </w:tc>
        <w:tc>
          <w:tcPr>
            <w:tcW w:w="1417" w:type="dxa"/>
          </w:tcPr>
          <w:p w14:paraId="25FB2802" w14:textId="77777777" w:rsidR="00943825" w:rsidRDefault="00943825" w:rsidP="00943825">
            <w:pPr>
              <w:spacing w:after="0" w:line="240" w:lineRule="auto"/>
              <w:rPr>
                <w:rFonts w:eastAsia="MS Mincho"/>
              </w:rPr>
            </w:pPr>
            <w:r>
              <w:rPr>
                <w:rFonts w:eastAsia="MS Mincho"/>
                <w:sz w:val="20"/>
                <w:szCs w:val="20"/>
              </w:rPr>
              <w:t>5,608</w:t>
            </w:r>
          </w:p>
        </w:tc>
      </w:tr>
      <w:tr w:rsidR="00943825" w14:paraId="37F3CF82" w14:textId="77777777">
        <w:trPr>
          <w:cantSplit/>
          <w:jc w:val="center"/>
        </w:trPr>
        <w:tc>
          <w:tcPr>
            <w:tcW w:w="1916" w:type="dxa"/>
          </w:tcPr>
          <w:p w14:paraId="766223B6" w14:textId="77777777" w:rsidR="00943825" w:rsidRDefault="00943825" w:rsidP="00943825">
            <w:pPr>
              <w:spacing w:after="0" w:line="240" w:lineRule="auto"/>
              <w:rPr>
                <w:rFonts w:eastAsia="MS Mincho"/>
              </w:rPr>
            </w:pPr>
            <w:r>
              <w:rPr>
                <w:rFonts w:eastAsia="MS Mincho"/>
                <w:sz w:val="20"/>
                <w:szCs w:val="20"/>
              </w:rPr>
              <w:t>Lagged destination log unemployment</w:t>
            </w:r>
          </w:p>
        </w:tc>
        <w:tc>
          <w:tcPr>
            <w:tcW w:w="1416" w:type="dxa"/>
          </w:tcPr>
          <w:p w14:paraId="2E00F1EF" w14:textId="77777777" w:rsidR="00943825" w:rsidRDefault="00943825" w:rsidP="00943825">
            <w:pPr>
              <w:spacing w:after="0" w:line="240" w:lineRule="auto"/>
              <w:rPr>
                <w:rFonts w:eastAsia="MS Mincho"/>
              </w:rPr>
            </w:pPr>
            <w:r>
              <w:rPr>
                <w:rFonts w:eastAsia="MS Mincho"/>
                <w:sz w:val="20"/>
                <w:szCs w:val="20"/>
              </w:rPr>
              <w:t>2.115</w:t>
            </w:r>
          </w:p>
        </w:tc>
        <w:tc>
          <w:tcPr>
            <w:tcW w:w="1416" w:type="dxa"/>
          </w:tcPr>
          <w:p w14:paraId="754E1831" w14:textId="77777777" w:rsidR="00943825" w:rsidRDefault="00943825" w:rsidP="00943825">
            <w:pPr>
              <w:spacing w:after="0" w:line="240" w:lineRule="auto"/>
              <w:rPr>
                <w:rFonts w:eastAsia="MS Mincho"/>
              </w:rPr>
            </w:pPr>
            <w:r>
              <w:rPr>
                <w:rFonts w:eastAsia="MS Mincho"/>
                <w:sz w:val="20"/>
                <w:szCs w:val="20"/>
              </w:rPr>
              <w:t>0.510</w:t>
            </w:r>
          </w:p>
        </w:tc>
        <w:tc>
          <w:tcPr>
            <w:tcW w:w="1431" w:type="dxa"/>
          </w:tcPr>
          <w:p w14:paraId="5002FCBF" w14:textId="77777777" w:rsidR="00943825" w:rsidRDefault="00943825" w:rsidP="00943825">
            <w:pPr>
              <w:spacing w:after="0" w:line="240" w:lineRule="auto"/>
              <w:rPr>
                <w:rFonts w:eastAsia="MS Mincho"/>
              </w:rPr>
            </w:pPr>
            <w:r>
              <w:rPr>
                <w:rFonts w:eastAsia="MS Mincho"/>
                <w:sz w:val="20"/>
                <w:szCs w:val="20"/>
              </w:rPr>
              <w:t>0.788</w:t>
            </w:r>
          </w:p>
        </w:tc>
        <w:tc>
          <w:tcPr>
            <w:tcW w:w="1430" w:type="dxa"/>
          </w:tcPr>
          <w:p w14:paraId="1DA70946" w14:textId="77777777" w:rsidR="00943825" w:rsidRDefault="00943825" w:rsidP="00943825">
            <w:pPr>
              <w:spacing w:after="0" w:line="240" w:lineRule="auto"/>
              <w:rPr>
                <w:rFonts w:eastAsia="MS Mincho"/>
              </w:rPr>
            </w:pPr>
            <w:r>
              <w:rPr>
                <w:rFonts w:eastAsia="MS Mincho"/>
                <w:sz w:val="20"/>
                <w:szCs w:val="20"/>
              </w:rPr>
              <w:t>3.325</w:t>
            </w:r>
          </w:p>
        </w:tc>
        <w:tc>
          <w:tcPr>
            <w:tcW w:w="1417" w:type="dxa"/>
          </w:tcPr>
          <w:p w14:paraId="2C1B8CC3" w14:textId="77777777" w:rsidR="00943825" w:rsidRDefault="00943825" w:rsidP="00943825">
            <w:pPr>
              <w:spacing w:after="0" w:line="240" w:lineRule="auto"/>
              <w:rPr>
                <w:rFonts w:eastAsia="MS Mincho"/>
              </w:rPr>
            </w:pPr>
            <w:r>
              <w:rPr>
                <w:rFonts w:eastAsia="MS Mincho"/>
                <w:sz w:val="20"/>
                <w:szCs w:val="20"/>
              </w:rPr>
              <w:t>5,608</w:t>
            </w:r>
          </w:p>
        </w:tc>
      </w:tr>
      <w:tr w:rsidR="00943825" w14:paraId="732173AA" w14:textId="77777777">
        <w:trPr>
          <w:cantSplit/>
          <w:jc w:val="center"/>
        </w:trPr>
        <w:tc>
          <w:tcPr>
            <w:tcW w:w="1916" w:type="dxa"/>
          </w:tcPr>
          <w:p w14:paraId="1F6C90AF" w14:textId="77777777" w:rsidR="00943825" w:rsidRDefault="00943825" w:rsidP="00943825">
            <w:pPr>
              <w:spacing w:after="0" w:line="240" w:lineRule="auto"/>
              <w:rPr>
                <w:rFonts w:eastAsia="MS Mincho"/>
              </w:rPr>
            </w:pPr>
            <w:r>
              <w:rPr>
                <w:rFonts w:eastAsia="MS Mincho"/>
                <w:sz w:val="20"/>
                <w:szCs w:val="20"/>
              </w:rPr>
              <w:t>Lagged destination real GDP growth</w:t>
            </w:r>
          </w:p>
        </w:tc>
        <w:tc>
          <w:tcPr>
            <w:tcW w:w="1416" w:type="dxa"/>
          </w:tcPr>
          <w:p w14:paraId="22F756FA" w14:textId="77777777" w:rsidR="00943825" w:rsidRDefault="00943825" w:rsidP="00943825">
            <w:pPr>
              <w:spacing w:after="0" w:line="240" w:lineRule="auto"/>
              <w:rPr>
                <w:rFonts w:eastAsia="MS Mincho"/>
              </w:rPr>
            </w:pPr>
            <w:r>
              <w:rPr>
                <w:rFonts w:eastAsia="MS Mincho"/>
                <w:sz w:val="20"/>
                <w:szCs w:val="20"/>
              </w:rPr>
              <w:t>1.610</w:t>
            </w:r>
          </w:p>
        </w:tc>
        <w:tc>
          <w:tcPr>
            <w:tcW w:w="1416" w:type="dxa"/>
          </w:tcPr>
          <w:p w14:paraId="05D080A7" w14:textId="77777777" w:rsidR="00943825" w:rsidRDefault="00943825" w:rsidP="00943825">
            <w:pPr>
              <w:spacing w:after="0" w:line="240" w:lineRule="auto"/>
              <w:rPr>
                <w:rFonts w:eastAsia="MS Mincho"/>
              </w:rPr>
            </w:pPr>
            <w:r>
              <w:rPr>
                <w:rFonts w:eastAsia="MS Mincho"/>
                <w:sz w:val="20"/>
                <w:szCs w:val="20"/>
              </w:rPr>
              <w:t>3.204</w:t>
            </w:r>
          </w:p>
        </w:tc>
        <w:tc>
          <w:tcPr>
            <w:tcW w:w="1431" w:type="dxa"/>
          </w:tcPr>
          <w:p w14:paraId="2AE43340" w14:textId="77777777" w:rsidR="00943825" w:rsidRDefault="00943825" w:rsidP="00943825">
            <w:pPr>
              <w:spacing w:after="0" w:line="240" w:lineRule="auto"/>
              <w:rPr>
                <w:rFonts w:eastAsia="MS Mincho"/>
              </w:rPr>
            </w:pPr>
            <w:r>
              <w:rPr>
                <w:rFonts w:eastAsia="MS Mincho"/>
                <w:sz w:val="20"/>
                <w:szCs w:val="20"/>
              </w:rPr>
              <w:t>-16.000</w:t>
            </w:r>
          </w:p>
        </w:tc>
        <w:tc>
          <w:tcPr>
            <w:tcW w:w="1430" w:type="dxa"/>
          </w:tcPr>
          <w:p w14:paraId="0F8EFB04" w14:textId="77777777" w:rsidR="00943825" w:rsidRDefault="00943825" w:rsidP="00943825">
            <w:pPr>
              <w:spacing w:after="0" w:line="240" w:lineRule="auto"/>
              <w:rPr>
                <w:rFonts w:eastAsia="MS Mincho"/>
              </w:rPr>
            </w:pPr>
            <w:r>
              <w:rPr>
                <w:rFonts w:eastAsia="MS Mincho"/>
                <w:sz w:val="20"/>
                <w:szCs w:val="20"/>
              </w:rPr>
              <w:t>24.600</w:t>
            </w:r>
          </w:p>
        </w:tc>
        <w:tc>
          <w:tcPr>
            <w:tcW w:w="1417" w:type="dxa"/>
          </w:tcPr>
          <w:p w14:paraId="7B4076FB" w14:textId="77777777" w:rsidR="00943825" w:rsidRDefault="00943825" w:rsidP="00943825">
            <w:pPr>
              <w:spacing w:after="0" w:line="240" w:lineRule="auto"/>
              <w:rPr>
                <w:rFonts w:eastAsia="MS Mincho"/>
              </w:rPr>
            </w:pPr>
            <w:r>
              <w:rPr>
                <w:rFonts w:eastAsia="MS Mincho"/>
                <w:sz w:val="20"/>
                <w:szCs w:val="20"/>
              </w:rPr>
              <w:t>5,608</w:t>
            </w:r>
          </w:p>
        </w:tc>
      </w:tr>
    </w:tbl>
    <w:p w14:paraId="655F43F5" w14:textId="77777777" w:rsidR="003F7383" w:rsidRDefault="003F7383" w:rsidP="009401EE">
      <w:pPr>
        <w:jc w:val="both"/>
      </w:pPr>
    </w:p>
    <w:p w14:paraId="12BEE9F2" w14:textId="77777777" w:rsidR="002C6307" w:rsidRPr="002C6307" w:rsidRDefault="002C6307" w:rsidP="002C6307">
      <w:pPr>
        <w:keepNext/>
        <w:jc w:val="center"/>
        <w:rPr>
          <w:b/>
          <w:bCs/>
        </w:rPr>
      </w:pPr>
      <w:r>
        <w:rPr>
          <w:b/>
          <w:bCs/>
        </w:rPr>
        <w:lastRenderedPageBreak/>
        <w:t>Graph 1</w:t>
      </w:r>
    </w:p>
    <w:p w14:paraId="41219785" w14:textId="77777777" w:rsidR="00961C7F" w:rsidRDefault="008A042F">
      <w:pPr>
        <w:jc w:val="center"/>
      </w:pPr>
      <w:r>
        <w:rPr>
          <w:noProof/>
        </w:rPr>
        <w:drawing>
          <wp:inline distT="0" distB="0" distL="0" distR="0" wp14:anchorId="5B0B7F19" wp14:editId="6317C19D">
            <wp:extent cx="5577840" cy="5916092"/>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577840" cy="5916092"/>
                    </a:xfrm>
                    <a:prstGeom prst="rect">
                      <a:avLst/>
                    </a:prstGeom>
                    <a:noFill/>
                  </pic:spPr>
                </pic:pic>
              </a:graphicData>
            </a:graphic>
          </wp:inline>
        </w:drawing>
      </w:r>
    </w:p>
    <w:p w14:paraId="40BEA268" w14:textId="77777777" w:rsidR="00961C7F" w:rsidRDefault="00AF385B" w:rsidP="001B5A82">
      <w:pPr>
        <w:jc w:val="both"/>
      </w:pPr>
      <w:r>
        <w:t>Graph 1. Descriptive relationship between cumulative net policy-change score and HSRate, 2008-2019. Graph 1A shows each destination's first-to-last endpoint change within the window; seven series lack one or both exact boundary years. Graph 1B reports cumulative policy paths for the nine largest destinations by total Non-EU employment permits, with the United Kingdom marked separately because of Brexit. Graph 1A covers 31 descriptive series; the controlled regressions retain 30 destination clusters after the complete-case filter.</w:t>
      </w:r>
    </w:p>
    <w:p w14:paraId="6C69487E" w14:textId="77777777" w:rsidR="00961C7F" w:rsidRDefault="008A042F" w:rsidP="001B5A82">
      <w:pPr>
        <w:jc w:val="both"/>
      </w:pPr>
      <w:r>
        <w:t xml:space="preserve">The main takeaway from Graph 1A is deliberately modest. The descriptive scatter does not visually confirm a simple relationship in which restriction mechanically increases HSRate: most destinations sit on the net-easing side, HSRate changes are heterogeneous, and the endpoint slope </w:t>
      </w:r>
      <w:r>
        <w:lastRenderedPageBreak/>
        <w:t>is not statistically significant. This is why the formal fixed-effects models, rather than Graph 1, carry the empirical test.</w:t>
      </w:r>
    </w:p>
    <w:p w14:paraId="1E0F0C60" w14:textId="77777777" w:rsidR="00961C7F" w:rsidRDefault="008A042F" w:rsidP="001B5A82">
      <w:pPr>
        <w:jc w:val="both"/>
      </w:pPr>
      <w:r>
        <w:t>Graph 1B shows the nine destinations with the largest Non-EU employment-permit flows. Twenty of the 31 endpoint series move toward net liberalization, and about 62 percent of retained all-migrant-worker events are coded as less restrictive.</w:t>
      </w:r>
    </w:p>
    <w:p w14:paraId="425A896E" w14:textId="77777777" w:rsidR="007830C2" w:rsidRDefault="008A042F" w:rsidP="001B5A82">
      <w:pPr>
        <w:jc w:val="both"/>
      </w:pPr>
      <w:r>
        <w:t>Using each series' first and last available observations, HSRate rises in 22 destinations, is unchanged in three, and falls in six. Belgium, Croatia, Iceland, Luxembourg, the Netherlands, Switzerland, and the United Kingdom use shorter endpoint windows because boundary years are unavailable. Small denominators and institutional breaks, including Brexit, affect this descriptive pattern, so it is not used as evidence for the main claim.</w:t>
      </w:r>
    </w:p>
    <w:p w14:paraId="26571089" w14:textId="77777777" w:rsidR="00961C7F" w:rsidRDefault="008A042F">
      <w:pPr>
        <w:pStyle w:val="Heading1"/>
      </w:pPr>
      <w:r>
        <w:t>7. Results</w:t>
      </w:r>
    </w:p>
    <w:p w14:paraId="75222DDC" w14:textId="77777777" w:rsidR="00961C7F" w:rsidRDefault="008A042F">
      <w:pPr>
        <w:pStyle w:val="Heading2"/>
      </w:pPr>
      <w:r>
        <w:t>7.1 Aggregate country-year results</w:t>
      </w:r>
    </w:p>
    <w:p w14:paraId="3B4645D0" w14:textId="77777777" w:rsidR="008F026E" w:rsidRDefault="00000000">
      <w:pPr>
        <w:jc w:val="both"/>
      </w:pPr>
      <w:r>
        <w:t>The aggregate destination-year models are reported first as a benchmark before origin-side pressures are absorbed, and they show no detectable composition association. One reason may be that high-skilled migration also depends on origin conditions, networks, and the relative attractiveness of other destinations, none of which a destination-year model represents; imprecision is another, so the aggregate nulls are not themselves proof that origin-side factors explain the difference.</w:t>
      </w:r>
    </w:p>
    <w:p w14:paraId="11F0FDD4" w14:textId="77777777" w:rsidR="008F026E" w:rsidRDefault="00000000">
      <w:pPr>
        <w:jc w:val="both"/>
      </w:pPr>
      <w:r>
        <w:t>In the full aggregate model, the all-migrant-worker cumulative coefficient is β = 0.002296 with cluster-robust SE = 0.001925 (t = 1.19, p = 0.243, N = 280, G = 30). The annual policy-flow estimate (β = 0.000796, SE = 0.002334, p = 0.736) and the aggregate log high-skilled-count outcome (β = 0.022422, SE = 0.027276, p = 0.418) are also insignificant. The aggregate evidence therefore provides no support for a composition or count association; the main test is the bilateral specification in Section 7.2.</w:t>
      </w:r>
    </w:p>
    <w:p w14:paraId="65466982" w14:textId="77777777" w:rsidR="00961C7F" w:rsidRDefault="008A042F">
      <w:pPr>
        <w:keepNext/>
        <w:jc w:val="center"/>
      </w:pPr>
      <w:r>
        <w:rPr>
          <w:b/>
          <w:i/>
          <w:sz w:val="18"/>
        </w:rPr>
        <w:t>Table 6. Aggregate country-year regression results. Outcome: high-skilled share, except M4 (log high-skilled permit count).</w:t>
      </w:r>
    </w:p>
    <w:tbl>
      <w:tblPr>
        <w:tblW w:w="0" w:type="auto"/>
        <w:jc w:val="center"/>
        <w:tblLayout w:type="fixed"/>
        <w:tblLook w:val="04A0" w:firstRow="1" w:lastRow="0" w:firstColumn="1" w:lastColumn="0" w:noHBand="0" w:noVBand="1"/>
      </w:tblPr>
      <w:tblGrid>
        <w:gridCol w:w="3528"/>
        <w:gridCol w:w="907"/>
        <w:gridCol w:w="907"/>
        <w:gridCol w:w="907"/>
        <w:gridCol w:w="907"/>
        <w:gridCol w:w="1080"/>
        <w:gridCol w:w="1123"/>
      </w:tblGrid>
      <w:tr w:rsidR="00C70AE2" w14:paraId="57327108" w14:textId="77777777">
        <w:trPr>
          <w:cantSplit/>
          <w:tblHeader/>
          <w:jc w:val="center"/>
        </w:trPr>
        <w:tc>
          <w:tcPr>
            <w:tcW w:w="3528" w:type="dxa"/>
            <w:tcBorders>
              <w:top w:val="single" w:sz="10" w:space="0" w:color="000000"/>
              <w:left w:val="nil"/>
              <w:bottom w:val="single" w:sz="8" w:space="0" w:color="000000"/>
              <w:right w:val="nil"/>
            </w:tcBorders>
            <w:shd w:val="clear" w:color="auto" w:fill="EDEDED"/>
            <w:vAlign w:val="center"/>
          </w:tcPr>
          <w:p w14:paraId="594A829B" w14:textId="77777777" w:rsidR="00C70AE2" w:rsidRDefault="00C70AE2">
            <w:pPr>
              <w:spacing w:after="0" w:line="240" w:lineRule="auto"/>
            </w:pPr>
          </w:p>
        </w:tc>
        <w:tc>
          <w:tcPr>
            <w:tcW w:w="907" w:type="dxa"/>
            <w:tcBorders>
              <w:top w:val="single" w:sz="10" w:space="0" w:color="000000"/>
              <w:left w:val="nil"/>
              <w:bottom w:val="single" w:sz="8" w:space="0" w:color="000000"/>
              <w:right w:val="nil"/>
            </w:tcBorders>
            <w:shd w:val="clear" w:color="auto" w:fill="EDEDED"/>
            <w:vAlign w:val="center"/>
          </w:tcPr>
          <w:p w14:paraId="1A81611B" w14:textId="77777777" w:rsidR="00C70AE2" w:rsidRDefault="00000000">
            <w:pPr>
              <w:spacing w:after="0" w:line="240" w:lineRule="auto"/>
              <w:jc w:val="center"/>
            </w:pPr>
            <w:r>
              <w:rPr>
                <w:rFonts w:ascii="Times New Roman" w:hAnsi="Times New Roman"/>
                <w:b/>
                <w:sz w:val="15"/>
              </w:rPr>
              <w:t>M0</w:t>
            </w:r>
          </w:p>
        </w:tc>
        <w:tc>
          <w:tcPr>
            <w:tcW w:w="907" w:type="dxa"/>
            <w:tcBorders>
              <w:top w:val="single" w:sz="10" w:space="0" w:color="000000"/>
              <w:left w:val="nil"/>
              <w:bottom w:val="single" w:sz="8" w:space="0" w:color="000000"/>
              <w:right w:val="nil"/>
            </w:tcBorders>
            <w:shd w:val="clear" w:color="auto" w:fill="EDEDED"/>
            <w:vAlign w:val="center"/>
          </w:tcPr>
          <w:p w14:paraId="707718C1" w14:textId="77777777" w:rsidR="00C70AE2" w:rsidRDefault="00000000">
            <w:pPr>
              <w:spacing w:after="0" w:line="240" w:lineRule="auto"/>
              <w:jc w:val="center"/>
            </w:pPr>
            <w:r>
              <w:rPr>
                <w:rFonts w:ascii="Times New Roman" w:hAnsi="Times New Roman"/>
                <w:b/>
                <w:sz w:val="15"/>
              </w:rPr>
              <w:t>M1</w:t>
            </w:r>
          </w:p>
        </w:tc>
        <w:tc>
          <w:tcPr>
            <w:tcW w:w="907" w:type="dxa"/>
            <w:tcBorders>
              <w:top w:val="single" w:sz="10" w:space="0" w:color="000000"/>
              <w:left w:val="nil"/>
              <w:bottom w:val="single" w:sz="8" w:space="0" w:color="000000"/>
              <w:right w:val="nil"/>
            </w:tcBorders>
            <w:shd w:val="clear" w:color="auto" w:fill="EDEDED"/>
            <w:vAlign w:val="center"/>
          </w:tcPr>
          <w:p w14:paraId="23FD9D0D" w14:textId="77777777" w:rsidR="00C70AE2" w:rsidRDefault="00000000">
            <w:pPr>
              <w:spacing w:after="0" w:line="240" w:lineRule="auto"/>
              <w:jc w:val="center"/>
            </w:pPr>
            <w:r>
              <w:rPr>
                <w:rFonts w:ascii="Times New Roman" w:hAnsi="Times New Roman"/>
                <w:b/>
                <w:sz w:val="15"/>
              </w:rPr>
              <w:t>M2</w:t>
            </w:r>
          </w:p>
        </w:tc>
        <w:tc>
          <w:tcPr>
            <w:tcW w:w="907" w:type="dxa"/>
            <w:tcBorders>
              <w:top w:val="single" w:sz="10" w:space="0" w:color="000000"/>
              <w:left w:val="nil"/>
              <w:bottom w:val="single" w:sz="8" w:space="0" w:color="000000"/>
              <w:right w:val="nil"/>
            </w:tcBorders>
            <w:shd w:val="clear" w:color="auto" w:fill="EDEDED"/>
            <w:vAlign w:val="center"/>
          </w:tcPr>
          <w:p w14:paraId="537EB5A4" w14:textId="77777777" w:rsidR="00C70AE2" w:rsidRDefault="00000000">
            <w:pPr>
              <w:spacing w:after="0" w:line="240" w:lineRule="auto"/>
              <w:jc w:val="center"/>
            </w:pPr>
            <w:r>
              <w:rPr>
                <w:rFonts w:ascii="Times New Roman" w:hAnsi="Times New Roman"/>
                <w:b/>
                <w:sz w:val="15"/>
              </w:rPr>
              <w:t>M3</w:t>
            </w:r>
          </w:p>
        </w:tc>
        <w:tc>
          <w:tcPr>
            <w:tcW w:w="1080" w:type="dxa"/>
            <w:tcBorders>
              <w:top w:val="single" w:sz="10" w:space="0" w:color="000000"/>
              <w:left w:val="nil"/>
              <w:bottom w:val="single" w:sz="8" w:space="0" w:color="000000"/>
              <w:right w:val="nil"/>
            </w:tcBorders>
            <w:shd w:val="clear" w:color="auto" w:fill="EDEDED"/>
            <w:vAlign w:val="center"/>
          </w:tcPr>
          <w:p w14:paraId="3F0B3E14" w14:textId="77777777" w:rsidR="00C70AE2" w:rsidRDefault="00000000">
            <w:pPr>
              <w:spacing w:after="0" w:line="240" w:lineRule="auto"/>
              <w:jc w:val="center"/>
            </w:pPr>
            <w:r>
              <w:rPr>
                <w:rFonts w:ascii="Times New Roman" w:hAnsi="Times New Roman"/>
                <w:b/>
                <w:sz w:val="15"/>
              </w:rPr>
              <w:t>M4</w:t>
            </w:r>
          </w:p>
        </w:tc>
        <w:tc>
          <w:tcPr>
            <w:tcW w:w="1123" w:type="dxa"/>
            <w:tcBorders>
              <w:top w:val="single" w:sz="10" w:space="0" w:color="000000"/>
              <w:left w:val="nil"/>
              <w:bottom w:val="single" w:sz="8" w:space="0" w:color="000000"/>
              <w:right w:val="nil"/>
            </w:tcBorders>
            <w:shd w:val="clear" w:color="auto" w:fill="EDEDED"/>
            <w:vAlign w:val="center"/>
          </w:tcPr>
          <w:p w14:paraId="2D595584" w14:textId="77777777" w:rsidR="00C70AE2" w:rsidRDefault="00000000">
            <w:pPr>
              <w:spacing w:after="0" w:line="240" w:lineRule="auto"/>
              <w:jc w:val="center"/>
            </w:pPr>
            <w:r>
              <w:rPr>
                <w:rFonts w:ascii="Times New Roman" w:hAnsi="Times New Roman"/>
                <w:b/>
                <w:sz w:val="15"/>
              </w:rPr>
              <w:t>Annual flow</w:t>
            </w:r>
          </w:p>
        </w:tc>
      </w:tr>
      <w:tr w:rsidR="00C70AE2" w14:paraId="62BC9014" w14:textId="77777777">
        <w:trPr>
          <w:cantSplit/>
          <w:jc w:val="center"/>
        </w:trPr>
        <w:tc>
          <w:tcPr>
            <w:tcW w:w="3528" w:type="dxa"/>
            <w:tcBorders>
              <w:top w:val="nil"/>
              <w:left w:val="nil"/>
              <w:bottom w:val="nil"/>
              <w:right w:val="nil"/>
            </w:tcBorders>
            <w:shd w:val="clear" w:color="auto" w:fill="F5F5F5"/>
            <w:vAlign w:val="center"/>
          </w:tcPr>
          <w:p w14:paraId="45273611" w14:textId="77777777" w:rsidR="00C70AE2" w:rsidRDefault="00000000">
            <w:pPr>
              <w:spacing w:after="0" w:line="240" w:lineRule="auto"/>
            </w:pPr>
            <w:r>
              <w:rPr>
                <w:rFonts w:ascii="Times New Roman" w:hAnsi="Times New Roman"/>
                <w:i/>
                <w:sz w:val="15"/>
              </w:rPr>
              <w:t>Policy coefficient</w:t>
            </w:r>
          </w:p>
        </w:tc>
        <w:tc>
          <w:tcPr>
            <w:tcW w:w="907" w:type="dxa"/>
            <w:tcBorders>
              <w:top w:val="nil"/>
              <w:left w:val="nil"/>
              <w:bottom w:val="nil"/>
              <w:right w:val="nil"/>
            </w:tcBorders>
            <w:shd w:val="clear" w:color="auto" w:fill="F5F5F5"/>
            <w:vAlign w:val="center"/>
          </w:tcPr>
          <w:p w14:paraId="0C52152D"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44032182"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472960FA"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197A2E1D"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7F47D976"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026E7649" w14:textId="77777777" w:rsidR="00C70AE2" w:rsidRDefault="00C70AE2">
            <w:pPr>
              <w:spacing w:after="0" w:line="240" w:lineRule="auto"/>
              <w:jc w:val="center"/>
            </w:pPr>
          </w:p>
        </w:tc>
      </w:tr>
      <w:tr w:rsidR="00C70AE2" w14:paraId="2BAD9686" w14:textId="77777777">
        <w:trPr>
          <w:cantSplit/>
          <w:jc w:val="center"/>
        </w:trPr>
        <w:tc>
          <w:tcPr>
            <w:tcW w:w="3528" w:type="dxa"/>
            <w:tcBorders>
              <w:top w:val="nil"/>
              <w:left w:val="nil"/>
              <w:bottom w:val="nil"/>
              <w:right w:val="nil"/>
            </w:tcBorders>
            <w:vAlign w:val="center"/>
          </w:tcPr>
          <w:p w14:paraId="76F04CFF" w14:textId="77777777" w:rsidR="00C70AE2" w:rsidRDefault="00000000">
            <w:pPr>
              <w:spacing w:after="0" w:line="240" w:lineRule="auto"/>
            </w:pPr>
            <w:r>
              <w:rPr>
                <w:rFonts w:ascii="Times New Roman" w:hAnsi="Times New Roman"/>
                <w:sz w:val="15"/>
              </w:rPr>
              <w:t>Lagged all-migrant-worker policy score</w:t>
            </w:r>
          </w:p>
        </w:tc>
        <w:tc>
          <w:tcPr>
            <w:tcW w:w="907" w:type="dxa"/>
            <w:tcBorders>
              <w:top w:val="nil"/>
              <w:left w:val="nil"/>
              <w:bottom w:val="nil"/>
              <w:right w:val="nil"/>
            </w:tcBorders>
            <w:vAlign w:val="center"/>
          </w:tcPr>
          <w:p w14:paraId="7BC6BB88" w14:textId="77777777" w:rsidR="00C70AE2" w:rsidRDefault="00000000">
            <w:pPr>
              <w:spacing w:after="0" w:line="240" w:lineRule="auto"/>
              <w:jc w:val="center"/>
            </w:pPr>
            <w:r>
              <w:rPr>
                <w:rFonts w:ascii="Times New Roman" w:hAnsi="Times New Roman"/>
                <w:sz w:val="15"/>
              </w:rPr>
              <w:t>-0.000163</w:t>
            </w:r>
          </w:p>
        </w:tc>
        <w:tc>
          <w:tcPr>
            <w:tcW w:w="907" w:type="dxa"/>
            <w:tcBorders>
              <w:top w:val="nil"/>
              <w:left w:val="nil"/>
              <w:bottom w:val="nil"/>
              <w:right w:val="nil"/>
            </w:tcBorders>
            <w:vAlign w:val="center"/>
          </w:tcPr>
          <w:p w14:paraId="12155C00" w14:textId="77777777" w:rsidR="00C70AE2" w:rsidRDefault="00000000">
            <w:pPr>
              <w:spacing w:after="0" w:line="240" w:lineRule="auto"/>
              <w:jc w:val="center"/>
            </w:pPr>
            <w:r>
              <w:rPr>
                <w:rFonts w:ascii="Times New Roman" w:hAnsi="Times New Roman"/>
                <w:sz w:val="15"/>
              </w:rPr>
              <w:t>0.000748</w:t>
            </w:r>
          </w:p>
        </w:tc>
        <w:tc>
          <w:tcPr>
            <w:tcW w:w="907" w:type="dxa"/>
            <w:tcBorders>
              <w:top w:val="nil"/>
              <w:left w:val="nil"/>
              <w:bottom w:val="nil"/>
              <w:right w:val="nil"/>
            </w:tcBorders>
            <w:vAlign w:val="center"/>
          </w:tcPr>
          <w:p w14:paraId="58772EC3" w14:textId="77777777" w:rsidR="00C70AE2" w:rsidRDefault="00000000">
            <w:pPr>
              <w:spacing w:after="0" w:line="240" w:lineRule="auto"/>
              <w:jc w:val="center"/>
            </w:pPr>
            <w:r>
              <w:rPr>
                <w:rFonts w:ascii="Times New Roman" w:hAnsi="Times New Roman"/>
                <w:sz w:val="15"/>
              </w:rPr>
              <w:t>0.002102</w:t>
            </w:r>
          </w:p>
        </w:tc>
        <w:tc>
          <w:tcPr>
            <w:tcW w:w="907" w:type="dxa"/>
            <w:tcBorders>
              <w:top w:val="nil"/>
              <w:left w:val="nil"/>
              <w:bottom w:val="nil"/>
              <w:right w:val="nil"/>
            </w:tcBorders>
            <w:vAlign w:val="center"/>
          </w:tcPr>
          <w:p w14:paraId="6F49C29B" w14:textId="77777777" w:rsidR="00C70AE2" w:rsidRDefault="00000000">
            <w:pPr>
              <w:spacing w:after="0" w:line="240" w:lineRule="auto"/>
              <w:jc w:val="center"/>
            </w:pPr>
            <w:r>
              <w:rPr>
                <w:rFonts w:ascii="Times New Roman" w:hAnsi="Times New Roman"/>
                <w:sz w:val="15"/>
              </w:rPr>
              <w:t>0.002296</w:t>
            </w:r>
          </w:p>
        </w:tc>
        <w:tc>
          <w:tcPr>
            <w:tcW w:w="1080" w:type="dxa"/>
            <w:tcBorders>
              <w:top w:val="nil"/>
              <w:left w:val="nil"/>
              <w:bottom w:val="nil"/>
              <w:right w:val="nil"/>
            </w:tcBorders>
            <w:vAlign w:val="center"/>
          </w:tcPr>
          <w:p w14:paraId="7BBBB75B" w14:textId="77777777" w:rsidR="00C70AE2" w:rsidRDefault="00000000">
            <w:pPr>
              <w:spacing w:after="0" w:line="240" w:lineRule="auto"/>
              <w:jc w:val="center"/>
            </w:pPr>
            <w:r>
              <w:rPr>
                <w:rFonts w:ascii="Times New Roman" w:hAnsi="Times New Roman"/>
                <w:sz w:val="15"/>
              </w:rPr>
              <w:t>0.022422</w:t>
            </w:r>
          </w:p>
        </w:tc>
        <w:tc>
          <w:tcPr>
            <w:tcW w:w="1123" w:type="dxa"/>
            <w:tcBorders>
              <w:top w:val="nil"/>
              <w:left w:val="nil"/>
              <w:bottom w:val="nil"/>
              <w:right w:val="nil"/>
            </w:tcBorders>
            <w:vAlign w:val="center"/>
          </w:tcPr>
          <w:p w14:paraId="6B76126B" w14:textId="77777777" w:rsidR="00C70AE2" w:rsidRDefault="00000000">
            <w:pPr>
              <w:spacing w:after="0" w:line="240" w:lineRule="auto"/>
              <w:jc w:val="center"/>
            </w:pPr>
            <w:r>
              <w:rPr>
                <w:rFonts w:ascii="Times New Roman" w:hAnsi="Times New Roman"/>
                <w:sz w:val="15"/>
              </w:rPr>
              <w:t>0.000796</w:t>
            </w:r>
          </w:p>
        </w:tc>
      </w:tr>
      <w:tr w:rsidR="00C70AE2" w14:paraId="74A842FE" w14:textId="77777777">
        <w:trPr>
          <w:cantSplit/>
          <w:jc w:val="center"/>
        </w:trPr>
        <w:tc>
          <w:tcPr>
            <w:tcW w:w="3528" w:type="dxa"/>
            <w:tcBorders>
              <w:top w:val="nil"/>
              <w:left w:val="nil"/>
              <w:bottom w:val="nil"/>
              <w:right w:val="nil"/>
            </w:tcBorders>
            <w:vAlign w:val="center"/>
          </w:tcPr>
          <w:p w14:paraId="3D744BB3" w14:textId="77777777" w:rsidR="00C70AE2" w:rsidRDefault="00000000">
            <w:pPr>
              <w:spacing w:after="0" w:line="240" w:lineRule="auto"/>
            </w:pPr>
            <w:r>
              <w:rPr>
                <w:rFonts w:ascii="Times New Roman" w:hAnsi="Times New Roman"/>
                <w:sz w:val="15"/>
              </w:rPr>
              <w:t>Cluster-robust SE</w:t>
            </w:r>
          </w:p>
        </w:tc>
        <w:tc>
          <w:tcPr>
            <w:tcW w:w="907" w:type="dxa"/>
            <w:tcBorders>
              <w:top w:val="nil"/>
              <w:left w:val="nil"/>
              <w:bottom w:val="nil"/>
              <w:right w:val="nil"/>
            </w:tcBorders>
            <w:vAlign w:val="center"/>
          </w:tcPr>
          <w:p w14:paraId="3188F4A2" w14:textId="77777777" w:rsidR="00C70AE2" w:rsidRDefault="00000000">
            <w:pPr>
              <w:spacing w:after="0" w:line="240" w:lineRule="auto"/>
              <w:jc w:val="center"/>
            </w:pPr>
            <w:r>
              <w:rPr>
                <w:rFonts w:ascii="Times New Roman" w:hAnsi="Times New Roman"/>
                <w:sz w:val="15"/>
              </w:rPr>
              <w:t>(0.002118)</w:t>
            </w:r>
          </w:p>
        </w:tc>
        <w:tc>
          <w:tcPr>
            <w:tcW w:w="907" w:type="dxa"/>
            <w:tcBorders>
              <w:top w:val="nil"/>
              <w:left w:val="nil"/>
              <w:bottom w:val="nil"/>
              <w:right w:val="nil"/>
            </w:tcBorders>
            <w:vAlign w:val="center"/>
          </w:tcPr>
          <w:p w14:paraId="6E1DC630" w14:textId="77777777" w:rsidR="00C70AE2" w:rsidRDefault="00000000">
            <w:pPr>
              <w:spacing w:after="0" w:line="240" w:lineRule="auto"/>
              <w:jc w:val="center"/>
            </w:pPr>
            <w:r>
              <w:rPr>
                <w:rFonts w:ascii="Times New Roman" w:hAnsi="Times New Roman"/>
                <w:sz w:val="15"/>
              </w:rPr>
              <w:t>(0.001890)</w:t>
            </w:r>
          </w:p>
        </w:tc>
        <w:tc>
          <w:tcPr>
            <w:tcW w:w="907" w:type="dxa"/>
            <w:tcBorders>
              <w:top w:val="nil"/>
              <w:left w:val="nil"/>
              <w:bottom w:val="nil"/>
              <w:right w:val="nil"/>
            </w:tcBorders>
            <w:vAlign w:val="center"/>
          </w:tcPr>
          <w:p w14:paraId="07490964" w14:textId="77777777" w:rsidR="00C70AE2" w:rsidRDefault="00000000">
            <w:pPr>
              <w:spacing w:after="0" w:line="240" w:lineRule="auto"/>
              <w:jc w:val="center"/>
            </w:pPr>
            <w:r>
              <w:rPr>
                <w:rFonts w:ascii="Times New Roman" w:hAnsi="Times New Roman"/>
                <w:sz w:val="15"/>
              </w:rPr>
              <w:t>(0.001791)</w:t>
            </w:r>
          </w:p>
        </w:tc>
        <w:tc>
          <w:tcPr>
            <w:tcW w:w="907" w:type="dxa"/>
            <w:tcBorders>
              <w:top w:val="nil"/>
              <w:left w:val="nil"/>
              <w:bottom w:val="nil"/>
              <w:right w:val="nil"/>
            </w:tcBorders>
            <w:vAlign w:val="center"/>
          </w:tcPr>
          <w:p w14:paraId="17F9EEAA" w14:textId="77777777" w:rsidR="00C70AE2" w:rsidRDefault="00000000">
            <w:pPr>
              <w:spacing w:after="0" w:line="240" w:lineRule="auto"/>
              <w:jc w:val="center"/>
            </w:pPr>
            <w:r>
              <w:rPr>
                <w:rFonts w:ascii="Times New Roman" w:hAnsi="Times New Roman"/>
                <w:sz w:val="15"/>
              </w:rPr>
              <w:t>(0.001925)</w:t>
            </w:r>
          </w:p>
        </w:tc>
        <w:tc>
          <w:tcPr>
            <w:tcW w:w="1080" w:type="dxa"/>
            <w:tcBorders>
              <w:top w:val="nil"/>
              <w:left w:val="nil"/>
              <w:bottom w:val="nil"/>
              <w:right w:val="nil"/>
            </w:tcBorders>
            <w:vAlign w:val="center"/>
          </w:tcPr>
          <w:p w14:paraId="6A459F1C" w14:textId="77777777" w:rsidR="00C70AE2" w:rsidRDefault="00000000">
            <w:pPr>
              <w:spacing w:after="0" w:line="240" w:lineRule="auto"/>
              <w:jc w:val="center"/>
            </w:pPr>
            <w:r>
              <w:rPr>
                <w:rFonts w:ascii="Times New Roman" w:hAnsi="Times New Roman"/>
                <w:sz w:val="15"/>
              </w:rPr>
              <w:t>(0.027276)</w:t>
            </w:r>
          </w:p>
        </w:tc>
        <w:tc>
          <w:tcPr>
            <w:tcW w:w="1123" w:type="dxa"/>
            <w:tcBorders>
              <w:top w:val="nil"/>
              <w:left w:val="nil"/>
              <w:bottom w:val="nil"/>
              <w:right w:val="nil"/>
            </w:tcBorders>
            <w:vAlign w:val="center"/>
          </w:tcPr>
          <w:p w14:paraId="0BF5ED96" w14:textId="77777777" w:rsidR="00C70AE2" w:rsidRDefault="00000000">
            <w:pPr>
              <w:spacing w:after="0" w:line="240" w:lineRule="auto"/>
              <w:jc w:val="center"/>
            </w:pPr>
            <w:r>
              <w:rPr>
                <w:rFonts w:ascii="Times New Roman" w:hAnsi="Times New Roman"/>
                <w:sz w:val="15"/>
              </w:rPr>
              <w:t>(0.002334)</w:t>
            </w:r>
          </w:p>
        </w:tc>
      </w:tr>
      <w:tr w:rsidR="00C70AE2" w14:paraId="3438162C" w14:textId="77777777">
        <w:trPr>
          <w:cantSplit/>
          <w:jc w:val="center"/>
        </w:trPr>
        <w:tc>
          <w:tcPr>
            <w:tcW w:w="3528" w:type="dxa"/>
            <w:tcBorders>
              <w:top w:val="nil"/>
              <w:left w:val="nil"/>
              <w:bottom w:val="nil"/>
              <w:right w:val="nil"/>
            </w:tcBorders>
            <w:vAlign w:val="center"/>
          </w:tcPr>
          <w:p w14:paraId="761F109E" w14:textId="77777777" w:rsidR="00C70AE2" w:rsidRDefault="00000000">
            <w:pPr>
              <w:spacing w:after="0" w:line="240" w:lineRule="auto"/>
            </w:pPr>
            <w:r>
              <w:rPr>
                <w:rFonts w:ascii="Times New Roman" w:hAnsi="Times New Roman"/>
                <w:sz w:val="15"/>
              </w:rPr>
              <w:t>Exact p-value</w:t>
            </w:r>
          </w:p>
        </w:tc>
        <w:tc>
          <w:tcPr>
            <w:tcW w:w="907" w:type="dxa"/>
            <w:tcBorders>
              <w:top w:val="nil"/>
              <w:left w:val="nil"/>
              <w:bottom w:val="nil"/>
              <w:right w:val="nil"/>
            </w:tcBorders>
            <w:vAlign w:val="center"/>
          </w:tcPr>
          <w:p w14:paraId="20CD7177" w14:textId="77777777" w:rsidR="00C70AE2" w:rsidRDefault="00000000">
            <w:pPr>
              <w:spacing w:after="0" w:line="240" w:lineRule="auto"/>
              <w:jc w:val="center"/>
            </w:pPr>
            <w:r>
              <w:rPr>
                <w:rFonts w:ascii="Times New Roman" w:hAnsi="Times New Roman"/>
                <w:sz w:val="15"/>
              </w:rPr>
              <w:t>0.939</w:t>
            </w:r>
          </w:p>
        </w:tc>
        <w:tc>
          <w:tcPr>
            <w:tcW w:w="907" w:type="dxa"/>
            <w:tcBorders>
              <w:top w:val="nil"/>
              <w:left w:val="nil"/>
              <w:bottom w:val="nil"/>
              <w:right w:val="nil"/>
            </w:tcBorders>
            <w:vAlign w:val="center"/>
          </w:tcPr>
          <w:p w14:paraId="0486A3A6" w14:textId="77777777" w:rsidR="00C70AE2" w:rsidRDefault="00000000">
            <w:pPr>
              <w:spacing w:after="0" w:line="240" w:lineRule="auto"/>
              <w:jc w:val="center"/>
            </w:pPr>
            <w:r>
              <w:rPr>
                <w:rFonts w:ascii="Times New Roman" w:hAnsi="Times New Roman"/>
                <w:sz w:val="15"/>
              </w:rPr>
              <w:t>0.695</w:t>
            </w:r>
          </w:p>
        </w:tc>
        <w:tc>
          <w:tcPr>
            <w:tcW w:w="907" w:type="dxa"/>
            <w:tcBorders>
              <w:top w:val="nil"/>
              <w:left w:val="nil"/>
              <w:bottom w:val="nil"/>
              <w:right w:val="nil"/>
            </w:tcBorders>
            <w:vAlign w:val="center"/>
          </w:tcPr>
          <w:p w14:paraId="3C40BA5F" w14:textId="77777777" w:rsidR="00C70AE2" w:rsidRDefault="00000000">
            <w:pPr>
              <w:spacing w:after="0" w:line="240" w:lineRule="auto"/>
              <w:jc w:val="center"/>
            </w:pPr>
            <w:r>
              <w:rPr>
                <w:rFonts w:ascii="Times New Roman" w:hAnsi="Times New Roman"/>
                <w:sz w:val="15"/>
              </w:rPr>
              <w:t>0.250</w:t>
            </w:r>
          </w:p>
        </w:tc>
        <w:tc>
          <w:tcPr>
            <w:tcW w:w="907" w:type="dxa"/>
            <w:tcBorders>
              <w:top w:val="nil"/>
              <w:left w:val="nil"/>
              <w:bottom w:val="nil"/>
              <w:right w:val="nil"/>
            </w:tcBorders>
            <w:vAlign w:val="center"/>
          </w:tcPr>
          <w:p w14:paraId="1A3AA8A7" w14:textId="77777777" w:rsidR="00C70AE2" w:rsidRDefault="00000000">
            <w:pPr>
              <w:spacing w:after="0" w:line="240" w:lineRule="auto"/>
              <w:jc w:val="center"/>
            </w:pPr>
            <w:r>
              <w:rPr>
                <w:rFonts w:ascii="Times New Roman" w:hAnsi="Times New Roman"/>
                <w:sz w:val="15"/>
              </w:rPr>
              <w:t>0.243</w:t>
            </w:r>
          </w:p>
        </w:tc>
        <w:tc>
          <w:tcPr>
            <w:tcW w:w="1080" w:type="dxa"/>
            <w:tcBorders>
              <w:top w:val="nil"/>
              <w:left w:val="nil"/>
              <w:bottom w:val="nil"/>
              <w:right w:val="nil"/>
            </w:tcBorders>
            <w:vAlign w:val="center"/>
          </w:tcPr>
          <w:p w14:paraId="5764D5D9" w14:textId="77777777" w:rsidR="00C70AE2" w:rsidRDefault="00000000">
            <w:pPr>
              <w:spacing w:after="0" w:line="240" w:lineRule="auto"/>
              <w:jc w:val="center"/>
            </w:pPr>
            <w:r>
              <w:rPr>
                <w:rFonts w:ascii="Times New Roman" w:hAnsi="Times New Roman"/>
                <w:sz w:val="15"/>
              </w:rPr>
              <w:t>0.418</w:t>
            </w:r>
          </w:p>
        </w:tc>
        <w:tc>
          <w:tcPr>
            <w:tcW w:w="1123" w:type="dxa"/>
            <w:tcBorders>
              <w:top w:val="nil"/>
              <w:left w:val="nil"/>
              <w:bottom w:val="nil"/>
              <w:right w:val="nil"/>
            </w:tcBorders>
            <w:vAlign w:val="center"/>
          </w:tcPr>
          <w:p w14:paraId="526CD51A" w14:textId="77777777" w:rsidR="00C70AE2" w:rsidRDefault="00000000">
            <w:pPr>
              <w:spacing w:after="0" w:line="240" w:lineRule="auto"/>
              <w:jc w:val="center"/>
            </w:pPr>
            <w:r>
              <w:rPr>
                <w:rFonts w:ascii="Times New Roman" w:hAnsi="Times New Roman"/>
                <w:sz w:val="15"/>
              </w:rPr>
              <w:t>0.736</w:t>
            </w:r>
          </w:p>
        </w:tc>
      </w:tr>
      <w:tr w:rsidR="00C70AE2" w14:paraId="57F87BA0" w14:textId="77777777">
        <w:trPr>
          <w:cantSplit/>
          <w:jc w:val="center"/>
        </w:trPr>
        <w:tc>
          <w:tcPr>
            <w:tcW w:w="3528" w:type="dxa"/>
            <w:tcBorders>
              <w:top w:val="nil"/>
              <w:left w:val="nil"/>
              <w:bottom w:val="nil"/>
              <w:right w:val="nil"/>
            </w:tcBorders>
            <w:shd w:val="clear" w:color="auto" w:fill="F5F5F5"/>
            <w:vAlign w:val="center"/>
          </w:tcPr>
          <w:p w14:paraId="66B753A6" w14:textId="77777777" w:rsidR="00C70AE2" w:rsidRDefault="00000000">
            <w:pPr>
              <w:spacing w:after="0" w:line="240" w:lineRule="auto"/>
            </w:pPr>
            <w:r>
              <w:rPr>
                <w:rFonts w:ascii="Times New Roman" w:hAnsi="Times New Roman"/>
                <w:i/>
                <w:sz w:val="15"/>
              </w:rPr>
              <w:t>Specification</w:t>
            </w:r>
          </w:p>
        </w:tc>
        <w:tc>
          <w:tcPr>
            <w:tcW w:w="907" w:type="dxa"/>
            <w:tcBorders>
              <w:top w:val="nil"/>
              <w:left w:val="nil"/>
              <w:bottom w:val="nil"/>
              <w:right w:val="nil"/>
            </w:tcBorders>
            <w:shd w:val="clear" w:color="auto" w:fill="F5F5F5"/>
            <w:vAlign w:val="center"/>
          </w:tcPr>
          <w:p w14:paraId="2210F3F4"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7F6B99A6"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5DF2767B"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39B82C38"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69852A85"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34BD29C7" w14:textId="77777777" w:rsidR="00C70AE2" w:rsidRDefault="00C70AE2">
            <w:pPr>
              <w:spacing w:after="0" w:line="240" w:lineRule="auto"/>
              <w:jc w:val="center"/>
            </w:pPr>
          </w:p>
        </w:tc>
      </w:tr>
      <w:tr w:rsidR="00C70AE2" w14:paraId="2CC86498" w14:textId="77777777">
        <w:trPr>
          <w:cantSplit/>
          <w:jc w:val="center"/>
        </w:trPr>
        <w:tc>
          <w:tcPr>
            <w:tcW w:w="3528" w:type="dxa"/>
            <w:tcBorders>
              <w:top w:val="nil"/>
              <w:left w:val="nil"/>
              <w:bottom w:val="nil"/>
              <w:right w:val="nil"/>
            </w:tcBorders>
            <w:vAlign w:val="center"/>
          </w:tcPr>
          <w:p w14:paraId="72AB9C23" w14:textId="77777777" w:rsidR="00C70AE2" w:rsidRDefault="00000000">
            <w:pPr>
              <w:spacing w:after="0" w:line="240" w:lineRule="auto"/>
            </w:pPr>
            <w:r>
              <w:rPr>
                <w:rFonts w:ascii="Times New Roman" w:hAnsi="Times New Roman"/>
                <w:sz w:val="15"/>
              </w:rPr>
              <w:t>Outcome</w:t>
            </w:r>
          </w:p>
        </w:tc>
        <w:tc>
          <w:tcPr>
            <w:tcW w:w="907" w:type="dxa"/>
            <w:tcBorders>
              <w:top w:val="nil"/>
              <w:left w:val="nil"/>
              <w:bottom w:val="nil"/>
              <w:right w:val="nil"/>
            </w:tcBorders>
            <w:vAlign w:val="center"/>
          </w:tcPr>
          <w:p w14:paraId="3C91E3F3" w14: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43E2B712" w14: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6B96068D" w14: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75864754" w14:textId="77777777" w:rsidR="00C70AE2" w:rsidRDefault="00000000">
            <w:pPr>
              <w:spacing w:after="0" w:line="240" w:lineRule="auto"/>
              <w:jc w:val="center"/>
            </w:pPr>
            <w:r>
              <w:rPr>
                <w:rFonts w:ascii="Times New Roman" w:hAnsi="Times New Roman"/>
                <w:sz w:val="15"/>
              </w:rPr>
              <w:t>HS share</w:t>
            </w:r>
          </w:p>
        </w:tc>
        <w:tc>
          <w:tcPr>
            <w:tcW w:w="1080" w:type="dxa"/>
            <w:tcBorders>
              <w:top w:val="nil"/>
              <w:left w:val="nil"/>
              <w:bottom w:val="nil"/>
              <w:right w:val="nil"/>
            </w:tcBorders>
            <w:vAlign w:val="center"/>
          </w:tcPr>
          <w:p w14:paraId="3B6B6850" w14:textId="77777777" w:rsidR="00C70AE2" w:rsidRDefault="00000000">
            <w:pPr>
              <w:spacing w:after="0" w:line="240" w:lineRule="auto"/>
              <w:jc w:val="center"/>
            </w:pPr>
            <w:r>
              <w:rPr>
                <w:rFonts w:ascii="Times New Roman" w:hAnsi="Times New Roman"/>
                <w:sz w:val="15"/>
              </w:rPr>
              <w:t>Log HS count</w:t>
            </w:r>
          </w:p>
        </w:tc>
        <w:tc>
          <w:tcPr>
            <w:tcW w:w="1123" w:type="dxa"/>
            <w:tcBorders>
              <w:top w:val="nil"/>
              <w:left w:val="nil"/>
              <w:bottom w:val="nil"/>
              <w:right w:val="nil"/>
            </w:tcBorders>
            <w:vAlign w:val="center"/>
          </w:tcPr>
          <w:p w14:paraId="228D9636" w14:textId="77777777" w:rsidR="00C70AE2" w:rsidRDefault="00000000">
            <w:pPr>
              <w:spacing w:after="0" w:line="240" w:lineRule="auto"/>
              <w:jc w:val="center"/>
            </w:pPr>
            <w:r>
              <w:rPr>
                <w:rFonts w:ascii="Times New Roman" w:hAnsi="Times New Roman"/>
                <w:sz w:val="15"/>
              </w:rPr>
              <w:t>HS share</w:t>
            </w:r>
          </w:p>
        </w:tc>
      </w:tr>
      <w:tr w:rsidR="00C70AE2" w14:paraId="5AD6238F" w14:textId="77777777">
        <w:trPr>
          <w:cantSplit/>
          <w:jc w:val="center"/>
        </w:trPr>
        <w:tc>
          <w:tcPr>
            <w:tcW w:w="3528" w:type="dxa"/>
            <w:tcBorders>
              <w:top w:val="nil"/>
              <w:left w:val="nil"/>
              <w:bottom w:val="nil"/>
              <w:right w:val="nil"/>
            </w:tcBorders>
            <w:vAlign w:val="center"/>
          </w:tcPr>
          <w:p w14:paraId="1EC7DFEE" w14:textId="77777777" w:rsidR="00C70AE2" w:rsidRDefault="00000000">
            <w:pPr>
              <w:spacing w:after="0" w:line="240" w:lineRule="auto"/>
            </w:pPr>
            <w:r>
              <w:rPr>
                <w:rFonts w:ascii="Times New Roman" w:hAnsi="Times New Roman"/>
                <w:sz w:val="15"/>
              </w:rPr>
              <w:t>Skill-target policy controls</w:t>
            </w:r>
          </w:p>
        </w:tc>
        <w:tc>
          <w:tcPr>
            <w:tcW w:w="907" w:type="dxa"/>
            <w:tcBorders>
              <w:top w:val="nil"/>
              <w:left w:val="nil"/>
              <w:bottom w:val="nil"/>
              <w:right w:val="nil"/>
            </w:tcBorders>
            <w:vAlign w:val="center"/>
          </w:tcPr>
          <w:p w14:paraId="74E67697"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4860637C" w14: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34D563CA" w14: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79620AC1" w14: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41438E2A" w14: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57B1CB6E" w14:textId="77777777" w:rsidR="00C70AE2" w:rsidRDefault="00000000">
            <w:pPr>
              <w:spacing w:after="0" w:line="240" w:lineRule="auto"/>
              <w:jc w:val="center"/>
            </w:pPr>
            <w:r>
              <w:rPr>
                <w:rFonts w:ascii="Times New Roman" w:hAnsi="Times New Roman"/>
                <w:sz w:val="15"/>
              </w:rPr>
              <w:t>Yes</w:t>
            </w:r>
          </w:p>
        </w:tc>
      </w:tr>
      <w:tr w:rsidR="00C70AE2" w14:paraId="7DFCA785" w14:textId="77777777">
        <w:trPr>
          <w:cantSplit/>
          <w:jc w:val="center"/>
        </w:trPr>
        <w:tc>
          <w:tcPr>
            <w:tcW w:w="3528" w:type="dxa"/>
            <w:tcBorders>
              <w:top w:val="nil"/>
              <w:left w:val="nil"/>
              <w:bottom w:val="nil"/>
              <w:right w:val="nil"/>
            </w:tcBorders>
            <w:vAlign w:val="center"/>
          </w:tcPr>
          <w:p w14:paraId="641F14AA" w14:textId="77777777" w:rsidR="00C70AE2" w:rsidRDefault="00000000">
            <w:pPr>
              <w:spacing w:after="0" w:line="240" w:lineRule="auto"/>
            </w:pPr>
            <w:r>
              <w:rPr>
                <w:rFonts w:ascii="Times New Roman" w:hAnsi="Times New Roman"/>
                <w:sz w:val="15"/>
              </w:rPr>
              <w:t>Lagged permit scale</w:t>
            </w:r>
          </w:p>
        </w:tc>
        <w:tc>
          <w:tcPr>
            <w:tcW w:w="907" w:type="dxa"/>
            <w:tcBorders>
              <w:top w:val="nil"/>
              <w:left w:val="nil"/>
              <w:bottom w:val="nil"/>
              <w:right w:val="nil"/>
            </w:tcBorders>
            <w:vAlign w:val="center"/>
          </w:tcPr>
          <w:p w14:paraId="1768B74B"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274C838D"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3D5F80C1" w14: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13DB3F5D" w14: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5D1A7EB1" w14: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5C7B3712" w14:textId="77777777" w:rsidR="00C70AE2" w:rsidRDefault="00000000">
            <w:pPr>
              <w:spacing w:after="0" w:line="240" w:lineRule="auto"/>
              <w:jc w:val="center"/>
            </w:pPr>
            <w:r>
              <w:rPr>
                <w:rFonts w:ascii="Times New Roman" w:hAnsi="Times New Roman"/>
                <w:sz w:val="15"/>
              </w:rPr>
              <w:t>Yes</w:t>
            </w:r>
          </w:p>
        </w:tc>
      </w:tr>
      <w:tr w:rsidR="00C70AE2" w14:paraId="5A9377B8" w14:textId="77777777">
        <w:trPr>
          <w:cantSplit/>
          <w:jc w:val="center"/>
        </w:trPr>
        <w:tc>
          <w:tcPr>
            <w:tcW w:w="3528" w:type="dxa"/>
            <w:tcBorders>
              <w:top w:val="nil"/>
              <w:left w:val="nil"/>
              <w:bottom w:val="nil"/>
              <w:right w:val="nil"/>
            </w:tcBorders>
            <w:vAlign w:val="center"/>
          </w:tcPr>
          <w:p w14:paraId="60B38E6D" w14:textId="77777777" w:rsidR="00C70AE2" w:rsidRDefault="00000000">
            <w:pPr>
              <w:spacing w:after="0" w:line="240" w:lineRule="auto"/>
            </w:pPr>
            <w:r>
              <w:rPr>
                <w:rFonts w:ascii="Times New Roman" w:hAnsi="Times New Roman"/>
                <w:sz w:val="15"/>
              </w:rPr>
              <w:t>Destination macro controls</w:t>
            </w:r>
          </w:p>
        </w:tc>
        <w:tc>
          <w:tcPr>
            <w:tcW w:w="907" w:type="dxa"/>
            <w:tcBorders>
              <w:top w:val="nil"/>
              <w:left w:val="nil"/>
              <w:bottom w:val="nil"/>
              <w:right w:val="nil"/>
            </w:tcBorders>
            <w:vAlign w:val="center"/>
          </w:tcPr>
          <w:p w14:paraId="636BE834"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3DB7EF5A"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54662F14"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6F28F4DE" w14: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1146EA5A" w14: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6899425A" w14:textId="77777777" w:rsidR="00C70AE2" w:rsidRDefault="00000000">
            <w:pPr>
              <w:spacing w:after="0" w:line="240" w:lineRule="auto"/>
              <w:jc w:val="center"/>
            </w:pPr>
            <w:r>
              <w:rPr>
                <w:rFonts w:ascii="Times New Roman" w:hAnsi="Times New Roman"/>
                <w:sz w:val="15"/>
              </w:rPr>
              <w:t>Yes</w:t>
            </w:r>
          </w:p>
        </w:tc>
      </w:tr>
      <w:tr w:rsidR="00C70AE2" w14:paraId="0D0E7ADA" w14:textId="77777777">
        <w:trPr>
          <w:cantSplit/>
          <w:jc w:val="center"/>
        </w:trPr>
        <w:tc>
          <w:tcPr>
            <w:tcW w:w="3528" w:type="dxa"/>
            <w:tcBorders>
              <w:top w:val="nil"/>
              <w:left w:val="nil"/>
              <w:bottom w:val="nil"/>
              <w:right w:val="nil"/>
            </w:tcBorders>
            <w:vAlign w:val="center"/>
          </w:tcPr>
          <w:p w14:paraId="6664C5CD" w14:textId="77777777" w:rsidR="00C70AE2" w:rsidRDefault="00000000">
            <w:pPr>
              <w:spacing w:after="0" w:line="240" w:lineRule="auto"/>
            </w:pPr>
            <w:r>
              <w:rPr>
                <w:rFonts w:ascii="Times New Roman" w:hAnsi="Times New Roman"/>
                <w:sz w:val="15"/>
              </w:rPr>
              <w:t>Observations</w:t>
            </w:r>
          </w:p>
        </w:tc>
        <w:tc>
          <w:tcPr>
            <w:tcW w:w="907" w:type="dxa"/>
            <w:tcBorders>
              <w:top w:val="nil"/>
              <w:left w:val="nil"/>
              <w:bottom w:val="nil"/>
              <w:right w:val="nil"/>
            </w:tcBorders>
            <w:vAlign w:val="center"/>
          </w:tcPr>
          <w:p w14:paraId="43054242" w14:textId="77777777" w:rsidR="00C70AE2" w:rsidRDefault="00000000">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w14:paraId="3BCBB053" w14:textId="77777777" w:rsidR="00C70AE2" w:rsidRDefault="00000000">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w14:paraId="10382B89" w14:textId="77777777" w:rsidR="00C70AE2" w:rsidRDefault="00000000">
            <w:pPr>
              <w:spacing w:after="0" w:line="240" w:lineRule="auto"/>
              <w:jc w:val="center"/>
            </w:pPr>
            <w:r>
              <w:rPr>
                <w:rFonts w:ascii="Times New Roman" w:hAnsi="Times New Roman"/>
                <w:sz w:val="15"/>
              </w:rPr>
              <w:t>312</w:t>
            </w:r>
          </w:p>
        </w:tc>
        <w:tc>
          <w:tcPr>
            <w:tcW w:w="907" w:type="dxa"/>
            <w:tcBorders>
              <w:top w:val="nil"/>
              <w:left w:val="nil"/>
              <w:bottom w:val="nil"/>
              <w:right w:val="nil"/>
            </w:tcBorders>
            <w:vAlign w:val="center"/>
          </w:tcPr>
          <w:p w14:paraId="55EACFE7" w14:textId="77777777" w:rsidR="00C70AE2" w:rsidRDefault="00000000">
            <w:pPr>
              <w:spacing w:after="0" w:line="240" w:lineRule="auto"/>
              <w:jc w:val="center"/>
            </w:pPr>
            <w:r>
              <w:rPr>
                <w:rFonts w:ascii="Times New Roman" w:hAnsi="Times New Roman"/>
                <w:sz w:val="15"/>
              </w:rPr>
              <w:t>280</w:t>
            </w:r>
          </w:p>
        </w:tc>
        <w:tc>
          <w:tcPr>
            <w:tcW w:w="1080" w:type="dxa"/>
            <w:tcBorders>
              <w:top w:val="nil"/>
              <w:left w:val="nil"/>
              <w:bottom w:val="nil"/>
              <w:right w:val="nil"/>
            </w:tcBorders>
            <w:vAlign w:val="center"/>
          </w:tcPr>
          <w:p w14:paraId="2C36C668" w14:textId="77777777" w:rsidR="00C70AE2" w:rsidRDefault="00000000">
            <w:pPr>
              <w:spacing w:after="0" w:line="240" w:lineRule="auto"/>
              <w:jc w:val="center"/>
            </w:pPr>
            <w:r>
              <w:rPr>
                <w:rFonts w:ascii="Times New Roman" w:hAnsi="Times New Roman"/>
                <w:sz w:val="15"/>
              </w:rPr>
              <w:t>280</w:t>
            </w:r>
          </w:p>
        </w:tc>
        <w:tc>
          <w:tcPr>
            <w:tcW w:w="1123" w:type="dxa"/>
            <w:tcBorders>
              <w:top w:val="nil"/>
              <w:left w:val="nil"/>
              <w:bottom w:val="nil"/>
              <w:right w:val="nil"/>
            </w:tcBorders>
            <w:vAlign w:val="center"/>
          </w:tcPr>
          <w:p w14:paraId="4C66566D" w14:textId="77777777" w:rsidR="00C70AE2" w:rsidRDefault="00000000">
            <w:pPr>
              <w:spacing w:after="0" w:line="240" w:lineRule="auto"/>
              <w:jc w:val="center"/>
            </w:pPr>
            <w:r>
              <w:rPr>
                <w:rFonts w:ascii="Times New Roman" w:hAnsi="Times New Roman"/>
                <w:sz w:val="15"/>
              </w:rPr>
              <w:t>280</w:t>
            </w:r>
          </w:p>
        </w:tc>
      </w:tr>
      <w:tr w:rsidR="00C70AE2" w14:paraId="7558C5AC" w14:textId="77777777">
        <w:trPr>
          <w:cantSplit/>
          <w:jc w:val="center"/>
        </w:trPr>
        <w:tc>
          <w:tcPr>
            <w:tcW w:w="3528" w:type="dxa"/>
            <w:tcBorders>
              <w:top w:val="nil"/>
              <w:left w:val="nil"/>
              <w:bottom w:val="single" w:sz="10" w:space="0" w:color="000000"/>
              <w:right w:val="nil"/>
            </w:tcBorders>
            <w:vAlign w:val="center"/>
          </w:tcPr>
          <w:p w14:paraId="7F8BBC35" w14:textId="77777777" w:rsidR="00C70AE2" w:rsidRDefault="00000000">
            <w:pPr>
              <w:spacing w:after="0" w:line="240" w:lineRule="auto"/>
            </w:pPr>
            <w:r>
              <w:rPr>
                <w:rFonts w:ascii="Times New Roman" w:hAnsi="Times New Roman"/>
                <w:sz w:val="15"/>
              </w:rPr>
              <w:lastRenderedPageBreak/>
              <w:t>Destination clusters</w:t>
            </w:r>
          </w:p>
        </w:tc>
        <w:tc>
          <w:tcPr>
            <w:tcW w:w="907" w:type="dxa"/>
            <w:tcBorders>
              <w:top w:val="nil"/>
              <w:left w:val="nil"/>
              <w:bottom w:val="single" w:sz="10" w:space="0" w:color="000000"/>
              <w:right w:val="nil"/>
            </w:tcBorders>
            <w:vAlign w:val="center"/>
          </w:tcPr>
          <w:p w14:paraId="2EC0343E" w14: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1EA0F316" w14: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1F9A4E30" w14: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7DB64DF1" w14:textId="77777777" w:rsidR="00C70AE2" w:rsidRDefault="00000000">
            <w:pPr>
              <w:spacing w:after="0" w:line="240" w:lineRule="auto"/>
              <w:jc w:val="center"/>
            </w:pPr>
            <w:r>
              <w:rPr>
                <w:rFonts w:ascii="Times New Roman" w:hAnsi="Times New Roman"/>
                <w:sz w:val="15"/>
              </w:rPr>
              <w:t>30</w:t>
            </w:r>
          </w:p>
        </w:tc>
        <w:tc>
          <w:tcPr>
            <w:tcW w:w="1080" w:type="dxa"/>
            <w:tcBorders>
              <w:top w:val="nil"/>
              <w:left w:val="nil"/>
              <w:bottom w:val="single" w:sz="10" w:space="0" w:color="000000"/>
              <w:right w:val="nil"/>
            </w:tcBorders>
            <w:vAlign w:val="center"/>
          </w:tcPr>
          <w:p w14:paraId="55D913D4" w14:textId="77777777" w:rsidR="00C70AE2" w:rsidRDefault="00000000">
            <w:pPr>
              <w:spacing w:after="0" w:line="240" w:lineRule="auto"/>
              <w:jc w:val="center"/>
            </w:pPr>
            <w:r>
              <w:rPr>
                <w:rFonts w:ascii="Times New Roman" w:hAnsi="Times New Roman"/>
                <w:sz w:val="15"/>
              </w:rPr>
              <w:t>30</w:t>
            </w:r>
          </w:p>
        </w:tc>
        <w:tc>
          <w:tcPr>
            <w:tcW w:w="1123" w:type="dxa"/>
            <w:tcBorders>
              <w:top w:val="nil"/>
              <w:left w:val="nil"/>
              <w:bottom w:val="single" w:sz="10" w:space="0" w:color="000000"/>
              <w:right w:val="nil"/>
            </w:tcBorders>
            <w:vAlign w:val="center"/>
          </w:tcPr>
          <w:p w14:paraId="03DAA0D5" w14:textId="77777777" w:rsidR="00C70AE2" w:rsidRDefault="00000000">
            <w:pPr>
              <w:spacing w:after="0" w:line="240" w:lineRule="auto"/>
              <w:jc w:val="center"/>
            </w:pPr>
            <w:r>
              <w:rPr>
                <w:rFonts w:ascii="Times New Roman" w:hAnsi="Times New Roman"/>
                <w:sz w:val="15"/>
              </w:rPr>
              <w:t>30</w:t>
            </w:r>
          </w:p>
        </w:tc>
      </w:tr>
    </w:tbl>
    <w:p w14:paraId="69A43D76" w14:textId="77777777" w:rsidR="004854B9" w:rsidRDefault="004854B9"/>
    <w:p w14:paraId="5CD6B9F2" w14:textId="77777777" w:rsidR="004818D5" w:rsidRDefault="00000000" w:rsidP="006B2D63">
      <w:pPr>
        <w:jc w:val="both"/>
      </w:pPr>
      <w:r>
        <w:t>Table 6 note. All models include destination and year fixed effects. M0 and M1 include 2008-2019 because they do not require lagged permit scale. M2-M4 begin in 2009 because the 2008 outcome has no 2007 permit value from which to construct that control; missing unemployment further reduces the full-control sample. All columns apply the minimum current employment-permit denominator of 30. The progressive coefficients are therefore not estimated on an identical sample. In all regression tables, N denotes the observations retained after the outcome, lags, controls, and fixed effects are jointly available; G denotes destination clusters. *** p &lt; 0.01, ** p &lt; 0.05, * p &lt; 0.10.</w:t>
      </w:r>
    </w:p>
    <w:p w14:paraId="34A87033" w14:textId="77777777" w:rsidR="00961C7F" w:rsidRDefault="008A042F" w:rsidP="007D1ADB">
      <w:pPr>
        <w:jc w:val="both"/>
      </w:pPr>
      <w:r>
        <w:t>Table 6 shows that none of the aggregate coefficients reaches five-percent significance as controls are added. The thesis therefore bases its main claim on the bilateral model, where origin-year fixed effects absorb migration pressures that are lost in aggregation.</w:t>
      </w:r>
    </w:p>
    <w:p w14:paraId="3CE534F6" w14:textId="77777777" w:rsidR="00961C7F" w:rsidRDefault="008A042F">
      <w:pPr>
        <w:pStyle w:val="Heading2"/>
      </w:pPr>
      <w:r>
        <w:t>7.2 Preferred bilateral origin-year fixed-effects result</w:t>
      </w:r>
    </w:p>
    <w:p w14:paraId="402D9271" w14:textId="77777777" w:rsidR="00961C7F" w:rsidRDefault="008A042F" w:rsidP="007D1ADB">
      <w:pPr>
        <w:jc w:val="both"/>
      </w:pPr>
      <w:r>
        <w:t>The bilateral specification is the main test of the Section 3 prediction. It uses the all-migrant-worker-only cumulative measure, origin-year fixed effects, and permit-denominator weights. These choices address two weaknesses of the aggregate model: unobserved origin-side conditions and noisy shares in small permit cells.</w:t>
      </w:r>
    </w:p>
    <w:p w14:paraId="2F57C10F" w14:textId="77777777" w:rsidR="00961C7F" w:rsidRDefault="008A042F">
      <w:pPr>
        <w:keepNext/>
        <w:pageBreakBefore/>
        <w:jc w:val="center"/>
      </w:pPr>
      <w:r>
        <w:rPr>
          <w:b/>
          <w:i/>
          <w:sz w:val="18"/>
        </w:rPr>
        <w:lastRenderedPageBreak/>
        <w:t>Table 7. Preferred bilateral specification and comparison models.</w:t>
      </w:r>
    </w:p>
    <w:tbl>
      <w:tblPr>
        <w:tblW w:w="0" w:type="auto"/>
        <w:jc w:val="center"/>
        <w:tblLayout w:type="fixed"/>
        <w:tblLook w:val="04A0" w:firstRow="1" w:lastRow="0" w:firstColumn="1" w:lastColumn="0" w:noHBand="0" w:noVBand="1"/>
      </w:tblPr>
      <w:tblGrid>
        <w:gridCol w:w="3672"/>
        <w:gridCol w:w="1440"/>
        <w:gridCol w:w="1440"/>
        <w:gridCol w:w="1440"/>
        <w:gridCol w:w="1368"/>
      </w:tblGrid>
      <w:tr w:rsidR="00C70AE2" w14:paraId="79E93BBF" w14:textId="77777777">
        <w:trPr>
          <w:cantSplit/>
          <w:tblHeader/>
          <w:jc w:val="center"/>
        </w:trPr>
        <w:tc>
          <w:tcPr>
            <w:tcW w:w="3672" w:type="dxa"/>
            <w:tcBorders>
              <w:top w:val="single" w:sz="10" w:space="0" w:color="000000"/>
              <w:left w:val="nil"/>
              <w:bottom w:val="single" w:sz="8" w:space="0" w:color="000000"/>
              <w:right w:val="nil"/>
            </w:tcBorders>
            <w:shd w:val="clear" w:color="auto" w:fill="EDEDED"/>
            <w:vAlign w:val="center"/>
          </w:tcPr>
          <w:p w14:paraId="54962547" w14:textId="77777777" w:rsidR="00C70AE2" w:rsidRDefault="00C70AE2">
            <w:pPr>
              <w:spacing w:after="0" w:line="240" w:lineRule="auto"/>
            </w:pPr>
          </w:p>
        </w:tc>
        <w:tc>
          <w:tcPr>
            <w:tcW w:w="1440" w:type="dxa"/>
            <w:tcBorders>
              <w:top w:val="single" w:sz="10" w:space="0" w:color="000000"/>
              <w:left w:val="nil"/>
              <w:bottom w:val="single" w:sz="8" w:space="0" w:color="000000"/>
              <w:right w:val="nil"/>
            </w:tcBorders>
            <w:shd w:val="clear" w:color="auto" w:fill="EDEDED"/>
            <w:vAlign w:val="center"/>
          </w:tcPr>
          <w:p w14:paraId="1F2103EA" w14:textId="77777777" w:rsidR="00C70AE2" w:rsidRDefault="00000000">
            <w:pPr>
              <w:spacing w:after="0" w:line="240" w:lineRule="auto"/>
              <w:jc w:val="center"/>
            </w:pPr>
            <w:r>
              <w:rPr>
                <w:rFonts w:ascii="Times New Roman" w:hAnsi="Times New Roman"/>
                <w:b/>
                <w:sz w:val="15"/>
              </w:rPr>
              <w:t>Preferred weighted</w:t>
            </w:r>
          </w:p>
        </w:tc>
        <w:tc>
          <w:tcPr>
            <w:tcW w:w="1440" w:type="dxa"/>
            <w:tcBorders>
              <w:top w:val="single" w:sz="10" w:space="0" w:color="000000"/>
              <w:left w:val="nil"/>
              <w:bottom w:val="single" w:sz="8" w:space="0" w:color="000000"/>
              <w:right w:val="nil"/>
            </w:tcBorders>
            <w:shd w:val="clear" w:color="auto" w:fill="EDEDED"/>
            <w:vAlign w:val="center"/>
          </w:tcPr>
          <w:p w14:paraId="509FE9CB" w14:textId="77777777" w:rsidR="00C70AE2" w:rsidRDefault="00000000">
            <w:pPr>
              <w:spacing w:after="0" w:line="240" w:lineRule="auto"/>
              <w:jc w:val="center"/>
            </w:pPr>
            <w:r>
              <w:rPr>
                <w:rFonts w:ascii="Times New Roman" w:hAnsi="Times New Roman"/>
                <w:b/>
                <w:sz w:val="15"/>
              </w:rPr>
              <w:t>Unweighted comparison</w:t>
            </w:r>
          </w:p>
        </w:tc>
        <w:tc>
          <w:tcPr>
            <w:tcW w:w="1440" w:type="dxa"/>
            <w:tcBorders>
              <w:top w:val="single" w:sz="10" w:space="0" w:color="000000"/>
              <w:left w:val="nil"/>
              <w:bottom w:val="single" w:sz="8" w:space="0" w:color="000000"/>
              <w:right w:val="nil"/>
            </w:tcBorders>
            <w:shd w:val="clear" w:color="auto" w:fill="EDEDED"/>
            <w:vAlign w:val="center"/>
          </w:tcPr>
          <w:p w14:paraId="21D8FD05" w14:textId="77777777" w:rsidR="00C70AE2" w:rsidRDefault="00000000">
            <w:pPr>
              <w:spacing w:after="0" w:line="240" w:lineRule="auto"/>
              <w:jc w:val="center"/>
            </w:pPr>
            <w:r>
              <w:rPr>
                <w:rFonts w:ascii="Times New Roman" w:hAnsi="Times New Roman"/>
                <w:b/>
                <w:sz w:val="15"/>
              </w:rPr>
              <w:t>Weighted corridor FE</w:t>
            </w:r>
          </w:p>
        </w:tc>
        <w:tc>
          <w:tcPr>
            <w:tcW w:w="1368" w:type="dxa"/>
            <w:tcBorders>
              <w:top w:val="single" w:sz="10" w:space="0" w:color="000000"/>
              <w:left w:val="nil"/>
              <w:bottom w:val="single" w:sz="8" w:space="0" w:color="000000"/>
              <w:right w:val="nil"/>
            </w:tcBorders>
            <w:shd w:val="clear" w:color="auto" w:fill="EDEDED"/>
            <w:vAlign w:val="center"/>
          </w:tcPr>
          <w:p w14:paraId="1C6F6E5A" w14:textId="77777777" w:rsidR="00C70AE2" w:rsidRDefault="00000000">
            <w:pPr>
              <w:spacing w:after="0" w:line="240" w:lineRule="auto"/>
              <w:jc w:val="center"/>
            </w:pPr>
            <w:r>
              <w:rPr>
                <w:rFonts w:ascii="Times New Roman" w:hAnsi="Times New Roman"/>
                <w:b/>
                <w:sz w:val="15"/>
              </w:rPr>
              <w:t>Annual policy flow</w:t>
            </w:r>
          </w:p>
        </w:tc>
      </w:tr>
      <w:tr w:rsidR="00C70AE2" w14:paraId="5ECFAF06" w14:textId="77777777">
        <w:trPr>
          <w:cantSplit/>
          <w:jc w:val="center"/>
        </w:trPr>
        <w:tc>
          <w:tcPr>
            <w:tcW w:w="3672" w:type="dxa"/>
            <w:tcBorders>
              <w:top w:val="nil"/>
              <w:left w:val="nil"/>
              <w:bottom w:val="nil"/>
              <w:right w:val="nil"/>
            </w:tcBorders>
            <w:shd w:val="clear" w:color="auto" w:fill="F5F5F5"/>
            <w:vAlign w:val="center"/>
          </w:tcPr>
          <w:p w14:paraId="03A6126A" w14:textId="77777777" w:rsidR="00C70AE2" w:rsidRDefault="00000000">
            <w:pPr>
              <w:spacing w:after="0" w:line="240" w:lineRule="auto"/>
            </w:pPr>
            <w:r>
              <w:rPr>
                <w:rFonts w:ascii="Times New Roman" w:hAnsi="Times New Roman"/>
                <w:i/>
                <w:sz w:val="15"/>
              </w:rPr>
              <w:t>Coefficients</w:t>
            </w:r>
          </w:p>
        </w:tc>
        <w:tc>
          <w:tcPr>
            <w:tcW w:w="1440" w:type="dxa"/>
            <w:tcBorders>
              <w:top w:val="nil"/>
              <w:left w:val="nil"/>
              <w:bottom w:val="nil"/>
              <w:right w:val="nil"/>
            </w:tcBorders>
            <w:shd w:val="clear" w:color="auto" w:fill="F5F5F5"/>
            <w:vAlign w:val="center"/>
          </w:tcPr>
          <w:p w14:paraId="151D21EF"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19AB94DC"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667A76E3" w14:textId="77777777" w:rsidR="00C70AE2" w:rsidRDefault="00C70AE2">
            <w:pPr>
              <w:spacing w:after="0" w:line="240" w:lineRule="auto"/>
              <w:jc w:val="center"/>
            </w:pPr>
          </w:p>
        </w:tc>
        <w:tc>
          <w:tcPr>
            <w:tcW w:w="1368" w:type="dxa"/>
            <w:tcBorders>
              <w:top w:val="nil"/>
              <w:left w:val="nil"/>
              <w:bottom w:val="nil"/>
              <w:right w:val="nil"/>
            </w:tcBorders>
            <w:shd w:val="clear" w:color="auto" w:fill="F5F5F5"/>
            <w:vAlign w:val="center"/>
          </w:tcPr>
          <w:p w14:paraId="032FE0CC" w14:textId="77777777" w:rsidR="00C70AE2" w:rsidRDefault="00C70AE2">
            <w:pPr>
              <w:spacing w:after="0" w:line="240" w:lineRule="auto"/>
              <w:jc w:val="center"/>
            </w:pPr>
          </w:p>
        </w:tc>
      </w:tr>
      <w:tr w:rsidR="00C70AE2" w14:paraId="3AAAEDA3" w14:textId="77777777">
        <w:trPr>
          <w:cantSplit/>
          <w:jc w:val="center"/>
        </w:trPr>
        <w:tc>
          <w:tcPr>
            <w:tcW w:w="3672" w:type="dxa"/>
            <w:tcBorders>
              <w:top w:val="nil"/>
              <w:left w:val="nil"/>
              <w:bottom w:val="nil"/>
              <w:right w:val="nil"/>
            </w:tcBorders>
            <w:vAlign w:val="center"/>
          </w:tcPr>
          <w:p w14:paraId="607A6CDF" w14:textId="77777777" w:rsidR="00C70AE2" w:rsidRDefault="00000000">
            <w:pPr>
              <w:spacing w:after="0" w:line="240" w:lineRule="auto"/>
            </w:pPr>
            <w:r>
              <w:rPr>
                <w:rFonts w:ascii="Times New Roman" w:hAnsi="Times New Roman"/>
                <w:sz w:val="15"/>
              </w:rPr>
              <w:t>Lagged cumulative all-migrant-worker score</w:t>
            </w:r>
          </w:p>
        </w:tc>
        <w:tc>
          <w:tcPr>
            <w:tcW w:w="1440" w:type="dxa"/>
            <w:tcBorders>
              <w:top w:val="nil"/>
              <w:left w:val="nil"/>
              <w:bottom w:val="nil"/>
              <w:right w:val="nil"/>
            </w:tcBorders>
            <w:vAlign w:val="center"/>
          </w:tcPr>
          <w:p w14:paraId="53AF82DF" w14:textId="77777777" w:rsidR="00C70AE2" w:rsidRDefault="00000000">
            <w:pPr>
              <w:spacing w:after="0" w:line="240" w:lineRule="auto"/>
              <w:jc w:val="center"/>
            </w:pPr>
            <w:r>
              <w:rPr>
                <w:rFonts w:ascii="Times New Roman" w:hAnsi="Times New Roman"/>
                <w:b/>
                <w:sz w:val="15"/>
              </w:rPr>
              <w:t>0.006516***</w:t>
            </w:r>
          </w:p>
        </w:tc>
        <w:tc>
          <w:tcPr>
            <w:tcW w:w="1440" w:type="dxa"/>
            <w:tcBorders>
              <w:top w:val="nil"/>
              <w:left w:val="nil"/>
              <w:bottom w:val="nil"/>
              <w:right w:val="nil"/>
            </w:tcBorders>
            <w:vAlign w:val="center"/>
          </w:tcPr>
          <w:p w14:paraId="0F3C9961" w14:textId="77777777" w:rsidR="00C70AE2" w:rsidRDefault="00000000">
            <w:pPr>
              <w:spacing w:after="0" w:line="240" w:lineRule="auto"/>
              <w:jc w:val="center"/>
            </w:pPr>
            <w:r>
              <w:rPr>
                <w:rFonts w:ascii="Times New Roman" w:hAnsi="Times New Roman"/>
                <w:sz w:val="15"/>
              </w:rPr>
              <w:t>0.004587**</w:t>
            </w:r>
          </w:p>
        </w:tc>
        <w:tc>
          <w:tcPr>
            <w:tcW w:w="1440" w:type="dxa"/>
            <w:tcBorders>
              <w:top w:val="nil"/>
              <w:left w:val="nil"/>
              <w:bottom w:val="nil"/>
              <w:right w:val="nil"/>
            </w:tcBorders>
            <w:vAlign w:val="center"/>
          </w:tcPr>
          <w:p w14:paraId="22D4D517" w14:textId="77777777" w:rsidR="00C70AE2" w:rsidRDefault="00000000">
            <w:pPr>
              <w:spacing w:after="0" w:line="240" w:lineRule="auto"/>
              <w:jc w:val="center"/>
            </w:pPr>
            <w:r>
              <w:rPr>
                <w:rFonts w:ascii="Times New Roman" w:hAnsi="Times New Roman"/>
                <w:sz w:val="15"/>
              </w:rPr>
              <w:t>0.005495***</w:t>
            </w:r>
          </w:p>
        </w:tc>
        <w:tc>
          <w:tcPr>
            <w:tcW w:w="1368" w:type="dxa"/>
            <w:tcBorders>
              <w:top w:val="nil"/>
              <w:left w:val="nil"/>
              <w:bottom w:val="nil"/>
              <w:right w:val="nil"/>
            </w:tcBorders>
            <w:vAlign w:val="center"/>
          </w:tcPr>
          <w:p w14:paraId="59FF8555" w14:textId="77777777" w:rsidR="00C70AE2" w:rsidRDefault="00000000">
            <w:pPr>
              <w:spacing w:after="0" w:line="240" w:lineRule="auto"/>
              <w:jc w:val="center"/>
            </w:pPr>
            <w:r>
              <w:rPr>
                <w:rFonts w:ascii="Times New Roman" w:hAnsi="Times New Roman"/>
                <w:sz w:val="15"/>
              </w:rPr>
              <w:t>--</w:t>
            </w:r>
          </w:p>
        </w:tc>
      </w:tr>
      <w:tr w:rsidR="00C70AE2" w14:paraId="40C8756B" w14:textId="77777777">
        <w:trPr>
          <w:cantSplit/>
          <w:jc w:val="center"/>
        </w:trPr>
        <w:tc>
          <w:tcPr>
            <w:tcW w:w="3672" w:type="dxa"/>
            <w:tcBorders>
              <w:top w:val="nil"/>
              <w:left w:val="nil"/>
              <w:bottom w:val="nil"/>
              <w:right w:val="nil"/>
            </w:tcBorders>
            <w:vAlign w:val="center"/>
          </w:tcPr>
          <w:p w14:paraId="4A6B654C" w14:textId="77777777" w:rsidR="00C70AE2" w:rsidRDefault="00000000">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151A01B5" w14:textId="77777777" w:rsidR="00C70AE2" w:rsidRDefault="00000000">
            <w:pPr>
              <w:spacing w:after="0" w:line="240" w:lineRule="auto"/>
              <w:jc w:val="center"/>
            </w:pPr>
            <w:r>
              <w:rPr>
                <w:rFonts w:ascii="Times New Roman" w:hAnsi="Times New Roman"/>
                <w:sz w:val="15"/>
              </w:rPr>
              <w:t>(0.001612)</w:t>
            </w:r>
          </w:p>
        </w:tc>
        <w:tc>
          <w:tcPr>
            <w:tcW w:w="1440" w:type="dxa"/>
            <w:tcBorders>
              <w:top w:val="nil"/>
              <w:left w:val="nil"/>
              <w:bottom w:val="nil"/>
              <w:right w:val="nil"/>
            </w:tcBorders>
            <w:vAlign w:val="center"/>
          </w:tcPr>
          <w:p w14:paraId="21C04237" w14:textId="77777777" w:rsidR="00C70AE2" w:rsidRDefault="00000000">
            <w:pPr>
              <w:spacing w:after="0" w:line="240" w:lineRule="auto"/>
              <w:jc w:val="center"/>
            </w:pPr>
            <w:r>
              <w:rPr>
                <w:rFonts w:ascii="Times New Roman" w:hAnsi="Times New Roman"/>
                <w:sz w:val="15"/>
              </w:rPr>
              <w:t>(0.001850)</w:t>
            </w:r>
          </w:p>
        </w:tc>
        <w:tc>
          <w:tcPr>
            <w:tcW w:w="1440" w:type="dxa"/>
            <w:tcBorders>
              <w:top w:val="nil"/>
              <w:left w:val="nil"/>
              <w:bottom w:val="nil"/>
              <w:right w:val="nil"/>
            </w:tcBorders>
            <w:vAlign w:val="center"/>
          </w:tcPr>
          <w:p w14:paraId="67B8FA11" w14:textId="77777777" w:rsidR="00C70AE2" w:rsidRDefault="00000000">
            <w:pPr>
              <w:spacing w:after="0" w:line="240" w:lineRule="auto"/>
              <w:jc w:val="center"/>
            </w:pPr>
            <w:r>
              <w:rPr>
                <w:rFonts w:ascii="Times New Roman" w:hAnsi="Times New Roman"/>
                <w:sz w:val="15"/>
              </w:rPr>
              <w:t>(0.001565)</w:t>
            </w:r>
          </w:p>
        </w:tc>
        <w:tc>
          <w:tcPr>
            <w:tcW w:w="1368" w:type="dxa"/>
            <w:tcBorders>
              <w:top w:val="nil"/>
              <w:left w:val="nil"/>
              <w:bottom w:val="nil"/>
              <w:right w:val="nil"/>
            </w:tcBorders>
            <w:vAlign w:val="center"/>
          </w:tcPr>
          <w:p w14:paraId="3E5E3FF5" w14:textId="77777777" w:rsidR="00C70AE2" w:rsidRDefault="00000000">
            <w:pPr>
              <w:spacing w:after="0" w:line="240" w:lineRule="auto"/>
              <w:jc w:val="center"/>
            </w:pPr>
            <w:r>
              <w:rPr>
                <w:rFonts w:ascii="Times New Roman" w:hAnsi="Times New Roman"/>
                <w:sz w:val="15"/>
              </w:rPr>
              <w:t>--</w:t>
            </w:r>
          </w:p>
        </w:tc>
      </w:tr>
      <w:tr w:rsidR="00C70AE2" w14:paraId="45719B95" w14:textId="77777777">
        <w:trPr>
          <w:cantSplit/>
          <w:jc w:val="center"/>
        </w:trPr>
        <w:tc>
          <w:tcPr>
            <w:tcW w:w="3672" w:type="dxa"/>
            <w:tcBorders>
              <w:top w:val="nil"/>
              <w:left w:val="nil"/>
              <w:bottom w:val="nil"/>
              <w:right w:val="nil"/>
            </w:tcBorders>
            <w:vAlign w:val="center"/>
          </w:tcPr>
          <w:p w14:paraId="654D546C" w14:textId="77777777" w:rsidR="00C70AE2" w:rsidRDefault="00000000">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62ACA92B" w14:textId="77777777" w:rsidR="00C70AE2" w:rsidRDefault="00000000">
            <w:pPr>
              <w:spacing w:after="0" w:line="240" w:lineRule="auto"/>
              <w:jc w:val="center"/>
            </w:pPr>
            <w:r>
              <w:rPr>
                <w:rFonts w:ascii="Times New Roman" w:hAnsi="Times New Roman"/>
                <w:sz w:val="15"/>
              </w:rPr>
              <w:t>&lt;0.001</w:t>
            </w:r>
          </w:p>
        </w:tc>
        <w:tc>
          <w:tcPr>
            <w:tcW w:w="1440" w:type="dxa"/>
            <w:tcBorders>
              <w:top w:val="nil"/>
              <w:left w:val="nil"/>
              <w:bottom w:val="nil"/>
              <w:right w:val="nil"/>
            </w:tcBorders>
            <w:vAlign w:val="center"/>
          </w:tcPr>
          <w:p w14:paraId="14E2D314" w14:textId="77777777" w:rsidR="00C70AE2" w:rsidRDefault="00000000">
            <w:pPr>
              <w:spacing w:after="0" w:line="240" w:lineRule="auto"/>
              <w:jc w:val="center"/>
            </w:pPr>
            <w:r>
              <w:rPr>
                <w:rFonts w:ascii="Times New Roman" w:hAnsi="Times New Roman"/>
                <w:sz w:val="15"/>
              </w:rPr>
              <w:t>0.019</w:t>
            </w:r>
          </w:p>
        </w:tc>
        <w:tc>
          <w:tcPr>
            <w:tcW w:w="1440" w:type="dxa"/>
            <w:tcBorders>
              <w:top w:val="nil"/>
              <w:left w:val="nil"/>
              <w:bottom w:val="nil"/>
              <w:right w:val="nil"/>
            </w:tcBorders>
            <w:vAlign w:val="center"/>
          </w:tcPr>
          <w:p w14:paraId="5CC874CA" w14:textId="77777777" w:rsidR="00C70AE2" w:rsidRDefault="00000000">
            <w:pPr>
              <w:spacing w:after="0" w:line="240" w:lineRule="auto"/>
              <w:jc w:val="center"/>
            </w:pPr>
            <w:r>
              <w:rPr>
                <w:rFonts w:ascii="Times New Roman" w:hAnsi="Times New Roman"/>
                <w:sz w:val="15"/>
              </w:rPr>
              <w:t>0.0015</w:t>
            </w:r>
          </w:p>
        </w:tc>
        <w:tc>
          <w:tcPr>
            <w:tcW w:w="1368" w:type="dxa"/>
            <w:tcBorders>
              <w:top w:val="nil"/>
              <w:left w:val="nil"/>
              <w:bottom w:val="nil"/>
              <w:right w:val="nil"/>
            </w:tcBorders>
            <w:vAlign w:val="center"/>
          </w:tcPr>
          <w:p w14:paraId="11355103" w14:textId="77777777" w:rsidR="00C70AE2" w:rsidRDefault="00000000">
            <w:pPr>
              <w:spacing w:after="0" w:line="240" w:lineRule="auto"/>
              <w:jc w:val="center"/>
            </w:pPr>
            <w:r>
              <w:rPr>
                <w:rFonts w:ascii="Times New Roman" w:hAnsi="Times New Roman"/>
                <w:sz w:val="15"/>
              </w:rPr>
              <w:t>--</w:t>
            </w:r>
          </w:p>
        </w:tc>
      </w:tr>
      <w:tr w:rsidR="00C70AE2" w14:paraId="63D191EE" w14:textId="77777777">
        <w:trPr>
          <w:cantSplit/>
          <w:jc w:val="center"/>
        </w:trPr>
        <w:tc>
          <w:tcPr>
            <w:tcW w:w="3672" w:type="dxa"/>
            <w:tcBorders>
              <w:top w:val="nil"/>
              <w:left w:val="nil"/>
              <w:bottom w:val="nil"/>
              <w:right w:val="nil"/>
            </w:tcBorders>
            <w:vAlign w:val="center"/>
          </w:tcPr>
          <w:p w14:paraId="326A8583" w14:textId="77777777" w:rsidR="00C70AE2" w:rsidRDefault="00000000">
            <w:pPr>
              <w:spacing w:after="0" w:line="240" w:lineRule="auto"/>
            </w:pPr>
            <w:r>
              <w:rPr>
                <w:rFonts w:ascii="Times New Roman" w:hAnsi="Times New Roman"/>
                <w:sz w:val="15"/>
              </w:rPr>
              <w:t>Lagged annual all-migrant-worker policy flow</w:t>
            </w:r>
          </w:p>
        </w:tc>
        <w:tc>
          <w:tcPr>
            <w:tcW w:w="1440" w:type="dxa"/>
            <w:tcBorders>
              <w:top w:val="nil"/>
              <w:left w:val="nil"/>
              <w:bottom w:val="nil"/>
              <w:right w:val="nil"/>
            </w:tcBorders>
            <w:vAlign w:val="center"/>
          </w:tcPr>
          <w:p w14:paraId="3B90B906"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3A16EB21"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1C472390" w14: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702C053B" w14:textId="77777777" w:rsidR="00C70AE2" w:rsidRDefault="00000000">
            <w:pPr>
              <w:spacing w:after="0" w:line="240" w:lineRule="auto"/>
              <w:jc w:val="center"/>
            </w:pPr>
            <w:r>
              <w:rPr>
                <w:rFonts w:ascii="Times New Roman" w:hAnsi="Times New Roman"/>
                <w:sz w:val="15"/>
              </w:rPr>
              <w:t>0.000407</w:t>
            </w:r>
          </w:p>
        </w:tc>
      </w:tr>
      <w:tr w:rsidR="00C70AE2" w14:paraId="05B6EB42" w14:textId="77777777">
        <w:trPr>
          <w:cantSplit/>
          <w:jc w:val="center"/>
        </w:trPr>
        <w:tc>
          <w:tcPr>
            <w:tcW w:w="3672" w:type="dxa"/>
            <w:tcBorders>
              <w:top w:val="nil"/>
              <w:left w:val="nil"/>
              <w:bottom w:val="nil"/>
              <w:right w:val="nil"/>
            </w:tcBorders>
            <w:vAlign w:val="center"/>
          </w:tcPr>
          <w:p w14:paraId="79D84E12" w14:textId="77777777" w:rsidR="00C70AE2" w:rsidRDefault="00000000">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7A37F6FB"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500AF158"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4ED9A80A" w14: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0F107721" w14:textId="77777777" w:rsidR="00C70AE2" w:rsidRDefault="00000000">
            <w:pPr>
              <w:spacing w:after="0" w:line="240" w:lineRule="auto"/>
              <w:jc w:val="center"/>
            </w:pPr>
            <w:r>
              <w:rPr>
                <w:rFonts w:ascii="Times New Roman" w:hAnsi="Times New Roman"/>
                <w:sz w:val="15"/>
              </w:rPr>
              <w:t>(0.001935)</w:t>
            </w:r>
          </w:p>
        </w:tc>
      </w:tr>
      <w:tr w:rsidR="00C70AE2" w14:paraId="7E8EBA1B" w14:textId="77777777">
        <w:trPr>
          <w:cantSplit/>
          <w:jc w:val="center"/>
        </w:trPr>
        <w:tc>
          <w:tcPr>
            <w:tcW w:w="3672" w:type="dxa"/>
            <w:tcBorders>
              <w:top w:val="nil"/>
              <w:left w:val="nil"/>
              <w:bottom w:val="nil"/>
              <w:right w:val="nil"/>
            </w:tcBorders>
            <w:vAlign w:val="center"/>
          </w:tcPr>
          <w:p w14:paraId="556BF447" w14:textId="77777777" w:rsidR="00C70AE2" w:rsidRDefault="00000000">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29873591"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431EB31F"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0BCA95FD" w14: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75E8C9B2" w14:textId="77777777" w:rsidR="00C70AE2" w:rsidRDefault="00000000">
            <w:pPr>
              <w:spacing w:after="0" w:line="240" w:lineRule="auto"/>
              <w:jc w:val="center"/>
            </w:pPr>
            <w:r>
              <w:rPr>
                <w:rFonts w:ascii="Times New Roman" w:hAnsi="Times New Roman"/>
                <w:sz w:val="15"/>
              </w:rPr>
              <w:t>0.835</w:t>
            </w:r>
          </w:p>
        </w:tc>
      </w:tr>
      <w:tr w:rsidR="00C70AE2" w14:paraId="7A8E7230" w14:textId="77777777">
        <w:trPr>
          <w:cantSplit/>
          <w:jc w:val="center"/>
        </w:trPr>
        <w:tc>
          <w:tcPr>
            <w:tcW w:w="3672" w:type="dxa"/>
            <w:tcBorders>
              <w:top w:val="nil"/>
              <w:left w:val="nil"/>
              <w:bottom w:val="nil"/>
              <w:right w:val="nil"/>
            </w:tcBorders>
            <w:shd w:val="clear" w:color="auto" w:fill="F5F5F5"/>
            <w:vAlign w:val="center"/>
          </w:tcPr>
          <w:p w14:paraId="4486952B" w14:textId="77777777" w:rsidR="00C70AE2" w:rsidRDefault="00000000">
            <w:pPr>
              <w:spacing w:after="0" w:line="240" w:lineRule="auto"/>
            </w:pPr>
            <w:r>
              <w:rPr>
                <w:rFonts w:ascii="Times New Roman" w:hAnsi="Times New Roman"/>
                <w:i/>
                <w:sz w:val="15"/>
              </w:rPr>
              <w:t>Specification</w:t>
            </w:r>
          </w:p>
        </w:tc>
        <w:tc>
          <w:tcPr>
            <w:tcW w:w="1440" w:type="dxa"/>
            <w:tcBorders>
              <w:top w:val="nil"/>
              <w:left w:val="nil"/>
              <w:bottom w:val="nil"/>
              <w:right w:val="nil"/>
            </w:tcBorders>
            <w:shd w:val="clear" w:color="auto" w:fill="F5F5F5"/>
            <w:vAlign w:val="center"/>
          </w:tcPr>
          <w:p w14:paraId="7A157A18"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24F9E501"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21D31BA0" w14:textId="77777777" w:rsidR="00C70AE2" w:rsidRDefault="00C70AE2">
            <w:pPr>
              <w:spacing w:after="0" w:line="240" w:lineRule="auto"/>
              <w:jc w:val="center"/>
            </w:pPr>
          </w:p>
        </w:tc>
        <w:tc>
          <w:tcPr>
            <w:tcW w:w="1368" w:type="dxa"/>
            <w:tcBorders>
              <w:top w:val="nil"/>
              <w:left w:val="nil"/>
              <w:bottom w:val="nil"/>
              <w:right w:val="nil"/>
            </w:tcBorders>
            <w:shd w:val="clear" w:color="auto" w:fill="F5F5F5"/>
            <w:vAlign w:val="center"/>
          </w:tcPr>
          <w:p w14:paraId="3AD78ECF" w14:textId="77777777" w:rsidR="00C70AE2" w:rsidRDefault="00C70AE2">
            <w:pPr>
              <w:spacing w:after="0" w:line="240" w:lineRule="auto"/>
              <w:jc w:val="center"/>
            </w:pPr>
          </w:p>
        </w:tc>
      </w:tr>
      <w:tr w:rsidR="00C70AE2" w14:paraId="63F4F039" w14:textId="77777777">
        <w:trPr>
          <w:cantSplit/>
          <w:jc w:val="center"/>
        </w:trPr>
        <w:tc>
          <w:tcPr>
            <w:tcW w:w="3672" w:type="dxa"/>
            <w:tcBorders>
              <w:top w:val="nil"/>
              <w:left w:val="nil"/>
              <w:bottom w:val="nil"/>
              <w:right w:val="nil"/>
            </w:tcBorders>
            <w:vAlign w:val="center"/>
          </w:tcPr>
          <w:p w14:paraId="45BF9738" w14:textId="77777777" w:rsidR="00C70AE2" w:rsidRDefault="00000000">
            <w:pPr>
              <w:spacing w:after="0" w:line="240" w:lineRule="auto"/>
            </w:pPr>
            <w:r>
              <w:rPr>
                <w:rFonts w:ascii="Times New Roman" w:hAnsi="Times New Roman"/>
                <w:sz w:val="15"/>
              </w:rPr>
              <w:t>Skill-target policy paths</w:t>
            </w:r>
          </w:p>
        </w:tc>
        <w:tc>
          <w:tcPr>
            <w:tcW w:w="1440" w:type="dxa"/>
            <w:tcBorders>
              <w:top w:val="nil"/>
              <w:left w:val="nil"/>
              <w:bottom w:val="nil"/>
              <w:right w:val="nil"/>
            </w:tcBorders>
            <w:vAlign w:val="center"/>
          </w:tcPr>
          <w:p w14:paraId="62191BE1" w14:textId="77777777" w:rsidR="00C70AE2" w:rsidRDefault="00000000">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784F6D16" w14:textId="77777777" w:rsidR="00C70AE2" w:rsidRDefault="00000000">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1A18E9D8" w14:textId="77777777" w:rsidR="00C70AE2" w:rsidRDefault="00000000">
            <w:pPr>
              <w:spacing w:after="0" w:line="240" w:lineRule="auto"/>
              <w:jc w:val="center"/>
            </w:pPr>
            <w:r>
              <w:rPr>
                <w:rFonts w:ascii="Times New Roman" w:hAnsi="Times New Roman"/>
                <w:sz w:val="15"/>
              </w:rPr>
              <w:t>Cumulative</w:t>
            </w:r>
          </w:p>
        </w:tc>
        <w:tc>
          <w:tcPr>
            <w:tcW w:w="1368" w:type="dxa"/>
            <w:tcBorders>
              <w:top w:val="nil"/>
              <w:left w:val="nil"/>
              <w:bottom w:val="nil"/>
              <w:right w:val="nil"/>
            </w:tcBorders>
            <w:vAlign w:val="center"/>
          </w:tcPr>
          <w:p w14:paraId="48CFB8E4" w14:textId="77777777" w:rsidR="00C70AE2" w:rsidRDefault="00000000">
            <w:pPr>
              <w:spacing w:after="0" w:line="240" w:lineRule="auto"/>
              <w:jc w:val="center"/>
            </w:pPr>
            <w:r>
              <w:rPr>
                <w:rFonts w:ascii="Times New Roman" w:hAnsi="Times New Roman"/>
                <w:sz w:val="15"/>
              </w:rPr>
              <w:t>Annual</w:t>
            </w:r>
          </w:p>
        </w:tc>
      </w:tr>
      <w:tr w:rsidR="00C70AE2" w14:paraId="492E5481" w14:textId="77777777">
        <w:trPr>
          <w:cantSplit/>
          <w:jc w:val="center"/>
        </w:trPr>
        <w:tc>
          <w:tcPr>
            <w:tcW w:w="3672" w:type="dxa"/>
            <w:tcBorders>
              <w:top w:val="nil"/>
              <w:left w:val="nil"/>
              <w:bottom w:val="nil"/>
              <w:right w:val="nil"/>
            </w:tcBorders>
            <w:vAlign w:val="center"/>
          </w:tcPr>
          <w:p w14:paraId="46B09C0A" w14:textId="77777777" w:rsidR="00C70AE2" w:rsidRDefault="00000000">
            <w:pPr>
              <w:spacing w:after="0" w:line="240" w:lineRule="auto"/>
            </w:pPr>
            <w:r>
              <w:rPr>
                <w:rFonts w:ascii="Times New Roman" w:hAnsi="Times New Roman"/>
                <w:sz w:val="15"/>
              </w:rPr>
              <w:t>Permit-denominator weights</w:t>
            </w:r>
          </w:p>
        </w:tc>
        <w:tc>
          <w:tcPr>
            <w:tcW w:w="1440" w:type="dxa"/>
            <w:tcBorders>
              <w:top w:val="nil"/>
              <w:left w:val="nil"/>
              <w:bottom w:val="nil"/>
              <w:right w:val="nil"/>
            </w:tcBorders>
            <w:vAlign w:val="center"/>
          </w:tcPr>
          <w:p w14:paraId="005F039A" w14: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5819E7DC" w14: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74E0D69C" w14:textId="77777777" w:rsidR="00C70AE2" w:rsidRDefault="00000000">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70961847" w14:textId="77777777" w:rsidR="00C70AE2" w:rsidRDefault="00000000">
            <w:pPr>
              <w:spacing w:after="0" w:line="240" w:lineRule="auto"/>
              <w:jc w:val="center"/>
            </w:pPr>
            <w:r>
              <w:rPr>
                <w:rFonts w:ascii="Times New Roman" w:hAnsi="Times New Roman"/>
                <w:sz w:val="15"/>
              </w:rPr>
              <w:t>No</w:t>
            </w:r>
          </w:p>
        </w:tc>
      </w:tr>
      <w:tr w:rsidR="00C70AE2" w14:paraId="2FDF679C" w14:textId="77777777">
        <w:trPr>
          <w:cantSplit/>
          <w:jc w:val="center"/>
        </w:trPr>
        <w:tc>
          <w:tcPr>
            <w:tcW w:w="3672" w:type="dxa"/>
            <w:tcBorders>
              <w:top w:val="nil"/>
              <w:left w:val="nil"/>
              <w:bottom w:val="nil"/>
              <w:right w:val="nil"/>
            </w:tcBorders>
            <w:vAlign w:val="center"/>
          </w:tcPr>
          <w:p w14:paraId="116CA452" w14:textId="77777777" w:rsidR="00C70AE2" w:rsidRDefault="00000000">
            <w:pPr>
              <w:spacing w:after="0" w:line="240" w:lineRule="auto"/>
            </w:pPr>
            <w:r>
              <w:rPr>
                <w:rFonts w:ascii="Times New Roman" w:hAnsi="Times New Roman"/>
                <w:sz w:val="15"/>
              </w:rPr>
              <w:t>Destination fixed effects</w:t>
            </w:r>
          </w:p>
        </w:tc>
        <w:tc>
          <w:tcPr>
            <w:tcW w:w="1440" w:type="dxa"/>
            <w:tcBorders>
              <w:top w:val="nil"/>
              <w:left w:val="nil"/>
              <w:bottom w:val="nil"/>
              <w:right w:val="nil"/>
            </w:tcBorders>
            <w:vAlign w:val="center"/>
          </w:tcPr>
          <w:p w14:paraId="0FE88DE5" w14: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67985531" w14: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5A09322F" w14:textId="77777777" w:rsidR="00C70AE2" w:rsidRDefault="00000000">
            <w:pPr>
              <w:spacing w:after="0" w:line="240" w:lineRule="auto"/>
              <w:jc w:val="center"/>
            </w:pPr>
            <w:r>
              <w:rPr>
                <w:rFonts w:ascii="Times New Roman" w:hAnsi="Times New Roman"/>
                <w:sz w:val="15"/>
              </w:rPr>
              <w:t>No</w:t>
            </w:r>
          </w:p>
        </w:tc>
        <w:tc>
          <w:tcPr>
            <w:tcW w:w="1368" w:type="dxa"/>
            <w:tcBorders>
              <w:top w:val="nil"/>
              <w:left w:val="nil"/>
              <w:bottom w:val="nil"/>
              <w:right w:val="nil"/>
            </w:tcBorders>
            <w:vAlign w:val="center"/>
          </w:tcPr>
          <w:p w14:paraId="2DD718CE" w14:textId="77777777" w:rsidR="00C70AE2" w:rsidRDefault="00000000">
            <w:pPr>
              <w:spacing w:after="0" w:line="240" w:lineRule="auto"/>
              <w:jc w:val="center"/>
            </w:pPr>
            <w:r>
              <w:rPr>
                <w:rFonts w:ascii="Times New Roman" w:hAnsi="Times New Roman"/>
                <w:sz w:val="15"/>
              </w:rPr>
              <w:t>Yes</w:t>
            </w:r>
          </w:p>
        </w:tc>
      </w:tr>
      <w:tr w:rsidR="00C70AE2" w14:paraId="1D43C674" w14:textId="77777777">
        <w:trPr>
          <w:cantSplit/>
          <w:jc w:val="center"/>
        </w:trPr>
        <w:tc>
          <w:tcPr>
            <w:tcW w:w="3672" w:type="dxa"/>
            <w:tcBorders>
              <w:top w:val="nil"/>
              <w:left w:val="nil"/>
              <w:bottom w:val="nil"/>
              <w:right w:val="nil"/>
            </w:tcBorders>
            <w:vAlign w:val="center"/>
          </w:tcPr>
          <w:p w14:paraId="28969E2B" w14:textId="77777777" w:rsidR="00C70AE2" w:rsidRDefault="00000000">
            <w:pPr>
              <w:spacing w:after="0" w:line="240" w:lineRule="auto"/>
            </w:pPr>
            <w:r>
              <w:rPr>
                <w:rFonts w:ascii="Times New Roman" w:hAnsi="Times New Roman"/>
                <w:sz w:val="15"/>
              </w:rPr>
              <w:t>Origin-destination corridor fixed effects</w:t>
            </w:r>
          </w:p>
        </w:tc>
        <w:tc>
          <w:tcPr>
            <w:tcW w:w="1440" w:type="dxa"/>
            <w:tcBorders>
              <w:top w:val="nil"/>
              <w:left w:val="nil"/>
              <w:bottom w:val="nil"/>
              <w:right w:val="nil"/>
            </w:tcBorders>
            <w:vAlign w:val="center"/>
          </w:tcPr>
          <w:p w14:paraId="353EB0F0" w14: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4116AE72" w14: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1E2F1B4A" w14:textId="77777777" w:rsidR="00C70AE2" w:rsidRDefault="00000000">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1036B17D" w14:textId="77777777" w:rsidR="00C70AE2" w:rsidRDefault="00000000">
            <w:pPr>
              <w:spacing w:after="0" w:line="240" w:lineRule="auto"/>
              <w:jc w:val="center"/>
            </w:pPr>
            <w:r>
              <w:rPr>
                <w:rFonts w:ascii="Times New Roman" w:hAnsi="Times New Roman"/>
                <w:sz w:val="15"/>
              </w:rPr>
              <w:t>No</w:t>
            </w:r>
          </w:p>
        </w:tc>
      </w:tr>
      <w:tr w:rsidR="00C70AE2" w14:paraId="5B75A731" w14:textId="77777777">
        <w:trPr>
          <w:cantSplit/>
          <w:jc w:val="center"/>
        </w:trPr>
        <w:tc>
          <w:tcPr>
            <w:tcW w:w="3672" w:type="dxa"/>
            <w:tcBorders>
              <w:top w:val="nil"/>
              <w:left w:val="nil"/>
              <w:bottom w:val="nil"/>
              <w:right w:val="nil"/>
            </w:tcBorders>
            <w:vAlign w:val="center"/>
          </w:tcPr>
          <w:p w14:paraId="4C2112E7" w14:textId="77777777" w:rsidR="00C70AE2" w:rsidRDefault="00000000">
            <w:pPr>
              <w:spacing w:after="0" w:line="240" w:lineRule="auto"/>
            </w:pPr>
            <w:r>
              <w:rPr>
                <w:rFonts w:ascii="Times New Roman" w:hAnsi="Times New Roman"/>
                <w:sz w:val="15"/>
              </w:rPr>
              <w:t>Observations</w:t>
            </w:r>
          </w:p>
        </w:tc>
        <w:tc>
          <w:tcPr>
            <w:tcW w:w="1440" w:type="dxa"/>
            <w:tcBorders>
              <w:top w:val="nil"/>
              <w:left w:val="nil"/>
              <w:bottom w:val="nil"/>
              <w:right w:val="nil"/>
            </w:tcBorders>
            <w:vAlign w:val="center"/>
          </w:tcPr>
          <w:p w14:paraId="2BDEFBB0" w14:textId="77777777" w:rsidR="00C70AE2" w:rsidRDefault="00000000">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w14:paraId="246A6BA0" w14:textId="77777777" w:rsidR="00C70AE2" w:rsidRDefault="00000000">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w14:paraId="21AFA70D" w14:textId="77777777" w:rsidR="00C70AE2" w:rsidRDefault="00000000">
            <w:pPr>
              <w:spacing w:after="0" w:line="240" w:lineRule="auto"/>
              <w:jc w:val="center"/>
            </w:pPr>
            <w:r>
              <w:rPr>
                <w:rFonts w:ascii="Times New Roman" w:hAnsi="Times New Roman"/>
                <w:sz w:val="15"/>
              </w:rPr>
              <w:t>5,608</w:t>
            </w:r>
          </w:p>
        </w:tc>
        <w:tc>
          <w:tcPr>
            <w:tcW w:w="1368" w:type="dxa"/>
            <w:tcBorders>
              <w:top w:val="nil"/>
              <w:left w:val="nil"/>
              <w:bottom w:val="nil"/>
              <w:right w:val="nil"/>
            </w:tcBorders>
            <w:vAlign w:val="center"/>
          </w:tcPr>
          <w:p w14:paraId="6AA873F6" w14:textId="77777777" w:rsidR="00C70AE2" w:rsidRDefault="00000000">
            <w:pPr>
              <w:spacing w:after="0" w:line="240" w:lineRule="auto"/>
              <w:jc w:val="center"/>
            </w:pPr>
            <w:r>
              <w:rPr>
                <w:rFonts w:ascii="Times New Roman" w:hAnsi="Times New Roman"/>
                <w:sz w:val="15"/>
              </w:rPr>
              <w:t>5,608</w:t>
            </w:r>
          </w:p>
        </w:tc>
      </w:tr>
      <w:tr w:rsidR="00C70AE2" w14:paraId="5BB6FFE8" w14:textId="77777777">
        <w:trPr>
          <w:cantSplit/>
          <w:jc w:val="center"/>
        </w:trPr>
        <w:tc>
          <w:tcPr>
            <w:tcW w:w="3672" w:type="dxa"/>
            <w:tcBorders>
              <w:top w:val="nil"/>
              <w:left w:val="nil"/>
              <w:bottom w:val="single" w:sz="10" w:space="0" w:color="000000"/>
              <w:right w:val="nil"/>
            </w:tcBorders>
            <w:vAlign w:val="center"/>
          </w:tcPr>
          <w:p w14:paraId="4B9BE22F" w14:textId="77777777" w:rsidR="00C70AE2" w:rsidRDefault="00000000">
            <w:pPr>
              <w:spacing w:after="0" w:line="240" w:lineRule="auto"/>
            </w:pPr>
            <w:r>
              <w:rPr>
                <w:rFonts w:ascii="Times New Roman" w:hAnsi="Times New Roman"/>
                <w:sz w:val="15"/>
              </w:rPr>
              <w:t>Destination clusters</w:t>
            </w:r>
          </w:p>
        </w:tc>
        <w:tc>
          <w:tcPr>
            <w:tcW w:w="1440" w:type="dxa"/>
            <w:tcBorders>
              <w:top w:val="nil"/>
              <w:left w:val="nil"/>
              <w:bottom w:val="single" w:sz="10" w:space="0" w:color="000000"/>
              <w:right w:val="nil"/>
            </w:tcBorders>
            <w:vAlign w:val="center"/>
          </w:tcPr>
          <w:p w14:paraId="364107AE" w14:textId="77777777" w:rsidR="00C70AE2" w:rsidRDefault="00000000">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77D0798C" w14:textId="77777777" w:rsidR="00C70AE2" w:rsidRDefault="00000000">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13D3D9D0" w14:textId="77777777" w:rsidR="00C70AE2" w:rsidRDefault="00000000">
            <w:pPr>
              <w:spacing w:after="0" w:line="240" w:lineRule="auto"/>
              <w:jc w:val="center"/>
            </w:pPr>
            <w:r>
              <w:rPr>
                <w:rFonts w:ascii="Times New Roman" w:hAnsi="Times New Roman"/>
                <w:sz w:val="15"/>
              </w:rPr>
              <w:t>30</w:t>
            </w:r>
          </w:p>
        </w:tc>
        <w:tc>
          <w:tcPr>
            <w:tcW w:w="1368" w:type="dxa"/>
            <w:tcBorders>
              <w:top w:val="nil"/>
              <w:left w:val="nil"/>
              <w:bottom w:val="single" w:sz="10" w:space="0" w:color="000000"/>
              <w:right w:val="nil"/>
            </w:tcBorders>
            <w:vAlign w:val="center"/>
          </w:tcPr>
          <w:p w14:paraId="4157ADE5" w14:textId="77777777" w:rsidR="00C70AE2" w:rsidRDefault="00000000">
            <w:pPr>
              <w:spacing w:after="0" w:line="240" w:lineRule="auto"/>
              <w:jc w:val="center"/>
            </w:pPr>
            <w:r>
              <w:rPr>
                <w:rFonts w:ascii="Times New Roman" w:hAnsi="Times New Roman"/>
                <w:sz w:val="15"/>
              </w:rPr>
              <w:t>30</w:t>
            </w:r>
          </w:p>
        </w:tc>
      </w:tr>
    </w:tbl>
    <w:p w14:paraId="16845FB2" w14:textId="77777777" w:rsidR="004854B9" w:rsidRDefault="004854B9"/>
    <w:p w14:paraId="6F57DF2B" w14:textId="77777777" w:rsidR="004818D5" w:rsidRDefault="00000000" w:rsidP="006B2D63">
      <w:pPr>
        <w:jc w:val="both"/>
      </w:pPr>
      <w:r>
        <w:t>Table 7 note. Outcome: bilateral high-skilled share of employment-related permits. All models include origin-year fixed effects, lagged bilateral permit scale, lagged destination unemployment, lagged destination GDP growth, and the corresponding high- and low-skill policy paths; standard errors cluster by destination. The preferred, unweighted, and annual-flow models use destination fixed effects, while the corridor model replaces them with origin-destination fixed effects. The preferred and corridor models use employment-permit-denominator weights. All columns retain cells with at least 30 current employment permits.</w:t>
      </w:r>
    </w:p>
    <w:p w14:paraId="1919549B" w14:textId="77777777" w:rsidR="008F026E" w:rsidRDefault="00000000">
      <w:pPr>
        <w:jc w:val="both"/>
      </w:pPr>
      <w:r>
        <w:t>The preferred weighted coefficient is β = 0.006516 with cluster-robust SE = 0.001612 (t = 4.04, p &lt; 0.001, N = 5,608 origin-destination-year cells across G = 30 destinations). The wild-cluster bootstrap p-value is 0.007, so the result remains significant after the few-cluster correction. A one-unit increase in lagged cumulative net policy change for all-migrant-worker reforms is associated with a 0.65-percentage-point increase in HSRate, conditional on the full set of fixed effects and controls listed in the Table 7 notes. The high-skilled policy control is imprecisely estimated (β = 0.001423, p = 0.446). The low-skilled policy control is negative and marginal at ten percent (β = -0.008571, p = 0.085), so it is not treated as main evidence.</w:t>
      </w:r>
    </w:p>
    <w:p w14:paraId="7BCF8C02" w14:textId="77777777" w:rsidR="008F026E" w:rsidRDefault="00000000">
      <w:pPr>
        <w:jc w:val="both"/>
      </w:pPr>
      <w:r>
        <w:t>Scaling the estimate by event magnitude makes its size easier to interpret. A Mid-level restrictive reform contributes three cumulative units, corresponding to a 1.95-percentage-point higher HSRate the following year. A Major reform contributes four units, corresponding to 2.61 percentage points. Relative to the bilateral-sample mean HSRate of 21.0 percent, the Major-reform calculation is about 12.4 percent of the mean. The comparable full-control aggregate coefficient is smaller and imprecise (β = 0.002296, p = 0.243); its four-unit calculation is about 0.92 percentage points and is not statistically distinguishable from zero.</w:t>
      </w:r>
    </w:p>
    <w:p w14:paraId="643B106D" w14:textId="77777777" w:rsidR="008F026E" w:rsidRDefault="00000000">
      <w:pPr>
        <w:jc w:val="both"/>
      </w:pPr>
      <w:r>
        <w:t xml:space="preserve">The alternative bilateral models clarify which design choices matter. The unweighted controlled estimate remains positive (β = 0.004587, SE = 0.001850, p = 0.019), but its wild-cluster bootstrap </w:t>
      </w:r>
      <w:r>
        <w:lastRenderedPageBreak/>
        <w:t>p-value is 0.079. After the few-cluster correction, the strongest evidence therefore comes from the denominator-weighted estimator chosen in advance. The weighted corridor-fixed-effects estimate is also positive and significant (β = 0.005495, SE = 0.001565, p = 0.0015; bootstrap p = 0.0045), so the retained-sample result does not depend only on stable corridor differences.</w:t>
      </w:r>
    </w:p>
    <w:p w14:paraId="48F20E6C" w14:textId="77777777" w:rsidR="008F026E" w:rsidRDefault="00000000">
      <w:pPr>
        <w:jc w:val="both"/>
      </w:pPr>
      <w:r>
        <w:t>Section 8 shows that the weighted result also survives removal of the EMP &gt;= 30 cutoff, although the unweighted no-cutoff estimate is imprecise. By contrast, the bilateral annual policy-flow coefficient is not significant (β = 0.000407, p = 0.835). The preferred finding is therefore a cumulative net-policy-change association, not evidence of a short-run response to newly adopted annual events.</w:t>
      </w:r>
    </w:p>
    <w:p w14:paraId="0920237F" w14:textId="77777777" w:rsidR="00961C7F" w:rsidRDefault="008A042F">
      <w:pPr>
        <w:pStyle w:val="Heading2"/>
      </w:pPr>
      <w:r>
        <w:t>7.3 Interpretation of the significant and non-significant findings</w:t>
      </w:r>
    </w:p>
    <w:p w14:paraId="30FE85F2" w14:textId="77777777" w:rsidR="008F026E" w:rsidRDefault="00000000">
      <w:r>
        <w:t>The results show a positive composition association and a positive measured high-skilled permit count, but no statistically detectable change in the bilateral total employment-permit count. In the preferred model, the cumulative net policy-change measure is positively associated with the high-skilled share (β = 0.006516, p &lt; 0.001, N = 5,608; bootstrap p = 0.007), consistent with the Section 3 prediction, while the aggregate cumulative and annual-flow share models are not significant. In the bilateral PPML comparison, the measured high-skilled count is positive and significant while the total employment-permit count is not, pointing to a change in composition within the retained corridors rather than a proven increase in overall permit volume.</w:t>
      </w:r>
    </w:p>
    <w:p w14:paraId="2F656158" w14:textId="77777777" w:rsidR="00C70AE2" w:rsidRDefault="00000000">
      <w:pPr>
        <w:keepNext/>
        <w:pageBreakBefore/>
        <w:jc w:val="center"/>
      </w:pPr>
      <w:r>
        <w:lastRenderedPageBreak/>
        <w:t>Table 8. PPML estimates for bilateral permit-count outcomes.</w:t>
      </w:r>
    </w:p>
    <w:tbl>
      <w:tblPr>
        <w:tblW w:w="0" w:type="auto"/>
        <w:jc w:val="center"/>
        <w:tblLayout w:type="fixed"/>
        <w:tblLook w:val="04A0" w:firstRow="1" w:lastRow="0" w:firstColumn="1" w:lastColumn="0" w:noHBand="0" w:noVBand="1"/>
      </w:tblPr>
      <w:tblGrid>
        <w:gridCol w:w="5112"/>
        <w:gridCol w:w="2088"/>
        <w:gridCol w:w="2160"/>
      </w:tblGrid>
      <w:tr w:rsidR="00C70AE2" w14:paraId="4FDCCA37" w14:textId="77777777">
        <w:trPr>
          <w:cantSplit/>
          <w:tblHeader/>
          <w:jc w:val="center"/>
        </w:trPr>
        <w:tc>
          <w:tcPr>
            <w:tcW w:w="5112" w:type="dxa"/>
            <w:tcBorders>
              <w:top w:val="single" w:sz="10" w:space="0" w:color="000000"/>
              <w:left w:val="nil"/>
              <w:bottom w:val="single" w:sz="8" w:space="0" w:color="000000"/>
              <w:right w:val="nil"/>
            </w:tcBorders>
            <w:shd w:val="clear" w:color="auto" w:fill="EDEDED"/>
            <w:vAlign w:val="center"/>
          </w:tcPr>
          <w:p w14:paraId="5F542AEF" w14:textId="77777777" w:rsidR="00C70AE2" w:rsidRDefault="00C70AE2">
            <w:pPr>
              <w:spacing w:after="0" w:line="240" w:lineRule="auto"/>
            </w:pPr>
          </w:p>
        </w:tc>
        <w:tc>
          <w:tcPr>
            <w:tcW w:w="2088" w:type="dxa"/>
            <w:tcBorders>
              <w:top w:val="single" w:sz="10" w:space="0" w:color="000000"/>
              <w:left w:val="nil"/>
              <w:bottom w:val="single" w:sz="8" w:space="0" w:color="000000"/>
              <w:right w:val="nil"/>
            </w:tcBorders>
            <w:shd w:val="clear" w:color="auto" w:fill="EDEDED"/>
            <w:vAlign w:val="center"/>
          </w:tcPr>
          <w:p w14:paraId="3AFFF4FB" w14:textId="77777777" w:rsidR="00C70AE2" w:rsidRDefault="00000000">
            <w:pPr>
              <w:spacing w:after="0" w:line="240" w:lineRule="auto"/>
              <w:jc w:val="center"/>
            </w:pPr>
            <w:r>
              <w:rPr>
                <w:rFonts w:ascii="Times New Roman" w:hAnsi="Times New Roman"/>
                <w:b/>
                <w:sz w:val="17"/>
              </w:rPr>
              <w:t>(1) High-skilled permit count</w:t>
            </w:r>
          </w:p>
        </w:tc>
        <w:tc>
          <w:tcPr>
            <w:tcW w:w="2160" w:type="dxa"/>
            <w:tcBorders>
              <w:top w:val="single" w:sz="10" w:space="0" w:color="000000"/>
              <w:left w:val="nil"/>
              <w:bottom w:val="single" w:sz="8" w:space="0" w:color="000000"/>
              <w:right w:val="nil"/>
            </w:tcBorders>
            <w:shd w:val="clear" w:color="auto" w:fill="EDEDED"/>
            <w:vAlign w:val="center"/>
          </w:tcPr>
          <w:p w14:paraId="08661914" w14:textId="77777777" w:rsidR="00C70AE2" w:rsidRDefault="00000000">
            <w:pPr>
              <w:spacing w:after="0" w:line="240" w:lineRule="auto"/>
              <w:jc w:val="center"/>
            </w:pPr>
            <w:r>
              <w:rPr>
                <w:rFonts w:ascii="Times New Roman" w:hAnsi="Times New Roman"/>
                <w:b/>
                <w:sz w:val="17"/>
              </w:rPr>
              <w:t>(2) Total employment-permit count</w:t>
            </w:r>
          </w:p>
        </w:tc>
      </w:tr>
      <w:tr w:rsidR="00C70AE2" w14:paraId="296C9612" w14:textId="77777777">
        <w:trPr>
          <w:cantSplit/>
          <w:jc w:val="center"/>
        </w:trPr>
        <w:tc>
          <w:tcPr>
            <w:tcW w:w="5112" w:type="dxa"/>
            <w:tcBorders>
              <w:top w:val="nil"/>
              <w:left w:val="nil"/>
              <w:bottom w:val="nil"/>
              <w:right w:val="nil"/>
            </w:tcBorders>
            <w:shd w:val="clear" w:color="auto" w:fill="F5F5F5"/>
            <w:vAlign w:val="center"/>
          </w:tcPr>
          <w:p w14:paraId="6446716D" w14:textId="77777777" w:rsidR="00C70AE2" w:rsidRDefault="00000000">
            <w:pPr>
              <w:spacing w:after="0" w:line="240" w:lineRule="auto"/>
            </w:pPr>
            <w:r>
              <w:rPr>
                <w:rFonts w:ascii="Times New Roman" w:hAnsi="Times New Roman"/>
                <w:i/>
                <w:sz w:val="17"/>
              </w:rPr>
              <w:t>Policy coefficient</w:t>
            </w:r>
          </w:p>
        </w:tc>
        <w:tc>
          <w:tcPr>
            <w:tcW w:w="2088" w:type="dxa"/>
            <w:tcBorders>
              <w:top w:val="nil"/>
              <w:left w:val="nil"/>
              <w:bottom w:val="nil"/>
              <w:right w:val="nil"/>
            </w:tcBorders>
            <w:shd w:val="clear" w:color="auto" w:fill="F5F5F5"/>
            <w:vAlign w:val="center"/>
          </w:tcPr>
          <w:p w14:paraId="7D7A4D71" w14:textId="77777777" w:rsidR="00C70AE2" w:rsidRDefault="00C70AE2">
            <w:pPr>
              <w:spacing w:after="0" w:line="240" w:lineRule="auto"/>
              <w:jc w:val="center"/>
            </w:pPr>
          </w:p>
        </w:tc>
        <w:tc>
          <w:tcPr>
            <w:tcW w:w="2160" w:type="dxa"/>
            <w:tcBorders>
              <w:top w:val="nil"/>
              <w:left w:val="nil"/>
              <w:bottom w:val="nil"/>
              <w:right w:val="nil"/>
            </w:tcBorders>
            <w:shd w:val="clear" w:color="auto" w:fill="F5F5F5"/>
            <w:vAlign w:val="center"/>
          </w:tcPr>
          <w:p w14:paraId="57F9E900" w14:textId="77777777" w:rsidR="00C70AE2" w:rsidRDefault="00C70AE2">
            <w:pPr>
              <w:spacing w:after="0" w:line="240" w:lineRule="auto"/>
              <w:jc w:val="center"/>
            </w:pPr>
          </w:p>
        </w:tc>
      </w:tr>
      <w:tr w:rsidR="00C70AE2" w14:paraId="0E15299E" w14:textId="77777777">
        <w:trPr>
          <w:cantSplit/>
          <w:jc w:val="center"/>
        </w:trPr>
        <w:tc>
          <w:tcPr>
            <w:tcW w:w="5112" w:type="dxa"/>
            <w:tcBorders>
              <w:top w:val="nil"/>
              <w:left w:val="nil"/>
              <w:bottom w:val="nil"/>
              <w:right w:val="nil"/>
            </w:tcBorders>
            <w:vAlign w:val="center"/>
          </w:tcPr>
          <w:p w14:paraId="45C5E7B0" w14:textId="77777777" w:rsidR="00C70AE2" w:rsidRDefault="00000000">
            <w:pPr>
              <w:spacing w:after="0" w:line="240" w:lineRule="auto"/>
            </w:pPr>
            <w:r>
              <w:rPr>
                <w:rFonts w:ascii="Times New Roman" w:hAnsi="Times New Roman"/>
                <w:sz w:val="17"/>
              </w:rPr>
              <w:t>Lagged cumulative all-migrant-worker score</w:t>
            </w:r>
          </w:p>
        </w:tc>
        <w:tc>
          <w:tcPr>
            <w:tcW w:w="2088" w:type="dxa"/>
            <w:tcBorders>
              <w:top w:val="nil"/>
              <w:left w:val="nil"/>
              <w:bottom w:val="nil"/>
              <w:right w:val="nil"/>
            </w:tcBorders>
            <w:vAlign w:val="center"/>
          </w:tcPr>
          <w:p w14:paraId="545618C9" w14:textId="77777777" w:rsidR="00C70AE2" w:rsidRDefault="00000000">
            <w:pPr>
              <w:spacing w:after="0" w:line="240" w:lineRule="auto"/>
              <w:jc w:val="center"/>
            </w:pPr>
            <w:r>
              <w:rPr>
                <w:rFonts w:ascii="Times New Roman" w:hAnsi="Times New Roman"/>
                <w:b/>
                <w:sz w:val="17"/>
              </w:rPr>
              <w:t>0.045536***</w:t>
            </w:r>
          </w:p>
        </w:tc>
        <w:tc>
          <w:tcPr>
            <w:tcW w:w="2160" w:type="dxa"/>
            <w:tcBorders>
              <w:top w:val="nil"/>
              <w:left w:val="nil"/>
              <w:bottom w:val="nil"/>
              <w:right w:val="nil"/>
            </w:tcBorders>
            <w:vAlign w:val="center"/>
          </w:tcPr>
          <w:p w14:paraId="0601CCA9" w14:textId="77777777" w:rsidR="00C70AE2" w:rsidRDefault="00000000">
            <w:pPr>
              <w:spacing w:after="0" w:line="240" w:lineRule="auto"/>
              <w:jc w:val="center"/>
            </w:pPr>
            <w:r>
              <w:rPr>
                <w:rFonts w:ascii="Times New Roman" w:hAnsi="Times New Roman"/>
                <w:sz w:val="17"/>
              </w:rPr>
              <w:t>-0.025527</w:t>
            </w:r>
          </w:p>
        </w:tc>
      </w:tr>
      <w:tr w:rsidR="00C70AE2" w14:paraId="288936F8" w14:textId="77777777">
        <w:trPr>
          <w:cantSplit/>
          <w:jc w:val="center"/>
        </w:trPr>
        <w:tc>
          <w:tcPr>
            <w:tcW w:w="5112" w:type="dxa"/>
            <w:tcBorders>
              <w:top w:val="nil"/>
              <w:left w:val="nil"/>
              <w:bottom w:val="nil"/>
              <w:right w:val="nil"/>
            </w:tcBorders>
            <w:vAlign w:val="center"/>
          </w:tcPr>
          <w:p w14:paraId="5CEA4B0B" w14:textId="77777777" w:rsidR="00C70AE2" w:rsidRDefault="00000000">
            <w:pPr>
              <w:spacing w:after="0" w:line="240" w:lineRule="auto"/>
            </w:pPr>
            <w:r>
              <w:rPr>
                <w:rFonts w:ascii="Times New Roman" w:hAnsi="Times New Roman"/>
                <w:sz w:val="17"/>
              </w:rPr>
              <w:t>Cluster-robust SE</w:t>
            </w:r>
          </w:p>
        </w:tc>
        <w:tc>
          <w:tcPr>
            <w:tcW w:w="2088" w:type="dxa"/>
            <w:tcBorders>
              <w:top w:val="nil"/>
              <w:left w:val="nil"/>
              <w:bottom w:val="nil"/>
              <w:right w:val="nil"/>
            </w:tcBorders>
            <w:vAlign w:val="center"/>
          </w:tcPr>
          <w:p w14:paraId="234DCB20" w14:textId="77777777" w:rsidR="00C70AE2" w:rsidRDefault="00000000">
            <w:pPr>
              <w:spacing w:after="0" w:line="240" w:lineRule="auto"/>
              <w:jc w:val="center"/>
            </w:pPr>
            <w:r>
              <w:rPr>
                <w:rFonts w:ascii="Times New Roman" w:hAnsi="Times New Roman"/>
                <w:sz w:val="17"/>
              </w:rPr>
              <w:t>(0.012895)</w:t>
            </w:r>
          </w:p>
        </w:tc>
        <w:tc>
          <w:tcPr>
            <w:tcW w:w="2160" w:type="dxa"/>
            <w:tcBorders>
              <w:top w:val="nil"/>
              <w:left w:val="nil"/>
              <w:bottom w:val="nil"/>
              <w:right w:val="nil"/>
            </w:tcBorders>
            <w:vAlign w:val="center"/>
          </w:tcPr>
          <w:p w14:paraId="7A765434" w14:textId="77777777" w:rsidR="00C70AE2" w:rsidRDefault="00000000">
            <w:pPr>
              <w:spacing w:after="0" w:line="240" w:lineRule="auto"/>
              <w:jc w:val="center"/>
            </w:pPr>
            <w:r>
              <w:rPr>
                <w:rFonts w:ascii="Times New Roman" w:hAnsi="Times New Roman"/>
                <w:sz w:val="17"/>
              </w:rPr>
              <w:t>(0.017454)</w:t>
            </w:r>
          </w:p>
        </w:tc>
      </w:tr>
      <w:tr w:rsidR="00C70AE2" w14:paraId="533DF4AD" w14:textId="77777777">
        <w:trPr>
          <w:cantSplit/>
          <w:jc w:val="center"/>
        </w:trPr>
        <w:tc>
          <w:tcPr>
            <w:tcW w:w="5112" w:type="dxa"/>
            <w:tcBorders>
              <w:top w:val="nil"/>
              <w:left w:val="nil"/>
              <w:bottom w:val="nil"/>
              <w:right w:val="nil"/>
            </w:tcBorders>
            <w:vAlign w:val="center"/>
          </w:tcPr>
          <w:p w14:paraId="330E871C" w14:textId="77777777" w:rsidR="00C70AE2" w:rsidRDefault="00000000">
            <w:pPr>
              <w:spacing w:after="0" w:line="240" w:lineRule="auto"/>
            </w:pPr>
            <w:r>
              <w:rPr>
                <w:rFonts w:ascii="Times New Roman" w:hAnsi="Times New Roman"/>
                <w:sz w:val="17"/>
              </w:rPr>
              <w:t>Exact p-value</w:t>
            </w:r>
          </w:p>
        </w:tc>
        <w:tc>
          <w:tcPr>
            <w:tcW w:w="2088" w:type="dxa"/>
            <w:tcBorders>
              <w:top w:val="nil"/>
              <w:left w:val="nil"/>
              <w:bottom w:val="nil"/>
              <w:right w:val="nil"/>
            </w:tcBorders>
            <w:vAlign w:val="center"/>
          </w:tcPr>
          <w:p w14:paraId="4F620DCB" w14:textId="77777777" w:rsidR="00C70AE2" w:rsidRDefault="00000000">
            <w:pPr>
              <w:spacing w:after="0" w:line="240" w:lineRule="auto"/>
              <w:jc w:val="center"/>
            </w:pPr>
            <w:r>
              <w:rPr>
                <w:rFonts w:ascii="Times New Roman" w:hAnsi="Times New Roman"/>
                <w:sz w:val="17"/>
              </w:rPr>
              <w:t>0.0016</w:t>
            </w:r>
          </w:p>
        </w:tc>
        <w:tc>
          <w:tcPr>
            <w:tcW w:w="2160" w:type="dxa"/>
            <w:tcBorders>
              <w:top w:val="nil"/>
              <w:left w:val="nil"/>
              <w:bottom w:val="nil"/>
              <w:right w:val="nil"/>
            </w:tcBorders>
            <w:vAlign w:val="center"/>
          </w:tcPr>
          <w:p w14:paraId="7FB80FAA" w14:textId="77777777" w:rsidR="00C70AE2" w:rsidRDefault="00000000">
            <w:pPr>
              <w:spacing w:after="0" w:line="240" w:lineRule="auto"/>
              <w:jc w:val="center"/>
            </w:pPr>
            <w:r>
              <w:rPr>
                <w:rFonts w:ascii="Times New Roman" w:hAnsi="Times New Roman"/>
                <w:sz w:val="17"/>
              </w:rPr>
              <w:t>0.1543</w:t>
            </w:r>
          </w:p>
        </w:tc>
      </w:tr>
      <w:tr w:rsidR="00C70AE2" w14:paraId="54B0648A" w14:textId="77777777">
        <w:trPr>
          <w:cantSplit/>
          <w:jc w:val="center"/>
        </w:trPr>
        <w:tc>
          <w:tcPr>
            <w:tcW w:w="5112" w:type="dxa"/>
            <w:tcBorders>
              <w:top w:val="nil"/>
              <w:left w:val="nil"/>
              <w:bottom w:val="nil"/>
              <w:right w:val="nil"/>
            </w:tcBorders>
            <w:shd w:val="clear" w:color="auto" w:fill="F5F5F5"/>
            <w:vAlign w:val="center"/>
          </w:tcPr>
          <w:p w14:paraId="0AE07DB9" w14:textId="77777777" w:rsidR="00C70AE2" w:rsidRDefault="00000000">
            <w:pPr>
              <w:spacing w:after="0" w:line="240" w:lineRule="auto"/>
            </w:pPr>
            <w:r>
              <w:rPr>
                <w:rFonts w:ascii="Times New Roman" w:hAnsi="Times New Roman"/>
                <w:i/>
                <w:sz w:val="17"/>
              </w:rPr>
              <w:t>Specification</w:t>
            </w:r>
          </w:p>
        </w:tc>
        <w:tc>
          <w:tcPr>
            <w:tcW w:w="2088" w:type="dxa"/>
            <w:tcBorders>
              <w:top w:val="nil"/>
              <w:left w:val="nil"/>
              <w:bottom w:val="nil"/>
              <w:right w:val="nil"/>
            </w:tcBorders>
            <w:shd w:val="clear" w:color="auto" w:fill="F5F5F5"/>
            <w:vAlign w:val="center"/>
          </w:tcPr>
          <w:p w14:paraId="6143D2C2" w14:textId="77777777" w:rsidR="00C70AE2" w:rsidRDefault="00C70AE2">
            <w:pPr>
              <w:spacing w:after="0" w:line="240" w:lineRule="auto"/>
              <w:jc w:val="center"/>
            </w:pPr>
          </w:p>
        </w:tc>
        <w:tc>
          <w:tcPr>
            <w:tcW w:w="2160" w:type="dxa"/>
            <w:tcBorders>
              <w:top w:val="nil"/>
              <w:left w:val="nil"/>
              <w:bottom w:val="nil"/>
              <w:right w:val="nil"/>
            </w:tcBorders>
            <w:shd w:val="clear" w:color="auto" w:fill="F5F5F5"/>
            <w:vAlign w:val="center"/>
          </w:tcPr>
          <w:p w14:paraId="01F9514B" w14:textId="77777777" w:rsidR="00C70AE2" w:rsidRDefault="00C70AE2">
            <w:pPr>
              <w:spacing w:after="0" w:line="240" w:lineRule="auto"/>
              <w:jc w:val="center"/>
            </w:pPr>
          </w:p>
        </w:tc>
      </w:tr>
      <w:tr w:rsidR="00C70AE2" w14:paraId="3F43CCBF" w14:textId="77777777">
        <w:trPr>
          <w:cantSplit/>
          <w:jc w:val="center"/>
        </w:trPr>
        <w:tc>
          <w:tcPr>
            <w:tcW w:w="5112" w:type="dxa"/>
            <w:tcBorders>
              <w:top w:val="nil"/>
              <w:left w:val="nil"/>
              <w:bottom w:val="nil"/>
              <w:right w:val="nil"/>
            </w:tcBorders>
            <w:vAlign w:val="center"/>
          </w:tcPr>
          <w:p w14:paraId="0E0DE81E" w14:textId="77777777" w:rsidR="00C70AE2" w:rsidRDefault="00000000">
            <w:pPr>
              <w:spacing w:after="0" w:line="240" w:lineRule="auto"/>
            </w:pPr>
            <w:r>
              <w:rPr>
                <w:rFonts w:ascii="Times New Roman" w:hAnsi="Times New Roman"/>
                <w:sz w:val="17"/>
              </w:rPr>
              <w:t>High-skilled policy control</w:t>
            </w:r>
          </w:p>
        </w:tc>
        <w:tc>
          <w:tcPr>
            <w:tcW w:w="2088" w:type="dxa"/>
            <w:tcBorders>
              <w:top w:val="nil"/>
              <w:left w:val="nil"/>
              <w:bottom w:val="nil"/>
              <w:right w:val="nil"/>
            </w:tcBorders>
            <w:vAlign w:val="center"/>
          </w:tcPr>
          <w:p w14:paraId="468E732E"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61E592F6" w14:textId="77777777" w:rsidR="00C70AE2" w:rsidRDefault="00000000">
            <w:pPr>
              <w:spacing w:after="0" w:line="240" w:lineRule="auto"/>
              <w:jc w:val="center"/>
            </w:pPr>
            <w:r>
              <w:rPr>
                <w:rFonts w:ascii="Times New Roman" w:hAnsi="Times New Roman"/>
                <w:sz w:val="17"/>
              </w:rPr>
              <w:t>Yes</w:t>
            </w:r>
          </w:p>
        </w:tc>
      </w:tr>
      <w:tr w:rsidR="00C70AE2" w14:paraId="3F42ECCB" w14:textId="77777777">
        <w:trPr>
          <w:cantSplit/>
          <w:jc w:val="center"/>
        </w:trPr>
        <w:tc>
          <w:tcPr>
            <w:tcW w:w="5112" w:type="dxa"/>
            <w:tcBorders>
              <w:top w:val="nil"/>
              <w:left w:val="nil"/>
              <w:bottom w:val="nil"/>
              <w:right w:val="nil"/>
            </w:tcBorders>
            <w:vAlign w:val="center"/>
          </w:tcPr>
          <w:p w14:paraId="27128C03" w14:textId="77777777" w:rsidR="00C70AE2" w:rsidRDefault="00000000">
            <w:pPr>
              <w:spacing w:after="0" w:line="240" w:lineRule="auto"/>
            </w:pPr>
            <w:r>
              <w:rPr>
                <w:rFonts w:ascii="Times New Roman" w:hAnsi="Times New Roman"/>
                <w:sz w:val="17"/>
              </w:rPr>
              <w:t>Low-skilled policy control</w:t>
            </w:r>
          </w:p>
        </w:tc>
        <w:tc>
          <w:tcPr>
            <w:tcW w:w="2088" w:type="dxa"/>
            <w:tcBorders>
              <w:top w:val="nil"/>
              <w:left w:val="nil"/>
              <w:bottom w:val="nil"/>
              <w:right w:val="nil"/>
            </w:tcBorders>
            <w:vAlign w:val="center"/>
          </w:tcPr>
          <w:p w14:paraId="0D9213A7"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3808A8DD" w14:textId="77777777" w:rsidR="00C70AE2" w:rsidRDefault="00000000">
            <w:pPr>
              <w:spacing w:after="0" w:line="240" w:lineRule="auto"/>
              <w:jc w:val="center"/>
            </w:pPr>
            <w:r>
              <w:rPr>
                <w:rFonts w:ascii="Times New Roman" w:hAnsi="Times New Roman"/>
                <w:sz w:val="17"/>
              </w:rPr>
              <w:t>Yes</w:t>
            </w:r>
          </w:p>
        </w:tc>
      </w:tr>
      <w:tr w:rsidR="00C70AE2" w14:paraId="20FB3BA0" w14:textId="77777777">
        <w:trPr>
          <w:cantSplit/>
          <w:jc w:val="center"/>
        </w:trPr>
        <w:tc>
          <w:tcPr>
            <w:tcW w:w="5112" w:type="dxa"/>
            <w:tcBorders>
              <w:top w:val="nil"/>
              <w:left w:val="nil"/>
              <w:bottom w:val="nil"/>
              <w:right w:val="nil"/>
            </w:tcBorders>
            <w:vAlign w:val="center"/>
          </w:tcPr>
          <w:p w14:paraId="0582FEAB" w14:textId="77777777" w:rsidR="00C70AE2" w:rsidRDefault="00000000">
            <w:pPr>
              <w:spacing w:after="0" w:line="240" w:lineRule="auto"/>
            </w:pPr>
            <w:r>
              <w:rPr>
                <w:rFonts w:ascii="Times New Roman" w:hAnsi="Times New Roman"/>
                <w:sz w:val="17"/>
              </w:rPr>
              <w:t>Destination macro controls</w:t>
            </w:r>
          </w:p>
        </w:tc>
        <w:tc>
          <w:tcPr>
            <w:tcW w:w="2088" w:type="dxa"/>
            <w:tcBorders>
              <w:top w:val="nil"/>
              <w:left w:val="nil"/>
              <w:bottom w:val="nil"/>
              <w:right w:val="nil"/>
            </w:tcBorders>
            <w:vAlign w:val="center"/>
          </w:tcPr>
          <w:p w14:paraId="0D708E36"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320C67EA" w14:textId="77777777" w:rsidR="00C70AE2" w:rsidRDefault="00000000">
            <w:pPr>
              <w:spacing w:after="0" w:line="240" w:lineRule="auto"/>
              <w:jc w:val="center"/>
            </w:pPr>
            <w:r>
              <w:rPr>
                <w:rFonts w:ascii="Times New Roman" w:hAnsi="Times New Roman"/>
                <w:sz w:val="17"/>
              </w:rPr>
              <w:t>Yes</w:t>
            </w:r>
          </w:p>
        </w:tc>
      </w:tr>
      <w:tr w:rsidR="00C70AE2" w14:paraId="1CC940B6" w14:textId="77777777">
        <w:trPr>
          <w:cantSplit/>
          <w:jc w:val="center"/>
        </w:trPr>
        <w:tc>
          <w:tcPr>
            <w:tcW w:w="5112" w:type="dxa"/>
            <w:tcBorders>
              <w:top w:val="nil"/>
              <w:left w:val="nil"/>
              <w:bottom w:val="nil"/>
              <w:right w:val="nil"/>
            </w:tcBorders>
            <w:vAlign w:val="center"/>
          </w:tcPr>
          <w:p w14:paraId="612B24C4" w14:textId="77777777" w:rsidR="00C70AE2" w:rsidRDefault="00000000">
            <w:pPr>
              <w:spacing w:after="0" w:line="240" w:lineRule="auto"/>
            </w:pPr>
            <w:r>
              <w:rPr>
                <w:rFonts w:ascii="Times New Roman" w:hAnsi="Times New Roman"/>
                <w:sz w:val="17"/>
              </w:rPr>
              <w:t>Destination fixed effects</w:t>
            </w:r>
          </w:p>
        </w:tc>
        <w:tc>
          <w:tcPr>
            <w:tcW w:w="2088" w:type="dxa"/>
            <w:tcBorders>
              <w:top w:val="nil"/>
              <w:left w:val="nil"/>
              <w:bottom w:val="nil"/>
              <w:right w:val="nil"/>
            </w:tcBorders>
            <w:vAlign w:val="center"/>
          </w:tcPr>
          <w:p w14:paraId="4F2E6385"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41ACC9DF" w14:textId="77777777" w:rsidR="00C70AE2" w:rsidRDefault="00000000">
            <w:pPr>
              <w:spacing w:after="0" w:line="240" w:lineRule="auto"/>
              <w:jc w:val="center"/>
            </w:pPr>
            <w:r>
              <w:rPr>
                <w:rFonts w:ascii="Times New Roman" w:hAnsi="Times New Roman"/>
                <w:sz w:val="17"/>
              </w:rPr>
              <w:t>Yes</w:t>
            </w:r>
          </w:p>
        </w:tc>
      </w:tr>
      <w:tr w:rsidR="00C70AE2" w14:paraId="0CFC8C88" w14:textId="77777777">
        <w:trPr>
          <w:cantSplit/>
          <w:jc w:val="center"/>
        </w:trPr>
        <w:tc>
          <w:tcPr>
            <w:tcW w:w="5112" w:type="dxa"/>
            <w:tcBorders>
              <w:top w:val="nil"/>
              <w:left w:val="nil"/>
              <w:bottom w:val="nil"/>
              <w:right w:val="nil"/>
            </w:tcBorders>
            <w:vAlign w:val="center"/>
          </w:tcPr>
          <w:p w14:paraId="6FC451A4" w14:textId="77777777" w:rsidR="00C70AE2" w:rsidRDefault="00000000">
            <w:pPr>
              <w:spacing w:after="0" w:line="240" w:lineRule="auto"/>
            </w:pPr>
            <w:r>
              <w:rPr>
                <w:rFonts w:ascii="Times New Roman" w:hAnsi="Times New Roman"/>
                <w:sz w:val="17"/>
              </w:rPr>
              <w:t>Origin-year fixed effects</w:t>
            </w:r>
          </w:p>
        </w:tc>
        <w:tc>
          <w:tcPr>
            <w:tcW w:w="2088" w:type="dxa"/>
            <w:tcBorders>
              <w:top w:val="nil"/>
              <w:left w:val="nil"/>
              <w:bottom w:val="nil"/>
              <w:right w:val="nil"/>
            </w:tcBorders>
            <w:vAlign w:val="center"/>
          </w:tcPr>
          <w:p w14:paraId="597D0460"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2C1DC432" w14:textId="77777777" w:rsidR="00C70AE2" w:rsidRDefault="00000000">
            <w:pPr>
              <w:spacing w:after="0" w:line="240" w:lineRule="auto"/>
              <w:jc w:val="center"/>
            </w:pPr>
            <w:r>
              <w:rPr>
                <w:rFonts w:ascii="Times New Roman" w:hAnsi="Times New Roman"/>
                <w:sz w:val="17"/>
              </w:rPr>
              <w:t>Yes</w:t>
            </w:r>
          </w:p>
        </w:tc>
      </w:tr>
      <w:tr w:rsidR="00C70AE2" w14:paraId="1DDCE62D" w14:textId="77777777">
        <w:trPr>
          <w:cantSplit/>
          <w:jc w:val="center"/>
        </w:trPr>
        <w:tc>
          <w:tcPr>
            <w:tcW w:w="5112" w:type="dxa"/>
            <w:tcBorders>
              <w:top w:val="nil"/>
              <w:left w:val="nil"/>
              <w:bottom w:val="nil"/>
              <w:right w:val="nil"/>
            </w:tcBorders>
            <w:vAlign w:val="center"/>
          </w:tcPr>
          <w:p w14:paraId="4FA7F321" w14:textId="77777777" w:rsidR="00C70AE2" w:rsidRDefault="00000000">
            <w:pPr>
              <w:spacing w:after="0" w:line="240" w:lineRule="auto"/>
            </w:pPr>
            <w:r>
              <w:rPr>
                <w:rFonts w:ascii="Times New Roman" w:hAnsi="Times New Roman"/>
                <w:sz w:val="17"/>
              </w:rPr>
              <w:t>Lagged PermitScale control</w:t>
            </w:r>
          </w:p>
        </w:tc>
        <w:tc>
          <w:tcPr>
            <w:tcW w:w="2088" w:type="dxa"/>
            <w:tcBorders>
              <w:top w:val="nil"/>
              <w:left w:val="nil"/>
              <w:bottom w:val="nil"/>
              <w:right w:val="nil"/>
            </w:tcBorders>
            <w:vAlign w:val="center"/>
          </w:tcPr>
          <w:p w14:paraId="79271BE4" w14:textId="77777777" w:rsidR="00C70AE2" w:rsidRDefault="00000000">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6C65F109" w14:textId="77777777" w:rsidR="00C70AE2" w:rsidRDefault="00000000">
            <w:pPr>
              <w:spacing w:after="0" w:line="240" w:lineRule="auto"/>
              <w:jc w:val="center"/>
            </w:pPr>
            <w:r>
              <w:rPr>
                <w:rFonts w:ascii="Times New Roman" w:hAnsi="Times New Roman"/>
                <w:sz w:val="17"/>
              </w:rPr>
              <w:t>No</w:t>
            </w:r>
          </w:p>
        </w:tc>
      </w:tr>
      <w:tr w:rsidR="00C70AE2" w14:paraId="2ED01949" w14:textId="77777777">
        <w:trPr>
          <w:cantSplit/>
          <w:jc w:val="center"/>
        </w:trPr>
        <w:tc>
          <w:tcPr>
            <w:tcW w:w="5112" w:type="dxa"/>
            <w:tcBorders>
              <w:top w:val="nil"/>
              <w:left w:val="nil"/>
              <w:bottom w:val="nil"/>
              <w:right w:val="nil"/>
            </w:tcBorders>
            <w:vAlign w:val="center"/>
          </w:tcPr>
          <w:p w14:paraId="3E770239" w14:textId="77777777" w:rsidR="00C70AE2" w:rsidRDefault="00000000">
            <w:pPr>
              <w:spacing w:after="0" w:line="240" w:lineRule="auto"/>
            </w:pPr>
            <w:r>
              <w:rPr>
                <w:rFonts w:ascii="Times New Roman" w:hAnsi="Times New Roman"/>
                <w:sz w:val="17"/>
              </w:rPr>
              <w:t>Permit-denominator weights</w:t>
            </w:r>
          </w:p>
        </w:tc>
        <w:tc>
          <w:tcPr>
            <w:tcW w:w="2088" w:type="dxa"/>
            <w:tcBorders>
              <w:top w:val="nil"/>
              <w:left w:val="nil"/>
              <w:bottom w:val="nil"/>
              <w:right w:val="nil"/>
            </w:tcBorders>
            <w:vAlign w:val="center"/>
          </w:tcPr>
          <w:p w14:paraId="769D0F2F" w14:textId="77777777" w:rsidR="00C70AE2" w:rsidRDefault="00000000">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025C6D0C" w14:textId="77777777" w:rsidR="00C70AE2" w:rsidRDefault="00000000">
            <w:pPr>
              <w:spacing w:after="0" w:line="240" w:lineRule="auto"/>
              <w:jc w:val="center"/>
            </w:pPr>
            <w:r>
              <w:rPr>
                <w:rFonts w:ascii="Times New Roman" w:hAnsi="Times New Roman"/>
                <w:sz w:val="17"/>
              </w:rPr>
              <w:t>No</w:t>
            </w:r>
          </w:p>
        </w:tc>
      </w:tr>
      <w:tr w:rsidR="00C70AE2" w14:paraId="0E2CC66F" w14:textId="77777777">
        <w:trPr>
          <w:cantSplit/>
          <w:jc w:val="center"/>
        </w:trPr>
        <w:tc>
          <w:tcPr>
            <w:tcW w:w="5112" w:type="dxa"/>
            <w:tcBorders>
              <w:top w:val="nil"/>
              <w:left w:val="nil"/>
              <w:bottom w:val="nil"/>
              <w:right w:val="nil"/>
            </w:tcBorders>
            <w:vAlign w:val="center"/>
          </w:tcPr>
          <w:p w14:paraId="0066DAA5" w14:textId="77777777" w:rsidR="00C70AE2" w:rsidRDefault="00000000">
            <w:pPr>
              <w:spacing w:after="0" w:line="240" w:lineRule="auto"/>
            </w:pPr>
            <w:r>
              <w:rPr>
                <w:rFonts w:ascii="Times New Roman" w:hAnsi="Times New Roman"/>
                <w:sz w:val="17"/>
              </w:rPr>
              <w:t>Observations</w:t>
            </w:r>
          </w:p>
        </w:tc>
        <w:tc>
          <w:tcPr>
            <w:tcW w:w="2088" w:type="dxa"/>
            <w:tcBorders>
              <w:top w:val="nil"/>
              <w:left w:val="nil"/>
              <w:bottom w:val="nil"/>
              <w:right w:val="nil"/>
            </w:tcBorders>
            <w:vAlign w:val="center"/>
          </w:tcPr>
          <w:p w14:paraId="04DE9D40" w14:textId="77777777" w:rsidR="00C70AE2" w:rsidRDefault="00000000">
            <w:pPr>
              <w:spacing w:after="0" w:line="240" w:lineRule="auto"/>
              <w:jc w:val="center"/>
            </w:pPr>
            <w:r>
              <w:rPr>
                <w:rFonts w:ascii="Times New Roman" w:hAnsi="Times New Roman"/>
                <w:sz w:val="17"/>
              </w:rPr>
              <w:t>5,219</w:t>
            </w:r>
          </w:p>
        </w:tc>
        <w:tc>
          <w:tcPr>
            <w:tcW w:w="2160" w:type="dxa"/>
            <w:tcBorders>
              <w:top w:val="nil"/>
              <w:left w:val="nil"/>
              <w:bottom w:val="nil"/>
              <w:right w:val="nil"/>
            </w:tcBorders>
            <w:vAlign w:val="center"/>
          </w:tcPr>
          <w:p w14:paraId="6B43414B" w14:textId="77777777" w:rsidR="00C70AE2" w:rsidRDefault="00000000">
            <w:pPr>
              <w:spacing w:after="0" w:line="240" w:lineRule="auto"/>
              <w:jc w:val="center"/>
            </w:pPr>
            <w:r>
              <w:rPr>
                <w:rFonts w:ascii="Times New Roman" w:hAnsi="Times New Roman"/>
                <w:sz w:val="17"/>
              </w:rPr>
              <w:t>5,608</w:t>
            </w:r>
          </w:p>
        </w:tc>
      </w:tr>
      <w:tr w:rsidR="00C70AE2" w14:paraId="69DD3691" w14:textId="77777777">
        <w:trPr>
          <w:cantSplit/>
          <w:jc w:val="center"/>
        </w:trPr>
        <w:tc>
          <w:tcPr>
            <w:tcW w:w="5112" w:type="dxa"/>
            <w:tcBorders>
              <w:top w:val="nil"/>
              <w:left w:val="nil"/>
              <w:bottom w:val="single" w:sz="10" w:space="0" w:color="000000"/>
              <w:right w:val="nil"/>
            </w:tcBorders>
            <w:vAlign w:val="center"/>
          </w:tcPr>
          <w:p w14:paraId="66C537F6" w14:textId="77777777" w:rsidR="00C70AE2" w:rsidRDefault="00000000">
            <w:pPr>
              <w:spacing w:after="0" w:line="240" w:lineRule="auto"/>
            </w:pPr>
            <w:r>
              <w:rPr>
                <w:rFonts w:ascii="Times New Roman" w:hAnsi="Times New Roman"/>
                <w:sz w:val="17"/>
              </w:rPr>
              <w:t>Destination clusters</w:t>
            </w:r>
          </w:p>
        </w:tc>
        <w:tc>
          <w:tcPr>
            <w:tcW w:w="2088" w:type="dxa"/>
            <w:tcBorders>
              <w:top w:val="nil"/>
              <w:left w:val="nil"/>
              <w:bottom w:val="single" w:sz="10" w:space="0" w:color="000000"/>
              <w:right w:val="nil"/>
            </w:tcBorders>
            <w:vAlign w:val="center"/>
          </w:tcPr>
          <w:p w14:paraId="3700B594" w14:textId="77777777" w:rsidR="00C70AE2" w:rsidRDefault="00000000">
            <w:pPr>
              <w:spacing w:after="0" w:line="240" w:lineRule="auto"/>
              <w:jc w:val="center"/>
            </w:pPr>
            <w:r>
              <w:rPr>
                <w:rFonts w:ascii="Times New Roman" w:hAnsi="Times New Roman"/>
                <w:sz w:val="17"/>
              </w:rPr>
              <w:t>27</w:t>
            </w:r>
          </w:p>
        </w:tc>
        <w:tc>
          <w:tcPr>
            <w:tcW w:w="2160" w:type="dxa"/>
            <w:tcBorders>
              <w:top w:val="nil"/>
              <w:left w:val="nil"/>
              <w:bottom w:val="single" w:sz="10" w:space="0" w:color="000000"/>
              <w:right w:val="nil"/>
            </w:tcBorders>
            <w:vAlign w:val="center"/>
          </w:tcPr>
          <w:p w14:paraId="3142C71B" w14:textId="77777777" w:rsidR="00C70AE2" w:rsidRDefault="00000000">
            <w:pPr>
              <w:spacing w:after="0" w:line="240" w:lineRule="auto"/>
              <w:jc w:val="center"/>
            </w:pPr>
            <w:r>
              <w:rPr>
                <w:rFonts w:ascii="Times New Roman" w:hAnsi="Times New Roman"/>
                <w:sz w:val="17"/>
              </w:rPr>
              <w:t>30</w:t>
            </w:r>
          </w:p>
        </w:tc>
      </w:tr>
    </w:tbl>
    <w:p w14:paraId="668337C2" w14:textId="77777777" w:rsidR="00C70AE2" w:rsidRDefault="00000000">
      <w:pPr>
        <w:jc w:val="both"/>
      </w:pPr>
      <w:r>
        <w:t>Table 8 note. Poisson Pseudo-Maximum-Likelihood estimates corresponding to Equation (4), estimated on the corridors retained by the main EMP &gt;= 30 share-sample rule. The dependent variable is HSNumber in column (1) and the total employment-permit count, EMP, in column (2). Both models include lagged destination unemployment and GDP growth. For column (1), separated destination and origin-year fixed-effect groups with all-zero high-skilled counts are removed before estimation; this reduces the sample from 5,608 cells and 30 clusters to 5,219 cells and 27 clusters. Standard errors clustered by destination are reported in parentheses. Coefficients are semi-elasticities; the exact percentage change associated with one Restrict unit is 100[exp(β)-1]. *** p &lt; 0.01, ** p &lt; 0.05, * p &lt; 0.10.</w:t>
      </w:r>
    </w:p>
    <w:p w14:paraId="52FEFA92" w14:textId="77777777" w:rsidR="00C70AE2" w:rsidRDefault="00000000">
      <w:pPr>
        <w:pStyle w:val="BodyText"/>
      </w:pPr>
      <w:r>
        <w:t>Column (1) of Table 8 is positive and significant at the one-percent level: one additional Restrict unit is associated with an exact estimated increase of about 4.66 percent in HSNumber. Column (2) is negative but imprecise; its exact point estimate is about -2.52 percent. Because separation pruning gives the two columns different effective samples, their coefficients are not subtracted as a formal decomposition. Read separately, they indicate a higher measured high-skilled count without a statistically detectable change in the total employment-permit count. This is consistent with the positive HSRate result, but it still does not identify the causal count response to a particular reform or the unobserved lower-skilled count directly.</w:t>
      </w:r>
    </w:p>
    <w:p w14:paraId="1ADF9EDD" w14:textId="77777777" w:rsidR="00C70AE2" w:rsidRDefault="00000000">
      <w:pPr>
        <w:pStyle w:val="BodyText"/>
      </w:pPr>
      <w:r>
        <w:t xml:space="preserve">The positive HSNumber estimate in Table 8 should not be interpreted as evidence that general restrictions attract additional skilled migrants. HSNumber counts first permits recorded under the administrative highly-skilled-worker and researcher categories rather than entrants' underlying skills. When broader employment rules tighten, some recruitment may be redirected from other employment routes into dedicated high-skilled categories, increasing measured HSNumber without increasing total skilled arrivals. Because the data do not follow individuals across routes, this mechanism cannot be tested directly. Appendix Table A.1 reports exploratory diagnostics: only the highly-skilled-worker category has a significant positive coefficient; the </w:t>
      </w:r>
      <w:r>
        <w:lastRenderedPageBreak/>
        <w:t>residual employment-permit count (all employment permits minus the high-skilled categories) has a negative but imprecise estimate; the following year's policy flow is insignificant; and adding 2020 attenuates but does not overturn the preferred result. However, the category models use different samples, and the preferred share estimate becomes smaller and insignificant when destination-specific trends are added. These diagnostics are compatible with, but do not establish, reallocation.</w:t>
      </w:r>
    </w:p>
    <w:p w14:paraId="0FDE4660" w14:textId="77777777" w:rsidR="00C70AE2" w:rsidRDefault="00000000">
      <w:pPr>
        <w:pStyle w:val="BodyText"/>
      </w:pPr>
      <w:r>
        <w:t>This interpretation is also consistent with the contrast between aggregate and bilateral specifications. Under the same policy definition, neither the aggregate cumulative model nor the aggregate annual-flow model is significant (Table 6), while the denominator-weighted bilateral model remains significant after controlling for skilled/high-skilled and low-skilled target-group policy paths (Table 7). The substantive story is therefore narrower and more precise than a simple aggregate reading would suggest: general restrictions are associated with composition when the specification absorbs origin-year migration pressures, accounts for noisy small-denominator cells, and separates broad all-migrant-worker reforms from targeted skill-selective reforms.</w:t>
      </w:r>
    </w:p>
    <w:p w14:paraId="5D3E8C4B" w14:textId="77777777" w:rsidR="00961C7F" w:rsidRDefault="008A042F">
      <w:pPr>
        <w:pStyle w:val="Heading1"/>
      </w:pPr>
      <w:r>
        <w:t xml:space="preserve">8. </w:t>
      </w:r>
      <w:r w:rsidR="00BB7186">
        <w:t>Robustness, Sensitivity, and Diagnostic Checks</w:t>
      </w:r>
    </w:p>
    <w:p w14:paraId="4398F4A9" w14:textId="77777777" w:rsidR="008F026E" w:rsidRDefault="00000000">
      <w:r>
        <w:t>Section 8 brings the robustness, sensitivity, and diagnostic evidence together in Table 9. Panel A modifies the preferred denominator-weighted bilateral model, while Panel B reports two aggregate EU27 placebo comparisons; unless noted otherwise, each Panel A check re-estimates the full preferred specification. Because the panels answer different questions, their coefficients should not be read as estimates from one common model.</w:t>
      </w:r>
    </w:p>
    <w:p w14:paraId="5DEEC1F2" w14:textId="77777777" w:rsidR="008F026E" w:rsidRDefault="00000000">
      <w:r>
        <w:t>The overall pattern is mixed but informative. The preferred result survives reintroducing 2020, removing the minimum-cell cutoff, using the all-first-permits denominator, replacing unemployment with no-UK ILOSTAT data, narrowing the policy measure to core labor-entry or work-visa tools, using prior-year weights, and adding EU-directive windows. The origin-income estimates remain heterogeneous, the UK-inclusive model and aggregate placebo coefficients are not significant, and destination-specific trends substantially weaken the estimate. Every leave-one-destination-out coefficient remains positive and significant at five percent.</w:t>
      </w:r>
    </w:p>
    <w:p w14:paraId="2B9356DA" w14:textId="77777777" w:rsidR="00C70AE2" w:rsidRDefault="00000000">
      <w:pPr>
        <w:pStyle w:val="BodyText"/>
      </w:pPr>
      <w:r>
        <w:t xml:space="preserve">Within Panel B, the EU27 placebo is an aggregate diagnostic. It sums permit counts across the fixed EU27-2020 citizenship composition, excluding the reporting destination's own citizenship, and rebuilds HSNumber, HSRate, and PermitScale from those flows. The cumulative and annual-flow specifications reuse the policy variables, controls, and fixed effects of their Non-EU counterparts. Because EU citizens generally enter under free-movement rights rather than the </w:t>
      </w:r>
      <w:r>
        <w:lastRenderedPageBreak/>
        <w:t>national rules measured by Restrict, the expected coefficient is close to zero. Sparse and selective EU permit reporting, accession timing, and transitional restrictions nevertheless make this a limited diagnostic rather than a clean untreated group.</w:t>
      </w:r>
    </w:p>
    <w:p w14:paraId="4E77BF4A" w14:textId="77777777" w:rsidR="00961C7F" w:rsidRDefault="008A042F">
      <w:pPr>
        <w:keepNext/>
        <w:jc w:val="center"/>
      </w:pPr>
      <w:r>
        <w:rPr>
          <w:b/>
          <w:i/>
          <w:sz w:val="18"/>
        </w:rPr>
        <w:t>Table 9. Robustness, sensitivity, and diagnostic checks.</w:t>
      </w:r>
    </w:p>
    <w:tbl>
      <w:tblPr>
        <w:tblW w:w="0" w:type="auto"/>
        <w:jc w:val="center"/>
        <w:tblLayout w:type="fixed"/>
        <w:tblLook w:val="04A0" w:firstRow="1" w:lastRow="0" w:firstColumn="1" w:lastColumn="0" w:noHBand="0" w:noVBand="1"/>
      </w:tblPr>
      <w:tblGrid>
        <w:gridCol w:w="1800"/>
        <w:gridCol w:w="3528"/>
        <w:gridCol w:w="1037"/>
        <w:gridCol w:w="691"/>
        <w:gridCol w:w="2304"/>
      </w:tblGrid>
      <w:tr w:rsidR="00C70AE2" w14:paraId="199EBC46" w14:textId="77777777">
        <w:trPr>
          <w:cantSplit/>
          <w:tblHeader/>
          <w:jc w:val="center"/>
        </w:trPr>
        <w:tc>
          <w:tcPr>
            <w:tcW w:w="1800" w:type="dxa"/>
            <w:tcBorders>
              <w:top w:val="single" w:sz="10" w:space="0" w:color="000000"/>
              <w:left w:val="nil"/>
              <w:bottom w:val="single" w:sz="8" w:space="0" w:color="000000"/>
              <w:right w:val="nil"/>
            </w:tcBorders>
            <w:shd w:val="clear" w:color="auto" w:fill="EDEDED"/>
            <w:vAlign w:val="center"/>
          </w:tcPr>
          <w:p w14:paraId="62F24868" w14:textId="77777777" w:rsidR="00C70AE2" w:rsidRDefault="00000000">
            <w:pPr>
              <w:spacing w:after="0" w:line="240" w:lineRule="auto"/>
            </w:pPr>
            <w:r>
              <w:rPr>
                <w:rFonts w:ascii="Times New Roman" w:hAnsi="Times New Roman"/>
                <w:b/>
                <w:sz w:val="14"/>
              </w:rPr>
              <w:t>Design / check</w:t>
            </w:r>
          </w:p>
        </w:tc>
        <w:tc>
          <w:tcPr>
            <w:tcW w:w="3528" w:type="dxa"/>
            <w:tcBorders>
              <w:top w:val="single" w:sz="10" w:space="0" w:color="000000"/>
              <w:left w:val="nil"/>
              <w:bottom w:val="single" w:sz="8" w:space="0" w:color="000000"/>
              <w:right w:val="nil"/>
            </w:tcBorders>
            <w:shd w:val="clear" w:color="auto" w:fill="EDEDED"/>
            <w:vAlign w:val="center"/>
          </w:tcPr>
          <w:p w14:paraId="03D0A569" w14:textId="77777777" w:rsidR="00C70AE2" w:rsidRDefault="00000000">
            <w:pPr>
              <w:spacing w:after="0" w:line="240" w:lineRule="auto"/>
              <w:jc w:val="center"/>
            </w:pPr>
            <w:r>
              <w:rPr>
                <w:rFonts w:ascii="Times New Roman" w:hAnsi="Times New Roman"/>
                <w:b/>
                <w:sz w:val="14"/>
              </w:rPr>
              <w:t>Change relative to the reference model</w:t>
            </w:r>
          </w:p>
        </w:tc>
        <w:tc>
          <w:tcPr>
            <w:tcW w:w="1037" w:type="dxa"/>
            <w:tcBorders>
              <w:top w:val="single" w:sz="10" w:space="0" w:color="000000"/>
              <w:left w:val="nil"/>
              <w:bottom w:val="single" w:sz="8" w:space="0" w:color="000000"/>
              <w:right w:val="nil"/>
            </w:tcBorders>
            <w:shd w:val="clear" w:color="auto" w:fill="EDEDED"/>
            <w:vAlign w:val="center"/>
          </w:tcPr>
          <w:p w14:paraId="766668A2" w14:textId="77777777" w:rsidR="00C70AE2" w:rsidRDefault="00000000">
            <w:pPr>
              <w:spacing w:after="0" w:line="240" w:lineRule="auto"/>
              <w:jc w:val="center"/>
            </w:pPr>
            <w:r>
              <w:rPr>
                <w:rFonts w:ascii="Times New Roman" w:hAnsi="Times New Roman"/>
                <w:b/>
                <w:sz w:val="14"/>
              </w:rPr>
              <w:t>β</w:t>
            </w:r>
          </w:p>
        </w:tc>
        <w:tc>
          <w:tcPr>
            <w:tcW w:w="691" w:type="dxa"/>
            <w:tcBorders>
              <w:top w:val="single" w:sz="10" w:space="0" w:color="000000"/>
              <w:left w:val="nil"/>
              <w:bottom w:val="single" w:sz="8" w:space="0" w:color="000000"/>
              <w:right w:val="nil"/>
            </w:tcBorders>
            <w:shd w:val="clear" w:color="auto" w:fill="EDEDED"/>
            <w:vAlign w:val="center"/>
          </w:tcPr>
          <w:p w14:paraId="51C91798" w14:textId="77777777" w:rsidR="00C70AE2" w:rsidRDefault="00000000">
            <w:pPr>
              <w:spacing w:after="0" w:line="240" w:lineRule="auto"/>
              <w:jc w:val="center"/>
            </w:pPr>
            <w:r>
              <w:rPr>
                <w:rFonts w:ascii="Times New Roman" w:hAnsi="Times New Roman"/>
                <w:b/>
                <w:sz w:val="14"/>
              </w:rPr>
              <w:t>p</w:t>
            </w:r>
          </w:p>
        </w:tc>
        <w:tc>
          <w:tcPr>
            <w:tcW w:w="2304" w:type="dxa"/>
            <w:tcBorders>
              <w:top w:val="single" w:sz="10" w:space="0" w:color="000000"/>
              <w:left w:val="nil"/>
              <w:bottom w:val="single" w:sz="8" w:space="0" w:color="000000"/>
              <w:right w:val="nil"/>
            </w:tcBorders>
            <w:shd w:val="clear" w:color="auto" w:fill="EDEDED"/>
            <w:vAlign w:val="center"/>
          </w:tcPr>
          <w:p w14:paraId="2A9B0F17" w14:textId="77777777" w:rsidR="00C70AE2" w:rsidRDefault="00000000">
            <w:pPr>
              <w:spacing w:after="0" w:line="240" w:lineRule="auto"/>
              <w:jc w:val="center"/>
            </w:pPr>
            <w:r>
              <w:rPr>
                <w:rFonts w:ascii="Times New Roman" w:hAnsi="Times New Roman"/>
                <w:b/>
                <w:sz w:val="14"/>
              </w:rPr>
              <w:t>Inference</w:t>
            </w:r>
          </w:p>
        </w:tc>
      </w:tr>
      <w:tr w:rsidR="00C70AE2" w14:paraId="02C37800" w14:textId="77777777">
        <w:trPr>
          <w:cantSplit/>
          <w:jc w:val="center"/>
        </w:trPr>
        <w:tc>
          <w:tcPr>
            <w:tcW w:w="1800" w:type="dxa"/>
            <w:tcBorders>
              <w:top w:val="nil"/>
              <w:left w:val="nil"/>
              <w:bottom w:val="nil"/>
              <w:right w:val="nil"/>
            </w:tcBorders>
            <w:shd w:val="clear" w:color="auto" w:fill="F5F5F5"/>
            <w:vAlign w:val="center"/>
          </w:tcPr>
          <w:p w14:paraId="79A997E0" w14:textId="77777777" w:rsidR="00C70AE2" w:rsidRDefault="00000000">
            <w:pPr>
              <w:spacing w:after="0" w:line="240" w:lineRule="auto"/>
            </w:pPr>
            <w:r>
              <w:rPr>
                <w:rFonts w:ascii="Times New Roman" w:hAnsi="Times New Roman"/>
                <w:i/>
                <w:sz w:val="14"/>
              </w:rPr>
              <w:t>Panel A. Robustness and sensitivity checks</w:t>
            </w:r>
          </w:p>
        </w:tc>
        <w:tc>
          <w:tcPr>
            <w:tcW w:w="3528" w:type="dxa"/>
            <w:tcBorders>
              <w:top w:val="nil"/>
              <w:left w:val="nil"/>
              <w:bottom w:val="nil"/>
              <w:right w:val="nil"/>
            </w:tcBorders>
            <w:shd w:val="clear" w:color="auto" w:fill="F5F5F5"/>
            <w:vAlign w:val="center"/>
          </w:tcPr>
          <w:p w14:paraId="7A347364" w14:textId="77777777" w:rsidR="00C70AE2" w:rsidRDefault="00C70AE2">
            <w:pPr>
              <w:spacing w:after="0" w:line="240" w:lineRule="auto"/>
              <w:jc w:val="center"/>
            </w:pPr>
          </w:p>
        </w:tc>
        <w:tc>
          <w:tcPr>
            <w:tcW w:w="1037" w:type="dxa"/>
            <w:tcBorders>
              <w:top w:val="nil"/>
              <w:left w:val="nil"/>
              <w:bottom w:val="nil"/>
              <w:right w:val="nil"/>
            </w:tcBorders>
            <w:shd w:val="clear" w:color="auto" w:fill="F5F5F5"/>
            <w:vAlign w:val="center"/>
          </w:tcPr>
          <w:p w14:paraId="493BCFAB" w14:textId="77777777" w:rsidR="00C70AE2" w:rsidRDefault="00C70AE2">
            <w:pPr>
              <w:spacing w:after="0" w:line="240" w:lineRule="auto"/>
              <w:jc w:val="center"/>
            </w:pPr>
          </w:p>
        </w:tc>
        <w:tc>
          <w:tcPr>
            <w:tcW w:w="691" w:type="dxa"/>
            <w:tcBorders>
              <w:top w:val="nil"/>
              <w:left w:val="nil"/>
              <w:bottom w:val="nil"/>
              <w:right w:val="nil"/>
            </w:tcBorders>
            <w:shd w:val="clear" w:color="auto" w:fill="F5F5F5"/>
            <w:vAlign w:val="center"/>
          </w:tcPr>
          <w:p w14:paraId="169AB535" w14:textId="77777777" w:rsidR="00C70AE2" w:rsidRDefault="00C70AE2">
            <w:pPr>
              <w:spacing w:after="0" w:line="240" w:lineRule="auto"/>
              <w:jc w:val="center"/>
            </w:pPr>
          </w:p>
        </w:tc>
        <w:tc>
          <w:tcPr>
            <w:tcW w:w="2304" w:type="dxa"/>
            <w:tcBorders>
              <w:top w:val="nil"/>
              <w:left w:val="nil"/>
              <w:bottom w:val="nil"/>
              <w:right w:val="nil"/>
            </w:tcBorders>
            <w:shd w:val="clear" w:color="auto" w:fill="F5F5F5"/>
            <w:vAlign w:val="center"/>
          </w:tcPr>
          <w:p w14:paraId="48265CD0" w14:textId="77777777" w:rsidR="00C70AE2" w:rsidRDefault="00C70AE2">
            <w:pPr>
              <w:spacing w:after="0" w:line="240" w:lineRule="auto"/>
              <w:jc w:val="center"/>
            </w:pPr>
          </w:p>
        </w:tc>
      </w:tr>
      <w:tr w:rsidR="00C70AE2" w14:paraId="7F361E25" w14:textId="77777777">
        <w:trPr>
          <w:cantSplit/>
          <w:jc w:val="center"/>
        </w:trPr>
        <w:tc>
          <w:tcPr>
            <w:tcW w:w="1800" w:type="dxa"/>
            <w:tcBorders>
              <w:top w:val="nil"/>
              <w:left w:val="nil"/>
              <w:bottom w:val="nil"/>
              <w:right w:val="nil"/>
            </w:tcBorders>
            <w:vAlign w:val="center"/>
          </w:tcPr>
          <w:p w14:paraId="1FDF42B6" w14:textId="77777777" w:rsidR="00C70AE2" w:rsidRDefault="00000000">
            <w:pPr>
              <w:spacing w:after="0" w:line="240" w:lineRule="auto"/>
            </w:pPr>
            <w:r>
              <w:rPr>
                <w:rFonts w:ascii="Times New Roman" w:hAnsi="Times New Roman"/>
                <w:sz w:val="14"/>
              </w:rPr>
              <w:t>Bilateral: include 2020 pandemic year</w:t>
            </w:r>
          </w:p>
        </w:tc>
        <w:tc>
          <w:tcPr>
            <w:tcW w:w="3528" w:type="dxa"/>
            <w:tcBorders>
              <w:top w:val="nil"/>
              <w:left w:val="nil"/>
              <w:bottom w:val="nil"/>
              <w:right w:val="nil"/>
            </w:tcBorders>
            <w:vAlign w:val="center"/>
          </w:tcPr>
          <w:p w14:paraId="530F0820" w14:textId="77777777" w:rsidR="00C70AE2" w:rsidRDefault="00000000">
            <w:pPr>
              <w:spacing w:after="0" w:line="240" w:lineRule="auto"/>
              <w:jc w:val="center"/>
            </w:pPr>
            <w:r>
              <w:rPr>
                <w:rFonts w:ascii="Times New Roman" w:hAnsi="Times New Roman"/>
                <w:sz w:val="14"/>
              </w:rPr>
              <w:t>Extends the baseline outcome window from 2008-2019 to 2008-2020</w:t>
            </w:r>
          </w:p>
        </w:tc>
        <w:tc>
          <w:tcPr>
            <w:tcW w:w="1037" w:type="dxa"/>
            <w:tcBorders>
              <w:top w:val="nil"/>
              <w:left w:val="nil"/>
              <w:bottom w:val="nil"/>
              <w:right w:val="nil"/>
            </w:tcBorders>
            <w:vAlign w:val="center"/>
          </w:tcPr>
          <w:p w14:paraId="02B79376" w14:textId="77777777" w:rsidR="00C70AE2" w:rsidRDefault="00000000">
            <w:pPr>
              <w:spacing w:after="0" w:line="240" w:lineRule="auto"/>
              <w:jc w:val="center"/>
            </w:pPr>
            <w:r>
              <w:rPr>
                <w:rFonts w:ascii="Times New Roman" w:hAnsi="Times New Roman"/>
                <w:sz w:val="14"/>
              </w:rPr>
              <w:t>0.005446***</w:t>
            </w:r>
          </w:p>
        </w:tc>
        <w:tc>
          <w:tcPr>
            <w:tcW w:w="691" w:type="dxa"/>
            <w:tcBorders>
              <w:top w:val="nil"/>
              <w:left w:val="nil"/>
              <w:bottom w:val="nil"/>
              <w:right w:val="nil"/>
            </w:tcBorders>
            <w:vAlign w:val="center"/>
          </w:tcPr>
          <w:p w14:paraId="57A0D58E" w14:textId="77777777" w:rsidR="00C70AE2" w:rsidRDefault="00000000">
            <w:pPr>
              <w:spacing w:after="0" w:line="240" w:lineRule="auto"/>
              <w:jc w:val="center"/>
            </w:pPr>
            <w:r>
              <w:rPr>
                <w:rFonts w:ascii="Times New Roman" w:hAnsi="Times New Roman"/>
                <w:sz w:val="14"/>
              </w:rPr>
              <w:t>0.004</w:t>
            </w:r>
          </w:p>
        </w:tc>
        <w:tc>
          <w:tcPr>
            <w:tcW w:w="2304" w:type="dxa"/>
            <w:tcBorders>
              <w:top w:val="nil"/>
              <w:left w:val="nil"/>
              <w:bottom w:val="nil"/>
              <w:right w:val="nil"/>
            </w:tcBorders>
            <w:vAlign w:val="center"/>
          </w:tcPr>
          <w:p w14:paraId="502D9190" w14:textId="77777777" w:rsidR="00C70AE2" w:rsidRDefault="00000000">
            <w:pPr>
              <w:spacing w:after="0" w:line="240" w:lineRule="auto"/>
              <w:jc w:val="center"/>
            </w:pPr>
            <w:r>
              <w:rPr>
                <w:rFonts w:ascii="Times New Roman" w:hAnsi="Times New Roman"/>
                <w:sz w:val="14"/>
              </w:rPr>
              <w:t>Significant; bootstrap p = 0.024</w:t>
            </w:r>
          </w:p>
        </w:tc>
      </w:tr>
      <w:tr w:rsidR="00C70AE2" w14:paraId="78AC653B" w14:textId="77777777">
        <w:trPr>
          <w:cantSplit/>
          <w:jc w:val="center"/>
        </w:trPr>
        <w:tc>
          <w:tcPr>
            <w:tcW w:w="1800" w:type="dxa"/>
            <w:tcBorders>
              <w:top w:val="nil"/>
              <w:left w:val="nil"/>
              <w:bottom w:val="nil"/>
              <w:right w:val="nil"/>
            </w:tcBorders>
            <w:vAlign w:val="center"/>
          </w:tcPr>
          <w:p w14:paraId="5A2F73AA" w14:textId="77777777" w:rsidR="00C70AE2" w:rsidRDefault="00000000">
            <w:pPr>
              <w:spacing w:after="0" w:line="240" w:lineRule="auto"/>
            </w:pPr>
            <w:r>
              <w:rPr>
                <w:rFonts w:ascii="Times New Roman" w:hAnsi="Times New Roman"/>
                <w:sz w:val="14"/>
              </w:rPr>
              <w:t>Bilateral: no minimum-cell cutoff</w:t>
            </w:r>
          </w:p>
        </w:tc>
        <w:tc>
          <w:tcPr>
            <w:tcW w:w="3528" w:type="dxa"/>
            <w:tcBorders>
              <w:top w:val="nil"/>
              <w:left w:val="nil"/>
              <w:bottom w:val="nil"/>
              <w:right w:val="nil"/>
            </w:tcBorders>
            <w:vAlign w:val="center"/>
          </w:tcPr>
          <w:p w14:paraId="6975351F" w14:textId="77777777" w:rsidR="00C70AE2" w:rsidRDefault="00000000">
            <w:pPr>
              <w:spacing w:after="0" w:line="240" w:lineRule="auto"/>
              <w:jc w:val="center"/>
            </w:pPr>
            <w:r>
              <w:rPr>
                <w:rFonts w:ascii="Times New Roman" w:hAnsi="Times New Roman"/>
                <w:sz w:val="14"/>
              </w:rPr>
              <w:t>Retains every positive employment-permit denominator</w:t>
            </w:r>
          </w:p>
        </w:tc>
        <w:tc>
          <w:tcPr>
            <w:tcW w:w="1037" w:type="dxa"/>
            <w:tcBorders>
              <w:top w:val="nil"/>
              <w:left w:val="nil"/>
              <w:bottom w:val="nil"/>
              <w:right w:val="nil"/>
            </w:tcBorders>
            <w:vAlign w:val="center"/>
          </w:tcPr>
          <w:p w14:paraId="5083C379" w14:textId="77777777" w:rsidR="00C70AE2" w:rsidRDefault="00000000">
            <w:pPr>
              <w:spacing w:after="0" w:line="240" w:lineRule="auto"/>
              <w:jc w:val="center"/>
            </w:pPr>
            <w:r>
              <w:rPr>
                <w:rFonts w:ascii="Times New Roman" w:hAnsi="Times New Roman"/>
                <w:sz w:val="14"/>
              </w:rPr>
              <w:t>0.005978***</w:t>
            </w:r>
          </w:p>
        </w:tc>
        <w:tc>
          <w:tcPr>
            <w:tcW w:w="691" w:type="dxa"/>
            <w:tcBorders>
              <w:top w:val="nil"/>
              <w:left w:val="nil"/>
              <w:bottom w:val="nil"/>
              <w:right w:val="nil"/>
            </w:tcBorders>
            <w:vAlign w:val="center"/>
          </w:tcPr>
          <w:p w14:paraId="69EED14C" w14: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09E0305F" w14:textId="77777777" w:rsidR="00C70AE2" w:rsidRDefault="00000000">
            <w:pPr>
              <w:spacing w:after="0" w:line="240" w:lineRule="auto"/>
              <w:jc w:val="center"/>
            </w:pPr>
            <w:r>
              <w:rPr>
                <w:rFonts w:ascii="Times New Roman" w:hAnsi="Times New Roman"/>
                <w:sz w:val="14"/>
              </w:rPr>
              <w:t>Significant; not created by cutoff</w:t>
            </w:r>
          </w:p>
        </w:tc>
      </w:tr>
      <w:tr w:rsidR="00C70AE2" w14:paraId="24C382C4" w14:textId="77777777">
        <w:trPr>
          <w:cantSplit/>
          <w:jc w:val="center"/>
        </w:trPr>
        <w:tc>
          <w:tcPr>
            <w:tcW w:w="1800" w:type="dxa"/>
            <w:tcBorders>
              <w:top w:val="nil"/>
              <w:left w:val="nil"/>
              <w:bottom w:val="nil"/>
              <w:right w:val="nil"/>
            </w:tcBorders>
            <w:vAlign w:val="center"/>
          </w:tcPr>
          <w:p w14:paraId="08B47588" w14:textId="77777777" w:rsidR="00C70AE2" w:rsidRDefault="00000000">
            <w:pPr>
              <w:spacing w:after="0" w:line="240" w:lineRule="auto"/>
            </w:pPr>
            <w:r>
              <w:rPr>
                <w:rFonts w:ascii="Times New Roman" w:hAnsi="Times New Roman"/>
                <w:sz w:val="14"/>
              </w:rPr>
              <w:t>Bilateral: all-first-permits denominator</w:t>
            </w:r>
          </w:p>
        </w:tc>
        <w:tc>
          <w:tcPr>
            <w:tcW w:w="3528" w:type="dxa"/>
            <w:tcBorders>
              <w:top w:val="nil"/>
              <w:left w:val="nil"/>
              <w:bottom w:val="nil"/>
              <w:right w:val="nil"/>
            </w:tcBorders>
            <w:vAlign w:val="center"/>
          </w:tcPr>
          <w:p w14:paraId="0E0DA7DE" w14:textId="77777777" w:rsidR="00C70AE2" w:rsidRDefault="00000000">
            <w:pPr>
              <w:spacing w:after="0" w:line="240" w:lineRule="auto"/>
              <w:jc w:val="center"/>
            </w:pPr>
            <w:r>
              <w:rPr>
                <w:rFonts w:ascii="Times New Roman" w:hAnsi="Times New Roman"/>
                <w:sz w:val="14"/>
              </w:rPr>
              <w:t>Replaces the employment-permit denominator with all first residence permits</w:t>
            </w:r>
          </w:p>
        </w:tc>
        <w:tc>
          <w:tcPr>
            <w:tcW w:w="1037" w:type="dxa"/>
            <w:tcBorders>
              <w:top w:val="nil"/>
              <w:left w:val="nil"/>
              <w:bottom w:val="nil"/>
              <w:right w:val="nil"/>
            </w:tcBorders>
            <w:vAlign w:val="center"/>
          </w:tcPr>
          <w:p w14:paraId="3CEDB1BC" w14:textId="77777777" w:rsidR="00C70AE2" w:rsidRDefault="00000000">
            <w:pPr>
              <w:spacing w:after="0" w:line="240" w:lineRule="auto"/>
              <w:jc w:val="center"/>
            </w:pPr>
            <w:r>
              <w:rPr>
                <w:rFonts w:ascii="Times New Roman" w:hAnsi="Times New Roman"/>
                <w:sz w:val="14"/>
              </w:rPr>
              <w:t>0.000958***</w:t>
            </w:r>
          </w:p>
        </w:tc>
        <w:tc>
          <w:tcPr>
            <w:tcW w:w="691" w:type="dxa"/>
            <w:tcBorders>
              <w:top w:val="nil"/>
              <w:left w:val="nil"/>
              <w:bottom w:val="nil"/>
              <w:right w:val="nil"/>
            </w:tcBorders>
            <w:vAlign w:val="center"/>
          </w:tcPr>
          <w:p w14:paraId="05C85B15" w14:textId="77777777" w:rsidR="00C70AE2" w:rsidRDefault="00000000">
            <w:pPr>
              <w:spacing w:after="0" w:line="240" w:lineRule="auto"/>
              <w:jc w:val="center"/>
            </w:pPr>
            <w:r>
              <w:rPr>
                <w:rFonts w:ascii="Times New Roman" w:hAnsi="Times New Roman"/>
                <w:sz w:val="14"/>
              </w:rPr>
              <w:t>0.004</w:t>
            </w:r>
          </w:p>
        </w:tc>
        <w:tc>
          <w:tcPr>
            <w:tcW w:w="2304" w:type="dxa"/>
            <w:tcBorders>
              <w:top w:val="nil"/>
              <w:left w:val="nil"/>
              <w:bottom w:val="nil"/>
              <w:right w:val="nil"/>
            </w:tcBorders>
            <w:vAlign w:val="center"/>
          </w:tcPr>
          <w:p w14:paraId="725AE9AD" w14:textId="77777777" w:rsidR="00C70AE2" w:rsidRDefault="00000000">
            <w:pPr>
              <w:spacing w:after="0" w:line="240" w:lineRule="auto"/>
              <w:jc w:val="center"/>
            </w:pPr>
            <w:r>
              <w:rPr>
                <w:rFonts w:ascii="Times New Roman" w:hAnsi="Times New Roman"/>
                <w:sz w:val="14"/>
              </w:rPr>
              <w:t>Significant; survives broader denominator</w:t>
            </w:r>
          </w:p>
        </w:tc>
      </w:tr>
      <w:tr w:rsidR="00C70AE2" w14:paraId="087B68CF" w14:textId="77777777">
        <w:trPr>
          <w:cantSplit/>
          <w:jc w:val="center"/>
        </w:trPr>
        <w:tc>
          <w:tcPr>
            <w:tcW w:w="1800" w:type="dxa"/>
            <w:tcBorders>
              <w:top w:val="nil"/>
              <w:left w:val="nil"/>
              <w:bottom w:val="nil"/>
              <w:right w:val="nil"/>
            </w:tcBorders>
            <w:vAlign w:val="center"/>
          </w:tcPr>
          <w:p w14:paraId="7B7C68D9" w14:textId="77777777" w:rsidR="00C70AE2" w:rsidRDefault="00000000">
            <w:pPr>
              <w:spacing w:after="0" w:line="240" w:lineRule="auto"/>
            </w:pPr>
            <w:r>
              <w:rPr>
                <w:rFonts w:ascii="Times New Roman" w:hAnsi="Times New Roman"/>
                <w:sz w:val="14"/>
              </w:rPr>
              <w:t>Bilateral: ILOSTAT, no UK</w:t>
            </w:r>
          </w:p>
        </w:tc>
        <w:tc>
          <w:tcPr>
            <w:tcW w:w="3528" w:type="dxa"/>
            <w:tcBorders>
              <w:top w:val="nil"/>
              <w:left w:val="nil"/>
              <w:bottom w:val="nil"/>
              <w:right w:val="nil"/>
            </w:tcBorders>
            <w:vAlign w:val="center"/>
          </w:tcPr>
          <w:p w14:paraId="6ECF5041" w14:textId="77777777" w:rsidR="00C70AE2" w:rsidRDefault="00000000">
            <w:pPr>
              <w:spacing w:after="0" w:line="240" w:lineRule="auto"/>
              <w:jc w:val="center"/>
            </w:pPr>
            <w:r>
              <w:rPr>
                <w:rFonts w:ascii="Times New Roman" w:hAnsi="Times New Roman"/>
                <w:sz w:val="14"/>
              </w:rPr>
              <w:t>Replaces Eurostat unemployment with ILOSTAT</w:t>
            </w:r>
          </w:p>
        </w:tc>
        <w:tc>
          <w:tcPr>
            <w:tcW w:w="1037" w:type="dxa"/>
            <w:tcBorders>
              <w:top w:val="nil"/>
              <w:left w:val="nil"/>
              <w:bottom w:val="nil"/>
              <w:right w:val="nil"/>
            </w:tcBorders>
            <w:vAlign w:val="center"/>
          </w:tcPr>
          <w:p w14:paraId="2246BE62" w14:textId="77777777" w:rsidR="00C70AE2" w:rsidRDefault="00000000">
            <w:pPr>
              <w:spacing w:after="0" w:line="240" w:lineRule="auto"/>
              <w:jc w:val="center"/>
            </w:pPr>
            <w:r>
              <w:rPr>
                <w:rFonts w:ascii="Times New Roman" w:hAnsi="Times New Roman"/>
                <w:sz w:val="14"/>
              </w:rPr>
              <w:t>0.005547***</w:t>
            </w:r>
          </w:p>
        </w:tc>
        <w:tc>
          <w:tcPr>
            <w:tcW w:w="691" w:type="dxa"/>
            <w:tcBorders>
              <w:top w:val="nil"/>
              <w:left w:val="nil"/>
              <w:bottom w:val="nil"/>
              <w:right w:val="nil"/>
            </w:tcBorders>
            <w:vAlign w:val="center"/>
          </w:tcPr>
          <w:p w14:paraId="0F027751" w14: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6CA81D5D" w14:textId="77777777" w:rsidR="00C70AE2" w:rsidRDefault="00000000">
            <w:pPr>
              <w:spacing w:after="0" w:line="240" w:lineRule="auto"/>
              <w:jc w:val="center"/>
            </w:pPr>
            <w:r>
              <w:rPr>
                <w:rFonts w:ascii="Times New Roman" w:hAnsi="Times New Roman"/>
                <w:sz w:val="14"/>
              </w:rPr>
              <w:t>Significant; survives source change</w:t>
            </w:r>
          </w:p>
        </w:tc>
      </w:tr>
      <w:tr w:rsidR="00C70AE2" w14:paraId="2099D3C5" w14:textId="77777777">
        <w:trPr>
          <w:cantSplit/>
          <w:jc w:val="center"/>
        </w:trPr>
        <w:tc>
          <w:tcPr>
            <w:tcW w:w="1800" w:type="dxa"/>
            <w:tcBorders>
              <w:top w:val="nil"/>
              <w:left w:val="nil"/>
              <w:bottom w:val="nil"/>
              <w:right w:val="nil"/>
            </w:tcBorders>
            <w:vAlign w:val="center"/>
          </w:tcPr>
          <w:p w14:paraId="01706F98" w14:textId="77777777" w:rsidR="00C70AE2" w:rsidRDefault="00000000">
            <w:pPr>
              <w:spacing w:after="0" w:line="240" w:lineRule="auto"/>
            </w:pPr>
            <w:r>
              <w:rPr>
                <w:rFonts w:ascii="Times New Roman" w:hAnsi="Times New Roman"/>
                <w:sz w:val="14"/>
              </w:rPr>
              <w:t>Bilateral: ILOSTAT, with UK</w:t>
            </w:r>
          </w:p>
        </w:tc>
        <w:tc>
          <w:tcPr>
            <w:tcW w:w="3528" w:type="dxa"/>
            <w:tcBorders>
              <w:top w:val="nil"/>
              <w:left w:val="nil"/>
              <w:bottom w:val="nil"/>
              <w:right w:val="nil"/>
            </w:tcBorders>
            <w:vAlign w:val="center"/>
          </w:tcPr>
          <w:p w14:paraId="5175DC01" w14:textId="77777777" w:rsidR="00C70AE2" w:rsidRDefault="00000000">
            <w:pPr>
              <w:spacing w:after="0" w:line="240" w:lineRule="auto"/>
              <w:jc w:val="center"/>
            </w:pPr>
            <w:r>
              <w:rPr>
                <w:rFonts w:ascii="Times New Roman" w:hAnsi="Times New Roman"/>
                <w:sz w:val="14"/>
              </w:rPr>
              <w:t>Adds the United Kingdom using ILOSTAT unemployment</w:t>
            </w:r>
          </w:p>
        </w:tc>
        <w:tc>
          <w:tcPr>
            <w:tcW w:w="1037" w:type="dxa"/>
            <w:tcBorders>
              <w:top w:val="nil"/>
              <w:left w:val="nil"/>
              <w:bottom w:val="nil"/>
              <w:right w:val="nil"/>
            </w:tcBorders>
            <w:vAlign w:val="center"/>
          </w:tcPr>
          <w:p w14:paraId="3185FEA3" w14:textId="77777777" w:rsidR="00C70AE2" w:rsidRDefault="00000000">
            <w:pPr>
              <w:spacing w:after="0" w:line="240" w:lineRule="auto"/>
              <w:jc w:val="center"/>
            </w:pPr>
            <w:r>
              <w:rPr>
                <w:rFonts w:ascii="Times New Roman" w:hAnsi="Times New Roman"/>
                <w:sz w:val="14"/>
              </w:rPr>
              <w:t>0.000883</w:t>
            </w:r>
          </w:p>
        </w:tc>
        <w:tc>
          <w:tcPr>
            <w:tcW w:w="691" w:type="dxa"/>
            <w:tcBorders>
              <w:top w:val="nil"/>
              <w:left w:val="nil"/>
              <w:bottom w:val="nil"/>
              <w:right w:val="nil"/>
            </w:tcBorders>
            <w:vAlign w:val="center"/>
          </w:tcPr>
          <w:p w14:paraId="7C868435" w14:textId="77777777" w:rsidR="00C70AE2" w:rsidRDefault="00000000">
            <w:pPr>
              <w:spacing w:after="0" w:line="240" w:lineRule="auto"/>
              <w:jc w:val="center"/>
            </w:pPr>
            <w:r>
              <w:rPr>
                <w:rFonts w:ascii="Times New Roman" w:hAnsi="Times New Roman"/>
                <w:sz w:val="14"/>
              </w:rPr>
              <w:t>0.774</w:t>
            </w:r>
          </w:p>
        </w:tc>
        <w:tc>
          <w:tcPr>
            <w:tcW w:w="2304" w:type="dxa"/>
            <w:tcBorders>
              <w:top w:val="nil"/>
              <w:left w:val="nil"/>
              <w:bottom w:val="nil"/>
              <w:right w:val="nil"/>
            </w:tcBorders>
            <w:vAlign w:val="center"/>
          </w:tcPr>
          <w:p w14:paraId="4F8AF305" w14:textId="77777777" w:rsidR="00C70AE2" w:rsidRDefault="00000000">
            <w:pPr>
              <w:spacing w:after="0" w:line="240" w:lineRule="auto"/>
              <w:jc w:val="center"/>
            </w:pPr>
            <w:r>
              <w:rPr>
                <w:rFonts w:ascii="Times New Roman" w:hAnsi="Times New Roman"/>
                <w:sz w:val="14"/>
              </w:rPr>
              <w:t>Not significant</w:t>
            </w:r>
          </w:p>
        </w:tc>
      </w:tr>
      <w:tr w:rsidR="00C70AE2" w14:paraId="46B95E16" w14:textId="77777777">
        <w:trPr>
          <w:cantSplit/>
          <w:jc w:val="center"/>
        </w:trPr>
        <w:tc>
          <w:tcPr>
            <w:tcW w:w="1800" w:type="dxa"/>
            <w:tcBorders>
              <w:top w:val="nil"/>
              <w:left w:val="nil"/>
              <w:bottom w:val="nil"/>
              <w:right w:val="nil"/>
            </w:tcBorders>
            <w:vAlign w:val="center"/>
          </w:tcPr>
          <w:p w14:paraId="485DF4F2" w14:textId="77777777" w:rsidR="00C70AE2" w:rsidRDefault="00000000">
            <w:pPr>
              <w:spacing w:after="0" w:line="240" w:lineRule="auto"/>
            </w:pPr>
            <w:r>
              <w:rPr>
                <w:rFonts w:ascii="Times New Roman" w:hAnsi="Times New Roman"/>
                <w:sz w:val="14"/>
              </w:rPr>
              <w:t>Bilateral: core labor-entry measure</w:t>
            </w:r>
          </w:p>
        </w:tc>
        <w:tc>
          <w:tcPr>
            <w:tcW w:w="3528" w:type="dxa"/>
            <w:tcBorders>
              <w:top w:val="nil"/>
              <w:left w:val="nil"/>
              <w:bottom w:val="nil"/>
              <w:right w:val="nil"/>
            </w:tcBorders>
            <w:vAlign w:val="center"/>
          </w:tcPr>
          <w:p w14:paraId="578AD396" w14:textId="77777777" w:rsidR="00C70AE2" w:rsidRDefault="00000000">
            <w:pPr>
              <w:spacing w:after="0" w:line="240" w:lineRule="auto"/>
              <w:jc w:val="center"/>
            </w:pPr>
            <w:r>
              <w:rPr>
                <w:rFonts w:ascii="Times New Roman" w:hAnsi="Times New Roman"/>
                <w:sz w:val="14"/>
              </w:rPr>
              <w:t>Restricts the policy index to core labor-entry and administrative tools</w:t>
            </w:r>
          </w:p>
        </w:tc>
        <w:tc>
          <w:tcPr>
            <w:tcW w:w="1037" w:type="dxa"/>
            <w:tcBorders>
              <w:top w:val="nil"/>
              <w:left w:val="nil"/>
              <w:bottom w:val="nil"/>
              <w:right w:val="nil"/>
            </w:tcBorders>
            <w:vAlign w:val="center"/>
          </w:tcPr>
          <w:p w14:paraId="03E3FC02" w14:textId="77777777" w:rsidR="00C70AE2" w:rsidRDefault="00000000">
            <w:pPr>
              <w:spacing w:after="0" w:line="240" w:lineRule="auto"/>
              <w:jc w:val="center"/>
            </w:pPr>
            <w:r>
              <w:rPr>
                <w:rFonts w:ascii="Times New Roman" w:hAnsi="Times New Roman"/>
                <w:sz w:val="14"/>
              </w:rPr>
              <w:t>0.004389**</w:t>
            </w:r>
          </w:p>
        </w:tc>
        <w:tc>
          <w:tcPr>
            <w:tcW w:w="691" w:type="dxa"/>
            <w:tcBorders>
              <w:top w:val="nil"/>
              <w:left w:val="nil"/>
              <w:bottom w:val="nil"/>
              <w:right w:val="nil"/>
            </w:tcBorders>
            <w:vAlign w:val="center"/>
          </w:tcPr>
          <w:p w14:paraId="5C479C63" w14:textId="77777777" w:rsidR="00C70AE2" w:rsidRDefault="00000000">
            <w:pPr>
              <w:spacing w:after="0" w:line="240" w:lineRule="auto"/>
              <w:jc w:val="center"/>
            </w:pPr>
            <w:r>
              <w:rPr>
                <w:rFonts w:ascii="Times New Roman" w:hAnsi="Times New Roman"/>
                <w:sz w:val="14"/>
              </w:rPr>
              <w:t>0.015</w:t>
            </w:r>
          </w:p>
        </w:tc>
        <w:tc>
          <w:tcPr>
            <w:tcW w:w="2304" w:type="dxa"/>
            <w:tcBorders>
              <w:top w:val="nil"/>
              <w:left w:val="nil"/>
              <w:bottom w:val="nil"/>
              <w:right w:val="nil"/>
            </w:tcBorders>
            <w:vAlign w:val="center"/>
          </w:tcPr>
          <w:p w14:paraId="42475CA1" w14:textId="77777777" w:rsidR="00C70AE2" w:rsidRDefault="00000000">
            <w:pPr>
              <w:spacing w:after="0" w:line="240" w:lineRule="auto"/>
              <w:jc w:val="center"/>
            </w:pPr>
            <w:r>
              <w:rPr>
                <w:rFonts w:ascii="Times New Roman" w:hAnsi="Times New Roman"/>
                <w:sz w:val="14"/>
              </w:rPr>
              <w:t>Positive and significant</w:t>
            </w:r>
          </w:p>
        </w:tc>
      </w:tr>
      <w:tr w:rsidR="00C70AE2" w14:paraId="6DCE9567" w14:textId="77777777">
        <w:trPr>
          <w:cantSplit/>
          <w:jc w:val="center"/>
        </w:trPr>
        <w:tc>
          <w:tcPr>
            <w:tcW w:w="1800" w:type="dxa"/>
            <w:tcBorders>
              <w:top w:val="nil"/>
              <w:left w:val="nil"/>
              <w:bottom w:val="nil"/>
              <w:right w:val="nil"/>
            </w:tcBorders>
            <w:vAlign w:val="center"/>
          </w:tcPr>
          <w:p w14:paraId="505B446A" w14:textId="77777777" w:rsidR="00C70AE2" w:rsidRDefault="00000000">
            <w:pPr>
              <w:spacing w:after="0" w:line="240" w:lineRule="auto"/>
            </w:pPr>
            <w:r>
              <w:rPr>
                <w:rFonts w:ascii="Times New Roman" w:hAnsi="Times New Roman"/>
                <w:sz w:val="14"/>
              </w:rPr>
              <w:t>Bilateral: work-visa tool only</w:t>
            </w:r>
          </w:p>
        </w:tc>
        <w:tc>
          <w:tcPr>
            <w:tcW w:w="3528" w:type="dxa"/>
            <w:tcBorders>
              <w:top w:val="nil"/>
              <w:left w:val="nil"/>
              <w:bottom w:val="nil"/>
              <w:right w:val="nil"/>
            </w:tcBorders>
            <w:vAlign w:val="center"/>
          </w:tcPr>
          <w:p w14:paraId="585C68DA" w14:textId="77777777" w:rsidR="00C70AE2" w:rsidRDefault="00000000">
            <w:pPr>
              <w:spacing w:after="0" w:line="240" w:lineRule="auto"/>
              <w:jc w:val="center"/>
            </w:pPr>
            <w:r>
              <w:rPr>
                <w:rFonts w:ascii="Times New Roman" w:hAnsi="Times New Roman"/>
                <w:sz w:val="14"/>
              </w:rPr>
              <w:t>Restricts the policy index to work-visa and work-permit events</w:t>
            </w:r>
          </w:p>
        </w:tc>
        <w:tc>
          <w:tcPr>
            <w:tcW w:w="1037" w:type="dxa"/>
            <w:tcBorders>
              <w:top w:val="nil"/>
              <w:left w:val="nil"/>
              <w:bottom w:val="nil"/>
              <w:right w:val="nil"/>
            </w:tcBorders>
            <w:vAlign w:val="center"/>
          </w:tcPr>
          <w:p w14:paraId="6C2F64EF" w14:textId="77777777" w:rsidR="00C70AE2" w:rsidRDefault="00000000">
            <w:pPr>
              <w:spacing w:after="0" w:line="240" w:lineRule="auto"/>
              <w:jc w:val="center"/>
            </w:pPr>
            <w:r>
              <w:rPr>
                <w:rFonts w:ascii="Times New Roman" w:hAnsi="Times New Roman"/>
                <w:sz w:val="14"/>
              </w:rPr>
              <w:t>0.008190***</w:t>
            </w:r>
          </w:p>
        </w:tc>
        <w:tc>
          <w:tcPr>
            <w:tcW w:w="691" w:type="dxa"/>
            <w:tcBorders>
              <w:top w:val="nil"/>
              <w:left w:val="nil"/>
              <w:bottom w:val="nil"/>
              <w:right w:val="nil"/>
            </w:tcBorders>
            <w:vAlign w:val="center"/>
          </w:tcPr>
          <w:p w14:paraId="71401AAF" w14: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434CA123" w14:textId="77777777" w:rsidR="00C70AE2" w:rsidRDefault="00000000">
            <w:pPr>
              <w:spacing w:after="0" w:line="240" w:lineRule="auto"/>
              <w:jc w:val="center"/>
            </w:pPr>
            <w:r>
              <w:rPr>
                <w:rFonts w:ascii="Times New Roman" w:hAnsi="Times New Roman"/>
                <w:sz w:val="14"/>
              </w:rPr>
              <w:t>Significant; larger estimate</w:t>
            </w:r>
          </w:p>
        </w:tc>
      </w:tr>
      <w:tr w:rsidR="00C70AE2" w14:paraId="231F82CE" w14:textId="77777777">
        <w:trPr>
          <w:cantSplit/>
          <w:jc w:val="center"/>
        </w:trPr>
        <w:tc>
          <w:tcPr>
            <w:tcW w:w="1800" w:type="dxa"/>
            <w:tcBorders>
              <w:top w:val="nil"/>
              <w:left w:val="nil"/>
              <w:bottom w:val="nil"/>
              <w:right w:val="nil"/>
            </w:tcBorders>
            <w:vAlign w:val="center"/>
          </w:tcPr>
          <w:p w14:paraId="29467A85" w14:textId="77777777" w:rsidR="00C70AE2" w:rsidRDefault="00000000">
            <w:pPr>
              <w:spacing w:after="0" w:line="240" w:lineRule="auto"/>
            </w:pPr>
            <w:r>
              <w:rPr>
                <w:rFonts w:ascii="Times New Roman" w:hAnsi="Times New Roman"/>
                <w:sz w:val="14"/>
              </w:rPr>
              <w:t>Bilateral: origin-income strata</w:t>
            </w:r>
          </w:p>
        </w:tc>
        <w:tc>
          <w:tcPr>
            <w:tcW w:w="3528" w:type="dxa"/>
            <w:tcBorders>
              <w:top w:val="nil"/>
              <w:left w:val="nil"/>
              <w:bottom w:val="nil"/>
              <w:right w:val="nil"/>
            </w:tcBorders>
            <w:vAlign w:val="center"/>
          </w:tcPr>
          <w:p w14:paraId="0FD6FB97" w14:textId="77777777" w:rsidR="00C70AE2" w:rsidRDefault="00000000">
            <w:pPr>
              <w:spacing w:after="0" w:line="240" w:lineRule="auto"/>
              <w:jc w:val="center"/>
            </w:pPr>
            <w:r>
              <w:rPr>
                <w:rFonts w:ascii="Times New Roman" w:hAnsi="Times New Roman"/>
                <w:sz w:val="14"/>
              </w:rPr>
              <w:t>Re-estimates the preferred model by World Bank FY2020 origin-income group</w:t>
            </w:r>
          </w:p>
        </w:tc>
        <w:tc>
          <w:tcPr>
            <w:tcW w:w="1037" w:type="dxa"/>
            <w:tcBorders>
              <w:top w:val="nil"/>
              <w:left w:val="nil"/>
              <w:bottom w:val="nil"/>
              <w:right w:val="nil"/>
            </w:tcBorders>
            <w:vAlign w:val="center"/>
          </w:tcPr>
          <w:p w14:paraId="457E76F8" w14:textId="77777777" w:rsidR="00C70AE2" w:rsidRDefault="00000000">
            <w:pPr>
              <w:spacing w:after="0" w:line="240" w:lineRule="auto"/>
              <w:jc w:val="center"/>
            </w:pPr>
            <w:r>
              <w:rPr>
                <w:rFonts w:ascii="Times New Roman" w:hAnsi="Times New Roman"/>
                <w:sz w:val="14"/>
              </w:rPr>
              <w:t>See text</w:t>
            </w:r>
          </w:p>
        </w:tc>
        <w:tc>
          <w:tcPr>
            <w:tcW w:w="691" w:type="dxa"/>
            <w:tcBorders>
              <w:top w:val="nil"/>
              <w:left w:val="nil"/>
              <w:bottom w:val="nil"/>
              <w:right w:val="nil"/>
            </w:tcBorders>
            <w:vAlign w:val="center"/>
          </w:tcPr>
          <w:p w14:paraId="1FA6DAE4" w14:textId="77777777" w:rsidR="00C70AE2" w:rsidRDefault="00000000">
            <w:pPr>
              <w:spacing w:after="0" w:line="240" w:lineRule="auto"/>
              <w:jc w:val="center"/>
            </w:pPr>
            <w:r>
              <w:rPr>
                <w:rFonts w:ascii="Times New Roman" w:hAnsi="Times New Roman"/>
                <w:sz w:val="14"/>
              </w:rPr>
              <w:t>See text</w:t>
            </w:r>
          </w:p>
        </w:tc>
        <w:tc>
          <w:tcPr>
            <w:tcW w:w="2304" w:type="dxa"/>
            <w:tcBorders>
              <w:top w:val="nil"/>
              <w:left w:val="nil"/>
              <w:bottom w:val="nil"/>
              <w:right w:val="nil"/>
            </w:tcBorders>
            <w:vAlign w:val="center"/>
          </w:tcPr>
          <w:p w14:paraId="5F282BA7" w14:textId="77777777" w:rsidR="00C70AE2" w:rsidRDefault="00000000">
            <w:pPr>
              <w:spacing w:after="0" w:line="240" w:lineRule="auto"/>
              <w:jc w:val="center"/>
            </w:pPr>
            <w:r>
              <w:rPr>
                <w:rFonts w:ascii="Times New Roman" w:hAnsi="Times New Roman"/>
                <w:sz w:val="14"/>
              </w:rPr>
              <w:t>Positive and significant for H/UM/LM; low-income estimate is negative and marginal</w:t>
            </w:r>
          </w:p>
        </w:tc>
      </w:tr>
      <w:tr w:rsidR="00C70AE2" w14:paraId="2F9B22BD" w14:textId="77777777">
        <w:trPr>
          <w:cantSplit/>
          <w:jc w:val="center"/>
        </w:trPr>
        <w:tc>
          <w:tcPr>
            <w:tcW w:w="1800" w:type="dxa"/>
            <w:tcBorders>
              <w:top w:val="nil"/>
              <w:left w:val="nil"/>
              <w:bottom w:val="nil"/>
              <w:right w:val="nil"/>
            </w:tcBorders>
            <w:vAlign w:val="center"/>
          </w:tcPr>
          <w:p w14:paraId="0AE9EA36" w14:textId="77777777" w:rsidR="00C70AE2" w:rsidRDefault="00000000">
            <w:pPr>
              <w:spacing w:after="0" w:line="240" w:lineRule="auto"/>
            </w:pPr>
            <w:r>
              <w:rPr>
                <w:rFonts w:ascii="Times New Roman" w:hAnsi="Times New Roman"/>
                <w:sz w:val="14"/>
              </w:rPr>
              <w:t>Bilateral: EU directive windows</w:t>
            </w:r>
          </w:p>
        </w:tc>
        <w:tc>
          <w:tcPr>
            <w:tcW w:w="3528" w:type="dxa"/>
            <w:tcBorders>
              <w:top w:val="nil"/>
              <w:left w:val="nil"/>
              <w:bottom w:val="nil"/>
              <w:right w:val="nil"/>
            </w:tcBorders>
            <w:vAlign w:val="center"/>
          </w:tcPr>
          <w:p w14:paraId="4ACAD722" w14:textId="77777777" w:rsidR="00C70AE2" w:rsidRDefault="00000000">
            <w:pPr>
              <w:spacing w:after="0" w:line="240" w:lineRule="auto"/>
              <w:jc w:val="center"/>
            </w:pPr>
            <w:r>
              <w:rPr>
                <w:rFonts w:ascii="Times New Roman" w:hAnsi="Times New Roman"/>
                <w:sz w:val="14"/>
              </w:rPr>
              <w:t>Adds four destination-year directive-window controls where legally applicable</w:t>
            </w:r>
          </w:p>
        </w:tc>
        <w:tc>
          <w:tcPr>
            <w:tcW w:w="1037" w:type="dxa"/>
            <w:tcBorders>
              <w:top w:val="nil"/>
              <w:left w:val="nil"/>
              <w:bottom w:val="nil"/>
              <w:right w:val="nil"/>
            </w:tcBorders>
            <w:vAlign w:val="center"/>
          </w:tcPr>
          <w:p w14:paraId="62AC120F" w14:textId="77777777" w:rsidR="00C70AE2" w:rsidRDefault="00000000">
            <w:pPr>
              <w:spacing w:after="0" w:line="240" w:lineRule="auto"/>
              <w:jc w:val="center"/>
            </w:pPr>
            <w:r>
              <w:rPr>
                <w:rFonts w:ascii="Times New Roman" w:hAnsi="Times New Roman"/>
                <w:sz w:val="14"/>
              </w:rPr>
              <w:t>0.006587***</w:t>
            </w:r>
          </w:p>
        </w:tc>
        <w:tc>
          <w:tcPr>
            <w:tcW w:w="691" w:type="dxa"/>
            <w:tcBorders>
              <w:top w:val="nil"/>
              <w:left w:val="nil"/>
              <w:bottom w:val="nil"/>
              <w:right w:val="nil"/>
            </w:tcBorders>
            <w:vAlign w:val="center"/>
          </w:tcPr>
          <w:p w14:paraId="7E3DBA10" w14: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2117F83E" w14:textId="77777777" w:rsidR="00C70AE2" w:rsidRDefault="00000000">
            <w:pPr>
              <w:spacing w:after="0" w:line="240" w:lineRule="auto"/>
              <w:jc w:val="center"/>
            </w:pPr>
            <w:r>
              <w:rPr>
                <w:rFonts w:ascii="Times New Roman" w:hAnsi="Times New Roman"/>
                <w:sz w:val="14"/>
              </w:rPr>
              <w:t>Preferred coefficient remains stable</w:t>
            </w:r>
          </w:p>
        </w:tc>
      </w:tr>
      <w:tr w:rsidR="00C70AE2" w14:paraId="00EC18B6" w14:textId="77777777">
        <w:trPr>
          <w:cantSplit/>
          <w:jc w:val="center"/>
        </w:trPr>
        <w:tc>
          <w:tcPr>
            <w:tcW w:w="1800" w:type="dxa"/>
            <w:tcBorders>
              <w:top w:val="nil"/>
              <w:left w:val="nil"/>
              <w:bottom w:val="nil"/>
              <w:right w:val="nil"/>
            </w:tcBorders>
            <w:vAlign w:val="center"/>
          </w:tcPr>
          <w:p w14:paraId="6D9079AF" w14:textId="77777777" w:rsidR="00C70AE2" w:rsidRDefault="00000000">
            <w:pPr>
              <w:spacing w:after="0" w:line="240" w:lineRule="auto"/>
            </w:pPr>
            <w:r>
              <w:rPr>
                <w:rFonts w:ascii="Times New Roman" w:hAnsi="Times New Roman"/>
                <w:sz w:val="14"/>
              </w:rPr>
              <w:t>Bilateral: prior-year denominator weights</w:t>
            </w:r>
          </w:p>
        </w:tc>
        <w:tc>
          <w:tcPr>
            <w:tcW w:w="3528" w:type="dxa"/>
            <w:tcBorders>
              <w:top w:val="nil"/>
              <w:left w:val="nil"/>
              <w:bottom w:val="nil"/>
              <w:right w:val="nil"/>
            </w:tcBorders>
            <w:vAlign w:val="center"/>
          </w:tcPr>
          <w:p w14:paraId="5A992449" w14:textId="77777777" w:rsidR="00C70AE2" w:rsidRDefault="00000000">
            <w:pPr>
              <w:spacing w:after="0" w:line="240" w:lineRule="auto"/>
              <w:jc w:val="center"/>
            </w:pPr>
            <w:r>
              <w:rPr>
                <w:rFonts w:ascii="Times New Roman" w:hAnsi="Times New Roman"/>
                <w:sz w:val="14"/>
              </w:rPr>
              <w:t>Replaces the current-year precision weight with the previous year's employment-permit denominator</w:t>
            </w:r>
          </w:p>
        </w:tc>
        <w:tc>
          <w:tcPr>
            <w:tcW w:w="1037" w:type="dxa"/>
            <w:tcBorders>
              <w:top w:val="nil"/>
              <w:left w:val="nil"/>
              <w:bottom w:val="nil"/>
              <w:right w:val="nil"/>
            </w:tcBorders>
            <w:vAlign w:val="center"/>
          </w:tcPr>
          <w:p w14:paraId="4011EC25" w14:textId="77777777" w:rsidR="00C70AE2" w:rsidRDefault="00000000">
            <w:pPr>
              <w:spacing w:after="0" w:line="240" w:lineRule="auto"/>
              <w:jc w:val="center"/>
            </w:pPr>
            <w:r>
              <w:rPr>
                <w:rFonts w:ascii="Times New Roman" w:hAnsi="Times New Roman"/>
                <w:sz w:val="14"/>
              </w:rPr>
              <w:t>0.006858***</w:t>
            </w:r>
          </w:p>
        </w:tc>
        <w:tc>
          <w:tcPr>
            <w:tcW w:w="691" w:type="dxa"/>
            <w:tcBorders>
              <w:top w:val="nil"/>
              <w:left w:val="nil"/>
              <w:bottom w:val="nil"/>
              <w:right w:val="nil"/>
            </w:tcBorders>
            <w:vAlign w:val="center"/>
          </w:tcPr>
          <w:p w14:paraId="0A9D294D" w14:textId="77777777" w:rsidR="00C70AE2" w:rsidRDefault="00000000">
            <w:pPr>
              <w:spacing w:after="0" w:line="240" w:lineRule="auto"/>
              <w:jc w:val="center"/>
            </w:pPr>
            <w:r>
              <w:rPr>
                <w:rFonts w:ascii="Times New Roman" w:hAnsi="Times New Roman"/>
                <w:sz w:val="14"/>
              </w:rPr>
              <w:t>&lt;0.001</w:t>
            </w:r>
          </w:p>
        </w:tc>
        <w:tc>
          <w:tcPr>
            <w:tcW w:w="2304" w:type="dxa"/>
            <w:tcBorders>
              <w:top w:val="nil"/>
              <w:left w:val="nil"/>
              <w:bottom w:val="nil"/>
              <w:right w:val="nil"/>
            </w:tcBorders>
            <w:vAlign w:val="center"/>
          </w:tcPr>
          <w:p w14:paraId="4A462AFD" w14:textId="77777777" w:rsidR="00C70AE2" w:rsidRDefault="00000000">
            <w:pPr>
              <w:spacing w:after="0" w:line="240" w:lineRule="auto"/>
              <w:jc w:val="center"/>
            </w:pPr>
            <w:r>
              <w:rPr>
                <w:rFonts w:ascii="Times New Roman" w:hAnsi="Times New Roman"/>
                <w:sz w:val="14"/>
              </w:rPr>
              <w:t>Significant; bootstrap p = 0.0025</w:t>
            </w:r>
          </w:p>
        </w:tc>
      </w:tr>
      <w:tr w:rsidR="00C70AE2" w14:paraId="23B5BE60" w14:textId="77777777">
        <w:trPr>
          <w:cantSplit/>
          <w:jc w:val="center"/>
        </w:trPr>
        <w:tc>
          <w:tcPr>
            <w:tcW w:w="1800" w:type="dxa"/>
            <w:tcBorders>
              <w:top w:val="nil"/>
              <w:left w:val="nil"/>
              <w:bottom w:val="nil"/>
              <w:right w:val="nil"/>
            </w:tcBorders>
            <w:vAlign w:val="center"/>
          </w:tcPr>
          <w:p w14:paraId="7C7CA7B3" w14:textId="77777777" w:rsidR="00C70AE2" w:rsidRDefault="00000000">
            <w:pPr>
              <w:spacing w:after="0" w:line="240" w:lineRule="auto"/>
            </w:pPr>
            <w:r>
              <w:rPr>
                <w:rFonts w:ascii="Times New Roman" w:hAnsi="Times New Roman"/>
                <w:sz w:val="14"/>
              </w:rPr>
              <w:t>Bilateral: leave-one-destination-out</w:t>
            </w:r>
          </w:p>
        </w:tc>
        <w:tc>
          <w:tcPr>
            <w:tcW w:w="3528" w:type="dxa"/>
            <w:tcBorders>
              <w:top w:val="nil"/>
              <w:left w:val="nil"/>
              <w:bottom w:val="nil"/>
              <w:right w:val="nil"/>
            </w:tcBorders>
            <w:vAlign w:val="center"/>
          </w:tcPr>
          <w:p w14:paraId="553A76F6" w14:textId="77777777" w:rsidR="00C70AE2" w:rsidRDefault="00000000">
            <w:pPr>
              <w:spacing w:after="0" w:line="240" w:lineRule="auto"/>
              <w:jc w:val="center"/>
            </w:pPr>
            <w:r>
              <w:rPr>
                <w:rFonts w:ascii="Times New Roman" w:hAnsi="Times New Roman"/>
                <w:sz w:val="14"/>
              </w:rPr>
              <w:t>Re-estimates the preferred model omitting each of the 30 destinations in turn</w:t>
            </w:r>
          </w:p>
        </w:tc>
        <w:tc>
          <w:tcPr>
            <w:tcW w:w="1037" w:type="dxa"/>
            <w:tcBorders>
              <w:top w:val="nil"/>
              <w:left w:val="nil"/>
              <w:bottom w:val="nil"/>
              <w:right w:val="nil"/>
            </w:tcBorders>
            <w:vAlign w:val="center"/>
          </w:tcPr>
          <w:p w14:paraId="3EF2A730" w14:textId="77777777" w:rsidR="00C70AE2" w:rsidRDefault="00000000">
            <w:pPr>
              <w:spacing w:after="0" w:line="240" w:lineRule="auto"/>
              <w:jc w:val="center"/>
            </w:pPr>
            <w:r>
              <w:rPr>
                <w:rFonts w:ascii="Times New Roman" w:hAnsi="Times New Roman"/>
                <w:sz w:val="14"/>
              </w:rPr>
              <w:t>0.0039 to 0.0073</w:t>
            </w:r>
          </w:p>
        </w:tc>
        <w:tc>
          <w:tcPr>
            <w:tcW w:w="691" w:type="dxa"/>
            <w:tcBorders>
              <w:top w:val="nil"/>
              <w:left w:val="nil"/>
              <w:bottom w:val="nil"/>
              <w:right w:val="nil"/>
            </w:tcBorders>
            <w:vAlign w:val="center"/>
          </w:tcPr>
          <w:p w14:paraId="7E04C4E2" w14:textId="77777777" w:rsidR="00C70AE2" w:rsidRDefault="00000000">
            <w:pPr>
              <w:spacing w:after="0" w:line="240" w:lineRule="auto"/>
              <w:jc w:val="center"/>
            </w:pPr>
            <w:r>
              <w:rPr>
                <w:rFonts w:ascii="Times New Roman" w:hAnsi="Times New Roman"/>
                <w:sz w:val="14"/>
              </w:rPr>
              <w:t>See text</w:t>
            </w:r>
          </w:p>
        </w:tc>
        <w:tc>
          <w:tcPr>
            <w:tcW w:w="2304" w:type="dxa"/>
            <w:tcBorders>
              <w:top w:val="nil"/>
              <w:left w:val="nil"/>
              <w:bottom w:val="nil"/>
              <w:right w:val="nil"/>
            </w:tcBorders>
            <w:vAlign w:val="center"/>
          </w:tcPr>
          <w:p w14:paraId="18021A40" w14:textId="77777777" w:rsidR="00C70AE2" w:rsidRDefault="00000000">
            <w:pPr>
              <w:spacing w:after="0" w:line="240" w:lineRule="auto"/>
              <w:jc w:val="center"/>
            </w:pPr>
            <w:r>
              <w:rPr>
                <w:rFonts w:ascii="Times New Roman" w:hAnsi="Times New Roman"/>
                <w:sz w:val="14"/>
              </w:rPr>
              <w:t>Positive and significant in all 30 runs</w:t>
            </w:r>
          </w:p>
        </w:tc>
      </w:tr>
      <w:tr w:rsidR="00C70AE2" w14:paraId="2A5419CF" w14:textId="77777777">
        <w:trPr>
          <w:cantSplit/>
          <w:jc w:val="center"/>
        </w:trPr>
        <w:tc>
          <w:tcPr>
            <w:tcW w:w="1800" w:type="dxa"/>
            <w:tcBorders>
              <w:top w:val="nil"/>
              <w:left w:val="nil"/>
              <w:bottom w:val="nil"/>
              <w:right w:val="nil"/>
            </w:tcBorders>
            <w:shd w:val="clear" w:color="auto" w:fill="F5F5F5"/>
            <w:vAlign w:val="center"/>
          </w:tcPr>
          <w:p w14:paraId="0E553A66" w14:textId="77777777" w:rsidR="00C70AE2" w:rsidRDefault="00000000">
            <w:pPr>
              <w:spacing w:after="0" w:line="240" w:lineRule="auto"/>
            </w:pPr>
            <w:r>
              <w:rPr>
                <w:rFonts w:ascii="Times New Roman" w:hAnsi="Times New Roman"/>
                <w:i/>
                <w:sz w:val="14"/>
              </w:rPr>
              <w:t>Panel B. Aggregate EU27 placebo diagnostics</w:t>
            </w:r>
          </w:p>
        </w:tc>
        <w:tc>
          <w:tcPr>
            <w:tcW w:w="3528" w:type="dxa"/>
            <w:tcBorders>
              <w:top w:val="nil"/>
              <w:left w:val="nil"/>
              <w:bottom w:val="nil"/>
              <w:right w:val="nil"/>
            </w:tcBorders>
            <w:shd w:val="clear" w:color="auto" w:fill="F5F5F5"/>
            <w:vAlign w:val="center"/>
          </w:tcPr>
          <w:p w14:paraId="76AE2681" w14:textId="77777777" w:rsidR="00C70AE2" w:rsidRDefault="00C70AE2">
            <w:pPr>
              <w:spacing w:after="0" w:line="240" w:lineRule="auto"/>
              <w:jc w:val="center"/>
            </w:pPr>
          </w:p>
        </w:tc>
        <w:tc>
          <w:tcPr>
            <w:tcW w:w="1037" w:type="dxa"/>
            <w:tcBorders>
              <w:top w:val="nil"/>
              <w:left w:val="nil"/>
              <w:bottom w:val="nil"/>
              <w:right w:val="nil"/>
            </w:tcBorders>
            <w:shd w:val="clear" w:color="auto" w:fill="F5F5F5"/>
            <w:vAlign w:val="center"/>
          </w:tcPr>
          <w:p w14:paraId="12081FB2" w14:textId="77777777" w:rsidR="00C70AE2" w:rsidRDefault="00C70AE2">
            <w:pPr>
              <w:spacing w:after="0" w:line="240" w:lineRule="auto"/>
              <w:jc w:val="center"/>
            </w:pPr>
          </w:p>
        </w:tc>
        <w:tc>
          <w:tcPr>
            <w:tcW w:w="691" w:type="dxa"/>
            <w:tcBorders>
              <w:top w:val="nil"/>
              <w:left w:val="nil"/>
              <w:bottom w:val="nil"/>
              <w:right w:val="nil"/>
            </w:tcBorders>
            <w:shd w:val="clear" w:color="auto" w:fill="F5F5F5"/>
            <w:vAlign w:val="center"/>
          </w:tcPr>
          <w:p w14:paraId="5CB4BAAA" w14:textId="77777777" w:rsidR="00C70AE2" w:rsidRDefault="00C70AE2">
            <w:pPr>
              <w:spacing w:after="0" w:line="240" w:lineRule="auto"/>
              <w:jc w:val="center"/>
            </w:pPr>
          </w:p>
        </w:tc>
        <w:tc>
          <w:tcPr>
            <w:tcW w:w="2304" w:type="dxa"/>
            <w:tcBorders>
              <w:top w:val="nil"/>
              <w:left w:val="nil"/>
              <w:bottom w:val="nil"/>
              <w:right w:val="nil"/>
            </w:tcBorders>
            <w:shd w:val="clear" w:color="auto" w:fill="F5F5F5"/>
            <w:vAlign w:val="center"/>
          </w:tcPr>
          <w:p w14:paraId="1C6A0525" w14:textId="77777777" w:rsidR="00C70AE2" w:rsidRDefault="00C70AE2">
            <w:pPr>
              <w:spacing w:after="0" w:line="240" w:lineRule="auto"/>
              <w:jc w:val="center"/>
            </w:pPr>
          </w:p>
        </w:tc>
      </w:tr>
      <w:tr w:rsidR="00C70AE2" w14:paraId="0C5454AE" w14:textId="77777777">
        <w:trPr>
          <w:cantSplit/>
          <w:jc w:val="center"/>
        </w:trPr>
        <w:tc>
          <w:tcPr>
            <w:tcW w:w="1800" w:type="dxa"/>
            <w:tcBorders>
              <w:top w:val="nil"/>
              <w:left w:val="nil"/>
              <w:bottom w:val="nil"/>
              <w:right w:val="nil"/>
            </w:tcBorders>
            <w:vAlign w:val="center"/>
          </w:tcPr>
          <w:p w14:paraId="776EEAF8" w14:textId="77777777" w:rsidR="00C70AE2" w:rsidRDefault="00000000">
            <w:pPr>
              <w:spacing w:after="0" w:line="240" w:lineRule="auto"/>
            </w:pPr>
            <w:r>
              <w:rPr>
                <w:rFonts w:ascii="Times New Roman" w:hAnsi="Times New Roman"/>
                <w:sz w:val="14"/>
              </w:rPr>
              <w:t>Non-EU group, cumulative score</w:t>
            </w:r>
          </w:p>
        </w:tc>
        <w:tc>
          <w:tcPr>
            <w:tcW w:w="3528" w:type="dxa"/>
            <w:tcBorders>
              <w:top w:val="nil"/>
              <w:left w:val="nil"/>
              <w:bottom w:val="nil"/>
              <w:right w:val="nil"/>
            </w:tcBorders>
            <w:vAlign w:val="center"/>
          </w:tcPr>
          <w:p w14:paraId="753924F3" w14:textId="77777777" w:rsidR="00C70AE2" w:rsidRDefault="00000000">
            <w:pPr>
              <w:spacing w:after="0" w:line="240" w:lineRule="auto"/>
              <w:jc w:val="center"/>
            </w:pPr>
            <w:r>
              <w:rPr>
                <w:rFonts w:ascii="Times New Roman" w:hAnsi="Times New Roman"/>
                <w:sz w:val="14"/>
              </w:rPr>
              <w:t>Aggregate treated-group benchmark</w:t>
            </w:r>
          </w:p>
        </w:tc>
        <w:tc>
          <w:tcPr>
            <w:tcW w:w="1037" w:type="dxa"/>
            <w:tcBorders>
              <w:top w:val="nil"/>
              <w:left w:val="nil"/>
              <w:bottom w:val="nil"/>
              <w:right w:val="nil"/>
            </w:tcBorders>
            <w:vAlign w:val="center"/>
          </w:tcPr>
          <w:p w14:paraId="2C4B7E08" w14:textId="77777777" w:rsidR="00C70AE2" w:rsidRDefault="00000000">
            <w:pPr>
              <w:spacing w:after="0" w:line="240" w:lineRule="auto"/>
              <w:jc w:val="center"/>
            </w:pPr>
            <w:r>
              <w:rPr>
                <w:rFonts w:ascii="Times New Roman" w:hAnsi="Times New Roman"/>
                <w:sz w:val="14"/>
              </w:rPr>
              <w:t>0.002296</w:t>
            </w:r>
          </w:p>
        </w:tc>
        <w:tc>
          <w:tcPr>
            <w:tcW w:w="691" w:type="dxa"/>
            <w:tcBorders>
              <w:top w:val="nil"/>
              <w:left w:val="nil"/>
              <w:bottom w:val="nil"/>
              <w:right w:val="nil"/>
            </w:tcBorders>
            <w:vAlign w:val="center"/>
          </w:tcPr>
          <w:p w14:paraId="672EC734" w14:textId="77777777" w:rsidR="00C70AE2" w:rsidRDefault="00000000">
            <w:pPr>
              <w:spacing w:after="0" w:line="240" w:lineRule="auto"/>
              <w:jc w:val="center"/>
            </w:pPr>
            <w:r>
              <w:rPr>
                <w:rFonts w:ascii="Times New Roman" w:hAnsi="Times New Roman"/>
                <w:sz w:val="14"/>
              </w:rPr>
              <w:t>0.243</w:t>
            </w:r>
          </w:p>
        </w:tc>
        <w:tc>
          <w:tcPr>
            <w:tcW w:w="2304" w:type="dxa"/>
            <w:tcBorders>
              <w:top w:val="nil"/>
              <w:left w:val="nil"/>
              <w:bottom w:val="nil"/>
              <w:right w:val="nil"/>
            </w:tcBorders>
            <w:vAlign w:val="center"/>
          </w:tcPr>
          <w:p w14:paraId="089D0EFA" w14:textId="77777777" w:rsidR="00C70AE2" w:rsidRDefault="00000000">
            <w:pPr>
              <w:spacing w:after="0" w:line="240" w:lineRule="auto"/>
              <w:jc w:val="center"/>
            </w:pPr>
            <w:r>
              <w:rPr>
                <w:rFonts w:ascii="Times New Roman" w:hAnsi="Times New Roman"/>
                <w:sz w:val="14"/>
              </w:rPr>
              <w:t>Not significant (N=280; G=30)</w:t>
            </w:r>
          </w:p>
        </w:tc>
      </w:tr>
      <w:tr w:rsidR="00C70AE2" w14:paraId="11D619A1" w14:textId="77777777">
        <w:trPr>
          <w:cantSplit/>
          <w:jc w:val="center"/>
        </w:trPr>
        <w:tc>
          <w:tcPr>
            <w:tcW w:w="1800" w:type="dxa"/>
            <w:tcBorders>
              <w:top w:val="nil"/>
              <w:left w:val="nil"/>
              <w:bottom w:val="nil"/>
              <w:right w:val="nil"/>
            </w:tcBorders>
            <w:vAlign w:val="center"/>
          </w:tcPr>
          <w:p w14:paraId="1A41521B" w14:textId="77777777" w:rsidR="00C70AE2" w:rsidRDefault="00000000">
            <w:pPr>
              <w:spacing w:after="0" w:line="240" w:lineRule="auto"/>
            </w:pPr>
            <w:r>
              <w:rPr>
                <w:rFonts w:ascii="Times New Roman" w:hAnsi="Times New Roman"/>
                <w:sz w:val="14"/>
              </w:rPr>
              <w:t>EU27 placebo, cumulative score</w:t>
            </w:r>
          </w:p>
        </w:tc>
        <w:tc>
          <w:tcPr>
            <w:tcW w:w="3528" w:type="dxa"/>
            <w:tcBorders>
              <w:top w:val="nil"/>
              <w:left w:val="nil"/>
              <w:bottom w:val="nil"/>
              <w:right w:val="nil"/>
            </w:tcBorders>
            <w:vAlign w:val="center"/>
          </w:tcPr>
          <w:p w14:paraId="56F7A6CE" w14:textId="77777777" w:rsidR="00C70AE2" w:rsidRDefault="00000000">
            <w:pPr>
              <w:spacing w:after="0" w:line="240" w:lineRule="auto"/>
              <w:jc w:val="center"/>
            </w:pPr>
            <w:r>
              <w:rPr>
                <w:rFonts w:ascii="Times New Roman" w:hAnsi="Times New Roman"/>
                <w:sz w:val="14"/>
              </w:rPr>
              <w:t>Applies the aggregate model to the fixed EU27-2020 citizenship group</w:t>
            </w:r>
          </w:p>
        </w:tc>
        <w:tc>
          <w:tcPr>
            <w:tcW w:w="1037" w:type="dxa"/>
            <w:tcBorders>
              <w:top w:val="nil"/>
              <w:left w:val="nil"/>
              <w:bottom w:val="nil"/>
              <w:right w:val="nil"/>
            </w:tcBorders>
            <w:vAlign w:val="center"/>
          </w:tcPr>
          <w:p w14:paraId="75C7143C" w14:textId="77777777" w:rsidR="00C70AE2" w:rsidRDefault="00000000">
            <w:pPr>
              <w:spacing w:after="0" w:line="240" w:lineRule="auto"/>
              <w:jc w:val="center"/>
            </w:pPr>
            <w:r>
              <w:rPr>
                <w:rFonts w:ascii="Times New Roman" w:hAnsi="Times New Roman"/>
                <w:sz w:val="14"/>
              </w:rPr>
              <w:t>0.021964</w:t>
            </w:r>
          </w:p>
        </w:tc>
        <w:tc>
          <w:tcPr>
            <w:tcW w:w="691" w:type="dxa"/>
            <w:tcBorders>
              <w:top w:val="nil"/>
              <w:left w:val="nil"/>
              <w:bottom w:val="nil"/>
              <w:right w:val="nil"/>
            </w:tcBorders>
            <w:vAlign w:val="center"/>
          </w:tcPr>
          <w:p w14:paraId="7160351C" w14:textId="77777777" w:rsidR="00C70AE2" w:rsidRDefault="00000000">
            <w:pPr>
              <w:spacing w:after="0" w:line="240" w:lineRule="auto"/>
              <w:jc w:val="center"/>
            </w:pPr>
            <w:r>
              <w:rPr>
                <w:rFonts w:ascii="Times New Roman" w:hAnsi="Times New Roman"/>
                <w:sz w:val="14"/>
              </w:rPr>
              <w:t>0.217</w:t>
            </w:r>
          </w:p>
        </w:tc>
        <w:tc>
          <w:tcPr>
            <w:tcW w:w="2304" w:type="dxa"/>
            <w:tcBorders>
              <w:top w:val="nil"/>
              <w:left w:val="nil"/>
              <w:bottom w:val="nil"/>
              <w:right w:val="nil"/>
            </w:tcBorders>
            <w:vAlign w:val="center"/>
          </w:tcPr>
          <w:p w14:paraId="12E261FE" w14:textId="77777777" w:rsidR="00C70AE2" w:rsidRDefault="00000000">
            <w:pPr>
              <w:spacing w:after="0" w:line="240" w:lineRule="auto"/>
              <w:jc w:val="center"/>
            </w:pPr>
            <w:r>
              <w:rPr>
                <w:rFonts w:ascii="Times New Roman" w:hAnsi="Times New Roman"/>
                <w:sz w:val="14"/>
              </w:rPr>
              <w:t>Not significant; small sample (N=38; G=13)</w:t>
            </w:r>
          </w:p>
        </w:tc>
      </w:tr>
      <w:tr w:rsidR="00C70AE2" w14:paraId="4CFE4E46" w14:textId="77777777">
        <w:trPr>
          <w:cantSplit/>
          <w:jc w:val="center"/>
        </w:trPr>
        <w:tc>
          <w:tcPr>
            <w:tcW w:w="1800" w:type="dxa"/>
            <w:tcBorders>
              <w:top w:val="nil"/>
              <w:left w:val="nil"/>
              <w:bottom w:val="nil"/>
              <w:right w:val="nil"/>
            </w:tcBorders>
            <w:vAlign w:val="center"/>
          </w:tcPr>
          <w:p w14:paraId="5DA1EC7C" w14:textId="77777777" w:rsidR="00C70AE2" w:rsidRDefault="00000000">
            <w:pPr>
              <w:spacing w:after="0" w:line="240" w:lineRule="auto"/>
            </w:pPr>
            <w:r>
              <w:rPr>
                <w:rFonts w:ascii="Times New Roman" w:hAnsi="Times New Roman"/>
                <w:sz w:val="14"/>
              </w:rPr>
              <w:t>Non-EU group, annual policy flow</w:t>
            </w:r>
          </w:p>
        </w:tc>
        <w:tc>
          <w:tcPr>
            <w:tcW w:w="3528" w:type="dxa"/>
            <w:tcBorders>
              <w:top w:val="nil"/>
              <w:left w:val="nil"/>
              <w:bottom w:val="nil"/>
              <w:right w:val="nil"/>
            </w:tcBorders>
            <w:vAlign w:val="center"/>
          </w:tcPr>
          <w:p w14:paraId="27FA3753" w14:textId="77777777" w:rsidR="00C70AE2" w:rsidRDefault="00000000">
            <w:pPr>
              <w:spacing w:after="0" w:line="240" w:lineRule="auto"/>
              <w:jc w:val="center"/>
            </w:pPr>
            <w:r>
              <w:rPr>
                <w:rFonts w:ascii="Times New Roman" w:hAnsi="Times New Roman"/>
                <w:sz w:val="14"/>
              </w:rPr>
              <w:t>Tests newly adopted policy changes against the following year's outcome</w:t>
            </w:r>
          </w:p>
        </w:tc>
        <w:tc>
          <w:tcPr>
            <w:tcW w:w="1037" w:type="dxa"/>
            <w:tcBorders>
              <w:top w:val="nil"/>
              <w:left w:val="nil"/>
              <w:bottom w:val="nil"/>
              <w:right w:val="nil"/>
            </w:tcBorders>
            <w:vAlign w:val="center"/>
          </w:tcPr>
          <w:p w14:paraId="452942AB" w14:textId="77777777" w:rsidR="00C70AE2" w:rsidRDefault="00000000">
            <w:pPr>
              <w:spacing w:after="0" w:line="240" w:lineRule="auto"/>
              <w:jc w:val="center"/>
            </w:pPr>
            <w:r>
              <w:rPr>
                <w:rFonts w:ascii="Times New Roman" w:hAnsi="Times New Roman"/>
                <w:sz w:val="14"/>
              </w:rPr>
              <w:t>0.000796</w:t>
            </w:r>
          </w:p>
        </w:tc>
        <w:tc>
          <w:tcPr>
            <w:tcW w:w="691" w:type="dxa"/>
            <w:tcBorders>
              <w:top w:val="nil"/>
              <w:left w:val="nil"/>
              <w:bottom w:val="nil"/>
              <w:right w:val="nil"/>
            </w:tcBorders>
            <w:vAlign w:val="center"/>
          </w:tcPr>
          <w:p w14:paraId="5AEF79F4" w14:textId="77777777" w:rsidR="00C70AE2" w:rsidRDefault="00000000">
            <w:pPr>
              <w:spacing w:after="0" w:line="240" w:lineRule="auto"/>
              <w:jc w:val="center"/>
            </w:pPr>
            <w:r>
              <w:rPr>
                <w:rFonts w:ascii="Times New Roman" w:hAnsi="Times New Roman"/>
                <w:sz w:val="14"/>
              </w:rPr>
              <w:t>0.736</w:t>
            </w:r>
          </w:p>
        </w:tc>
        <w:tc>
          <w:tcPr>
            <w:tcW w:w="2304" w:type="dxa"/>
            <w:tcBorders>
              <w:top w:val="nil"/>
              <w:left w:val="nil"/>
              <w:bottom w:val="nil"/>
              <w:right w:val="nil"/>
            </w:tcBorders>
            <w:vAlign w:val="center"/>
          </w:tcPr>
          <w:p w14:paraId="30266BB2" w14:textId="77777777" w:rsidR="00C70AE2" w:rsidRDefault="00000000">
            <w:pPr>
              <w:spacing w:after="0" w:line="240" w:lineRule="auto"/>
              <w:jc w:val="center"/>
            </w:pPr>
            <w:r>
              <w:rPr>
                <w:rFonts w:ascii="Times New Roman" w:hAnsi="Times New Roman"/>
                <w:sz w:val="14"/>
              </w:rPr>
              <w:t>Not significant (N=280; G=30)</w:t>
            </w:r>
          </w:p>
        </w:tc>
      </w:tr>
      <w:tr w:rsidR="00C70AE2" w14:paraId="600811F6" w14:textId="77777777">
        <w:trPr>
          <w:cantSplit/>
          <w:jc w:val="center"/>
        </w:trPr>
        <w:tc>
          <w:tcPr>
            <w:tcW w:w="1800" w:type="dxa"/>
            <w:tcBorders>
              <w:top w:val="nil"/>
              <w:left w:val="nil"/>
              <w:bottom w:val="single" w:sz="10" w:space="0" w:color="000000"/>
              <w:right w:val="nil"/>
            </w:tcBorders>
            <w:vAlign w:val="center"/>
          </w:tcPr>
          <w:p w14:paraId="530DBFA0" w14:textId="77777777" w:rsidR="00C70AE2" w:rsidRDefault="00000000">
            <w:pPr>
              <w:spacing w:after="0" w:line="240" w:lineRule="auto"/>
            </w:pPr>
            <w:r>
              <w:rPr>
                <w:rFonts w:ascii="Times New Roman" w:hAnsi="Times New Roman"/>
                <w:sz w:val="14"/>
              </w:rPr>
              <w:t>EU27 placebo, annual policy flow</w:t>
            </w:r>
          </w:p>
        </w:tc>
        <w:tc>
          <w:tcPr>
            <w:tcW w:w="3528" w:type="dxa"/>
            <w:tcBorders>
              <w:top w:val="nil"/>
              <w:left w:val="nil"/>
              <w:bottom w:val="single" w:sz="10" w:space="0" w:color="000000"/>
              <w:right w:val="nil"/>
            </w:tcBorders>
            <w:vAlign w:val="center"/>
          </w:tcPr>
          <w:p w14:paraId="517D420D" w14:textId="77777777" w:rsidR="00C70AE2" w:rsidRDefault="00000000">
            <w:pPr>
              <w:spacing w:after="0" w:line="240" w:lineRule="auto"/>
              <w:jc w:val="center"/>
            </w:pPr>
            <w:r>
              <w:rPr>
                <w:rFonts w:ascii="Times New Roman" w:hAnsi="Times New Roman"/>
                <w:sz w:val="14"/>
              </w:rPr>
              <w:t>Repeats the annual-flow test for the fixed EU27-2020 citizenship group</w:t>
            </w:r>
          </w:p>
        </w:tc>
        <w:tc>
          <w:tcPr>
            <w:tcW w:w="1037" w:type="dxa"/>
            <w:tcBorders>
              <w:top w:val="nil"/>
              <w:left w:val="nil"/>
              <w:bottom w:val="single" w:sz="10" w:space="0" w:color="000000"/>
              <w:right w:val="nil"/>
            </w:tcBorders>
            <w:vAlign w:val="center"/>
          </w:tcPr>
          <w:p w14:paraId="4D5BE043" w14:textId="77777777" w:rsidR="00C70AE2" w:rsidRDefault="00000000">
            <w:pPr>
              <w:spacing w:after="0" w:line="240" w:lineRule="auto"/>
              <w:jc w:val="center"/>
            </w:pPr>
            <w:r>
              <w:rPr>
                <w:rFonts w:ascii="Times New Roman" w:hAnsi="Times New Roman"/>
                <w:sz w:val="14"/>
              </w:rPr>
              <w:t>0.003328</w:t>
            </w:r>
          </w:p>
        </w:tc>
        <w:tc>
          <w:tcPr>
            <w:tcW w:w="691" w:type="dxa"/>
            <w:tcBorders>
              <w:top w:val="nil"/>
              <w:left w:val="nil"/>
              <w:bottom w:val="single" w:sz="10" w:space="0" w:color="000000"/>
              <w:right w:val="nil"/>
            </w:tcBorders>
            <w:vAlign w:val="center"/>
          </w:tcPr>
          <w:p w14:paraId="58B747A0" w14:textId="77777777" w:rsidR="00C70AE2" w:rsidRDefault="00000000">
            <w:pPr>
              <w:spacing w:after="0" w:line="240" w:lineRule="auto"/>
              <w:jc w:val="center"/>
            </w:pPr>
            <w:r>
              <w:rPr>
                <w:rFonts w:ascii="Times New Roman" w:hAnsi="Times New Roman"/>
                <w:sz w:val="14"/>
              </w:rPr>
              <w:t>0.720</w:t>
            </w:r>
          </w:p>
        </w:tc>
        <w:tc>
          <w:tcPr>
            <w:tcW w:w="2304" w:type="dxa"/>
            <w:tcBorders>
              <w:top w:val="nil"/>
              <w:left w:val="nil"/>
              <w:bottom w:val="single" w:sz="10" w:space="0" w:color="000000"/>
              <w:right w:val="nil"/>
            </w:tcBorders>
            <w:vAlign w:val="center"/>
          </w:tcPr>
          <w:p w14:paraId="0A43A470" w14:textId="77777777" w:rsidR="00C70AE2" w:rsidRDefault="00000000">
            <w:pPr>
              <w:spacing w:after="0" w:line="240" w:lineRule="auto"/>
              <w:jc w:val="center"/>
            </w:pPr>
            <w:r>
              <w:rPr>
                <w:rFonts w:ascii="Times New Roman" w:hAnsi="Times New Roman"/>
                <w:sz w:val="14"/>
              </w:rPr>
              <w:t>Not significant; small sample (N=38; G=13)</w:t>
            </w:r>
          </w:p>
        </w:tc>
      </w:tr>
    </w:tbl>
    <w:p w14:paraId="30A5E9D4" w14:textId="77777777" w:rsidR="007A5132" w:rsidRDefault="007A5132" w:rsidP="003A7F85">
      <w:pPr>
        <w:jc w:val="both"/>
      </w:pPr>
    </w:p>
    <w:p w14:paraId="68082D39" w14:textId="77777777" w:rsidR="004818D5" w:rsidRDefault="00000000">
      <w:r>
        <w:t>Table 9 note. *** p &lt; 0.01, ** p &lt; 0.05, * p &lt; 0.10. Panel A changes a model, outcome, sample, data source, or policy definition within the preferred bilateral framework; Panel B provides limited aggregate falsification diagnostics. Bilateral and aggregate coefficients are not directly comparable because the designs, fixed effects, weighting, outcomes, and samples differ. The preferred result remains the denominator-weighted bilateral HSRate specification in Table 7.</w:t>
      </w:r>
    </w:p>
    <w:p w14:paraId="1CBBE14A" w14:textId="77777777" w:rsidR="004818D5" w:rsidRDefault="00000000">
      <w:r>
        <w:t>The first check reintroduces the pandemic year. Extending the window to 2008-2020 reduces the coefficient from 0.006516 to 0.005446, still positive and significant (SE = 0.001716, p = 0.004, N = 6,301; wild-cluster bootstrap p = 0.024). Excluding 2020 therefore strengthens the baseline estimate but does not create its sign or significance.</w:t>
      </w:r>
    </w:p>
    <w:p w14:paraId="6EBE97D7" w14:textId="77777777" w:rsidR="008F026E" w:rsidRDefault="00000000">
      <w:r>
        <w:t>The next check removes the minimum-cell cutoff while retaining the weights. The coefficient remains significant (β = 0.005978, p &lt; 0.001, N = 21,187), so the result is not created by dropping corridors below 30 permits. The unweighted no-cutoff comparison is positive but imprecise (β = 0.002565, p = 0.283): the evidence is robust to the cutoff but still depends on the precision weighting that defines the estimand.</w:t>
      </w:r>
    </w:p>
    <w:p w14:paraId="20D409A5" w14:textId="77777777" w:rsidR="004818D5" w:rsidRDefault="00000000">
      <w:r>
        <w:lastRenderedPageBreak/>
        <w:t>A related check splits the cumulative net score into separate restrictive and liberalising stocks. In the unweighted design, the liberalising stock is negative and significant (β = -0.006893, p = 0.005) while the restrictive stock alone is imprecise (p = 0.551). Because about 62 percent of retained all-migrant-worker events are liberalisations, the identifying variation comes mainly from easing episodes: opening the general channel is associated with a lower high-skilled share, the mirror image of the restriction reading and consistent with the Section 3 mechanism.</w:t>
      </w:r>
    </w:p>
    <w:p w14:paraId="0182C00F" w14:textId="77777777" w:rsidR="008F026E" w:rsidRDefault="00000000">
      <w:pPr>
        <w:pStyle w:val="BodyText"/>
      </w:pPr>
      <w:r>
        <w:t>Robustness 1 changes the denominator. The numerator keeps highly skilled worker and researcher permits but is divided by all first residence permits in the cell, including family, education, and other reasons. The weighted coefficient remains significant (β = 0.000958, p = 0.004, N = 4,735), as do the corridor-FE variant (β = 0.000975, p = 0.031) and the version retaining the original permit-scale control (β = 0.001015, p = 0.001, N = 5,608).</w:t>
      </w:r>
    </w:p>
    <w:p w14:paraId="100EAD02" w14:textId="77777777" w:rsidR="008F026E" w:rsidRDefault="00000000">
      <w:pPr>
        <w:pStyle w:val="BodyText"/>
      </w:pPr>
      <w:r>
        <w:t>The result is therefore not only a mechanical feature of the employment-permit denominator. This remains a secondary check, however, because the broader denominator includes family, education, and other permit channels that labor-migration policy does not directly target.</w:t>
      </w:r>
    </w:p>
    <w:p w14:paraId="1E0FE9FD" w14:textId="77777777" w:rsidR="00C70AE2" w:rsidRDefault="00000000">
      <w:pPr>
        <w:pStyle w:val="BodyText"/>
      </w:pPr>
      <w:r>
        <w:t>Robustness 2 asks whether the result depends on the exact tool set behind Restrict. The core labor-entry subset keeps only the tools that directly affect the employer-permit entry decision - work visa/permit rules, quota/target, entry visa/stay permit, employer liabilities, and related sanctions - and drops action plans, integration programs, and general access-to-rights categories, which belong to the Legal entry and stay area but do not govern admission under the general channel. With the skill-target controls, the core-subset estimate remains significant (β = 0.004389, p = 0.015), so the result is not confined to the all-tools definition, although the subset still combines several distinct instruments.</w:t>
      </w:r>
    </w:p>
    <w:p w14:paraId="63906018" w14:textId="77777777" w:rsidR="00C70AE2" w:rsidRDefault="00000000">
      <w:pPr>
        <w:pStyle w:val="BodyText"/>
      </w:pPr>
      <w:r>
        <w:t>Panel B of Table 9 contains the aggregate EU27 placebo diagnostics. They do not test the robustness of the preferred bilateral estimator. Instead, they ask whether the aggregate policy association also appears for a group that is less directly exposed to national labor-migration rules.</w:t>
      </w:r>
    </w:p>
    <w:p w14:paraId="34C35E5C" w14:textId="77777777" w:rsidR="00C70AE2" w:rsidRDefault="00000000">
      <w:pPr>
        <w:pStyle w:val="BodyText"/>
      </w:pPr>
      <w:r>
        <w:t>The cumulative EU27 placebo is positive but insignificant (0.021964, p = 0.217); its Non-EU counterpart is also small and imprecise (M3: 0.002296, p = 0.243). With only 38 observations and 13 clusters, the placebo is too imprecise to establish an alternative explanation, and the fixed EU27-2020 composition spans Croatia's accession and transitional restrictions, so it is not a clean untreated group. It does not validate the preferred bilateral estimate, but it also does not reproduce a significant aggregate association for the less-exposed group.</w:t>
      </w:r>
    </w:p>
    <w:p w14:paraId="4607C54A" w14:textId="77777777" w:rsidR="00C70AE2" w:rsidRDefault="00000000">
      <w:pPr>
        <w:pStyle w:val="BodyText"/>
      </w:pPr>
      <w:r>
        <w:t xml:space="preserve">The annual-flow EU27 placebo is likewise insignificant (β = 0.003328, p = 0.720) on the same 38 observations and 13 clusters, so both EU27 results are treated as limited diagnostics. A bilateral </w:t>
      </w:r>
      <w:r>
        <w:lastRenderedPageBreak/>
        <w:t>EU27 placebo, the closest mirror of the preferred design, is not run because EU free movers generally do not require the permits measured by migr_resocc; the EU citizenship rows in the raw extract are too sparse and selective to form a comparable bilateral outcome.</w:t>
      </w:r>
    </w:p>
    <w:p w14:paraId="332887DE" w14:textId="77777777" w:rsidR="00C70AE2" w:rsidRDefault="00000000">
      <w:pPr>
        <w:pStyle w:val="BodyText"/>
      </w:pPr>
      <w:r>
        <w:t>Robustness 3 replaces Eurostat unemployment with World Bank indicator SL.UEM.TOTL.ZS, the modeled ILO estimate (World Bank 2026), in no-UK and UK-inclusive variants. The main sample excludes the United Kingdom because the Eurostat control extract contains no UK unemployment for the estimation window, and Brexit is not fully represented as a single change in the cumulative score.</w:t>
      </w:r>
    </w:p>
    <w:p w14:paraId="34F11D46" w14:textId="77777777" w:rsidR="00C70AE2" w:rsidRDefault="00000000">
      <w:pPr>
        <w:pStyle w:val="BodyText"/>
      </w:pPr>
      <w:r>
        <w:t>With the United Kingdom excluded, the result is robust to the unemployment source: the Eurostat estimate is β = 0.006516 (SE = 0.001612, p &lt; 0.001, N = 5,608, G = 30) and the ILOSTAT estimate is β = 0.005547 (SE = 0.001258, p &lt; 0.001, N = 5,962, G = 30). Adding the UK through ILOSTAT, however, drops the coefficient to β = 0.000883 (SE = 0.003041, p = 0.774, N = 6,638, G = 31). The weighted result is therefore not driven by the unemployment source, but it is conditional on excluding a destination whose post-2016 policy regime is poorly captured by the cumulative measure.</w:t>
      </w:r>
    </w:p>
    <w:p w14:paraId="20FCE72A" w14:textId="77777777" w:rsidR="00C70AE2" w:rsidRDefault="00000000">
      <w:pPr>
        <w:pStyle w:val="BodyText"/>
      </w:pPr>
      <w:r>
        <w:t>The UK exercise is a limitation rather than proof that UK inclusion is inappropriate: the preferred result is conditional on the no-UK sample, and the Brexit-era measurement mismatch is a plausible explanation for the difference.</w:t>
      </w:r>
    </w:p>
    <w:p w14:paraId="213CFCD8" w14:textId="77777777" w:rsidR="00C70AE2" w:rsidRDefault="00000000">
      <w:pPr>
        <w:pStyle w:val="BodyText"/>
      </w:pPr>
      <w:r>
        <w:t>Robustness 4 examines heterogeneity by origin income using the World Bank FY2020 classification (2018 Atlas-method GNI per capita; World Bank Data Team 2019). The association remains significant for high-income (β = 0.016784, p = 0.003), upper-middle-income (β = 0.004139, p = 0.014), and lower-middle-income origins (β = 0.006739, p = 0.001). The low-income estimate is negative but marginal (β = -0.002422, p = 0.083, N = 347, G = 19) and is not treated as an established reversal. The stratified results are heterogeneous rather than a uniform confirmation of the entry-channel mechanism; they may reflect differences in access to dedicated routes, credential recognition, financial constraints, or corridor composition, none of which is measured here. The heterogeneity is therefore read as qualifying the mechanism and marking a direction for future research.</w:t>
      </w:r>
    </w:p>
    <w:p w14:paraId="3BBCA1FE" w14:textId="77777777" w:rsidR="008F026E" w:rsidRDefault="00000000">
      <w:pPr>
        <w:pStyle w:val="BodyText"/>
      </w:pPr>
      <w:r>
        <w:t>Robustness 5 narrows Restrict to the Work visa/permit tool, the instrument most directly tied to the general employment-permit channel, and re-estimates the full preferred specification on the same sample.</w:t>
      </w:r>
    </w:p>
    <w:p w14:paraId="4E9F579A" w14:textId="77777777" w:rsidR="008F026E" w:rsidRDefault="00000000">
      <w:pPr>
        <w:pStyle w:val="BodyText"/>
      </w:pPr>
      <w:r>
        <w:t xml:space="preserve">The work-visa-only coefficient is β = 0.008190 (SE = 0.001620, t = 5.05, p &lt; 0.001; wild-cluster bootstrap p = 0.0048), moderately larger than the all-tools 0.006516. This is consistent with the </w:t>
      </w:r>
      <w:r>
        <w:lastRenderedPageBreak/>
        <w:t>proposed mechanism, since the measure now targets the tool governing the general work-permit track.</w:t>
      </w:r>
    </w:p>
    <w:p w14:paraId="51F08FFA" w14:textId="77777777" w:rsidR="008F026E" w:rsidRDefault="00000000">
      <w:pPr>
        <w:pStyle w:val="BodyText"/>
      </w:pPr>
      <w:r>
        <w:t>The check does not isolate the mechanism cleanly: Work visa/permit is also common among skilled/high-skilled-targeted reforms, so its changes may correlate with policies that directly affect high-skilled entry, and the skill-target controls reduce but cannot eliminate that overlap. It is corroborating evidence; the all-tools measure remains preferred because it matches the Section 6.2 policy-area definition.</w:t>
      </w:r>
    </w:p>
    <w:p w14:paraId="14D04C47" w14:textId="77777777" w:rsidR="008F026E" w:rsidRDefault="00000000">
      <w:pPr>
        <w:pStyle w:val="BodyText"/>
      </w:pPr>
      <w:r>
        <w:t>Robustness 6 asks whether common EU directive windows account for the preferred association. It adds timing indicators for the Blue Card, Single Permit, Intra-Corporate Transferee, and Students and Researchers directives. Indicators are activated only for participating destinations in the relevant years: Croatia enters from 2013, while Denmark and Ireland are excluded where they do not participate.</w:t>
      </w:r>
    </w:p>
    <w:p w14:paraId="160B0D32" w14:textId="77777777" w:rsidR="008F026E" w:rsidRDefault="00000000">
      <w:pPr>
        <w:pStyle w:val="BodyText"/>
      </w:pPr>
      <w:r>
        <w:t>A single combined applicable-window indicator gives β = 0.006518 (SE = 0.001619, p &lt; 0.001); adding the four directive indicators separately gives β = 0.006587 (SE = 0.001581, p &lt; 0.001). Both are close to the preferred 0.006516, and no directive indicator is individually significant at five percent. The association is therefore not explained by these measured windows, although they are coarse timing proxies rather than reform-specific causal estimates. Graph 3 reports the directive coefficients and the windows used to construct them.</w:t>
      </w:r>
    </w:p>
    <w:p w14:paraId="410602FE" w14:textId="77777777" w:rsidR="00F84AC3" w:rsidRDefault="00000000" w:rsidP="003A7F85">
      <w:pPr>
        <w:keepNext/>
        <w:jc w:val="both"/>
      </w:pPr>
      <w:r>
        <w:t>A prior-year-weight check addresses the concern that the current denominator may respond to the same policy environment. Weighting by the previous year's denominator leaves the estimate essentially unchanged and slightly more precise (β = 0.006858, SE = 0.001502, p &lt; 0.001; wild-cluster bootstrap p = 0.0025, N = 5,540). Same-period weighting therefore does not create the result, although the lagged denominator can still reflect earlier policy history.</w:t>
      </w:r>
    </w:p>
    <w:p w14:paraId="1EAD9D39" w14:textId="77777777" w:rsidR="003A7C7E" w:rsidRDefault="00000000" w:rsidP="003A7F85">
      <w:pPr>
        <w:keepNext/>
        <w:jc w:val="both"/>
      </w:pPr>
      <w:r>
        <w:t xml:space="preserve">A leave-one-destination-out check omits each of the 30 destinations in turn. The coefficient stays positive and significant at five percent in all 30 runs, ranging from 0.0039 to 0.0073; the most </w:t>
      </w:r>
      <w:r>
        <w:lastRenderedPageBreak/>
        <w:t>influential omission, France, gives β = 0.003884 (p = 0.029). No single destination drives the sign or significance of the baseline result.</w:t>
      </w:r>
    </w:p>
    <w:p w14:paraId="05754A1C" w14:textId="77777777" w:rsidR="003A7C7E" w:rsidRDefault="008A042F" w:rsidP="003A7F85">
      <w:pPr>
        <w:keepNext/>
        <w:jc w:val="both"/>
      </w:pPr>
      <w:r>
        <w:t>Graph 2 summarizes the main estimates, robustness checks, and placebo diagnostics; bars show 95-percent confidence intervals and the dashed line marks zero.</w:t>
      </w:r>
    </w:p>
    <w:p w14:paraId="7FA8C2B3" w14:textId="77777777" w:rsidR="00961C7F" w:rsidRDefault="008A042F">
      <w:pPr>
        <w:jc w:val="center"/>
      </w:pPr>
      <w:r>
        <w:rPr>
          <w:noProof/>
        </w:rPr>
        <w:drawing>
          <wp:inline distT="0" distB="0" distL="0" distR="0" wp14:anchorId="7080212A" wp14:editId="7E854DED">
            <wp:extent cx="5623560" cy="4001379"/>
            <wp:effectExtent l="0" t="0" r="0" b="0"/>
            <wp:docPr id="3" name="Graph 2 coefficient plot" descr="Coefficient estimates with 95 percent confidence intervals across main, robustness, and placebo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tretch>
                      <a:fillRect/>
                    </a:stretch>
                  </pic:blipFill>
                  <pic:spPr bwMode="auto">
                    <a:xfrm>
                      <a:off x="0" y="0"/>
                      <a:ext cx="5623560" cy="4001379"/>
                    </a:xfrm>
                    <a:prstGeom prst="rect">
                      <a:avLst/>
                    </a:prstGeom>
                    <a:noFill/>
                  </pic:spPr>
                </pic:pic>
              </a:graphicData>
            </a:graphic>
          </wp:inline>
        </w:drawing>
      </w:r>
    </w:p>
    <w:p w14:paraId="08424584" w14:textId="77777777" w:rsidR="008F026E" w:rsidRDefault="00000000">
      <w:pPr>
        <w:jc w:val="center"/>
      </w:pPr>
      <w:r>
        <w:t>Graph 2. Coefficient estimates across specifications. Coefficients are in percentage-point units; bars show 95-percent confidence intervals and the dashed line marks zero. Preferred bilateral and robustness rows report the all-migrant-worker coefficient with skill-targeted policy controls where applicable. The EU27 row is an aggregate placebo; models and samples differ across rows.</w:t>
      </w:r>
    </w:p>
    <w:p w14:paraId="71718F6C" w14:textId="77777777" w:rsidR="00C70AE2" w:rsidRDefault="00000000">
      <w:pPr>
        <w:pStyle w:val="BodyText"/>
      </w:pPr>
      <w:r>
        <w:t>Graph 2 reinforces the tables: evidence is strongest in the controlled bilateral specifications. The aggregate estimates, UK-inclusive check, and EU27 placebo are not significant. The 2020-inclusive, no-cutoff, core-tool, prior-year-weight, all-first-permits, work-visa-only, and EU-directive checks remain significant.</w:t>
      </w:r>
    </w:p>
    <w:p w14:paraId="2C982476" w14:textId="77777777" w:rsidR="007830C2" w:rsidRDefault="008A042F">
      <w:pPr>
        <w:jc w:val="center"/>
      </w:pPr>
      <w:r>
        <w:rPr>
          <w:noProof/>
        </w:rPr>
        <w:lastRenderedPageBreak/>
        <w:drawing>
          <wp:inline distT="0" distB="0" distL="0" distR="0" wp14:anchorId="47844AFD" wp14:editId="393D9617">
            <wp:extent cx="5486400" cy="2437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_eu_directives.png"/>
                    <pic:cNvPicPr/>
                  </pic:nvPicPr>
                  <pic:blipFill>
                    <a:blip r:embed="rId11"/>
                    <a:stretch>
                      <a:fillRect/>
                    </a:stretch>
                  </pic:blipFill>
                  <pic:spPr>
                    <a:xfrm>
                      <a:off x="0" y="0"/>
                      <a:ext cx="5486400" cy="2437927"/>
                    </a:xfrm>
                    <a:prstGeom prst="rect">
                      <a:avLst/>
                    </a:prstGeom>
                  </pic:spPr>
                </pic:pic>
              </a:graphicData>
            </a:graphic>
          </wp:inline>
        </w:drawing>
      </w:r>
    </w:p>
    <w:p w14:paraId="63BB90DE" w14:textId="77777777" w:rsidR="007830C2" w:rsidRDefault="008A042F" w:rsidP="002B1731">
      <w:pPr>
        <w:jc w:val="both"/>
      </w:pPr>
      <w:r>
        <w:t>Graph 3. EU labor-migration directives in the panel window. Panel A reports the coefficient of each EU directive dummy in the preferred denominator-weighted bilateral specification (Robustness 6, specification c), in percentage points of the high-skilled share, with 95-percent cluster-robust confidence intervals. Filled dots indicate p &lt; 0.05. The regression dummies apply only to participating EU members in the relevant year: Croatia enters from 2013, while Denmark and Ireland are excluded. Panel B shows each directive's adoption year (diamond), transposition window (shaded bar), and deadline (open circle) between 2008 and 2019.</w:t>
      </w:r>
    </w:p>
    <w:p w14:paraId="2DB171DC" w14:textId="77777777" w:rsidR="00FC7713" w:rsidRDefault="008A042F" w:rsidP="002B1731">
      <w:pPr>
        <w:jc w:val="both"/>
      </w:pPr>
      <w:r>
        <w:t>Panel A shows that none of the four directive-window coefficients is statistically significant. More importantly, the preferred Restrict coefficient remains positive and significant (β = 0.006587, p &lt; 0.001), indicating that the main association is not accounted for by these measured directive windows. Panel B shows the adoption and transposition periods used to construct the controls; these windows are coarse timing proxies rather than directive-specific causal estimates.</w:t>
      </w:r>
    </w:p>
    <w:p w14:paraId="0B69DD44" w14:textId="77777777" w:rsidR="007830C2" w:rsidRDefault="008A042F">
      <w:pPr>
        <w:pageBreakBefore/>
        <w:jc w:val="center"/>
      </w:pPr>
      <w:r>
        <w:rPr>
          <w:noProof/>
        </w:rPr>
        <w:lastRenderedPageBreak/>
        <w:drawing>
          <wp:inline distT="0" distB="0" distL="0" distR="0" wp14:anchorId="0AB3C374" wp14:editId="2D5DFD7A">
            <wp:extent cx="5852160" cy="3143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4_per_tool.png"/>
                    <pic:cNvPicPr/>
                  </pic:nvPicPr>
                  <pic:blipFill>
                    <a:blip r:embed="rId12"/>
                    <a:stretch>
                      <a:fillRect/>
                    </a:stretch>
                  </pic:blipFill>
                  <pic:spPr>
                    <a:xfrm>
                      <a:off x="0" y="0"/>
                      <a:ext cx="5852160" cy="3143109"/>
                    </a:xfrm>
                    <a:prstGeom prst="rect">
                      <a:avLst/>
                    </a:prstGeom>
                  </pic:spPr>
                </pic:pic>
              </a:graphicData>
            </a:graphic>
          </wp:inline>
        </w:drawing>
      </w:r>
    </w:p>
    <w:p w14:paraId="775A3318" w14:textId="77777777" w:rsidR="007830C2" w:rsidRDefault="008A042F" w:rsidP="00EB43CE">
      <w:pPr>
        <w:jc w:val="center"/>
      </w:pPr>
      <w:r>
        <w:t>Graph 4. Tool-specific estimates for DEMIG-QuantMig policy tools with at least three retained events: each row reports the tool's separate association with HSRate and HSNumber.</w:t>
      </w:r>
    </w:p>
    <w:p w14:paraId="5A67252A" w14:textId="77777777" w:rsidR="007830C2" w:rsidRDefault="008A042F" w:rsidP="002B1731">
      <w:pPr>
        <w:jc w:val="both"/>
      </w:pPr>
      <w:r>
        <w:t>Graph 4 is a tool-specific diagnostic, not a decomposition of the preferred coefficient. Each row re-estimates the preferred specification using one policy tool; the PPML count panel drops all-zero fixed-effect groups (N = 5,219; G = 27).</w:t>
      </w:r>
    </w:p>
    <w:p w14:paraId="4209A96E" w14:textId="77777777" w:rsidR="007830C2" w:rsidRDefault="008A042F" w:rsidP="006A0F4A">
      <w:pPr>
        <w:jc w:val="both"/>
      </w:pPr>
      <w:r>
        <w:t>Work visa/permit, the largest tool category, is share-positive (0.82 percentage points; p &lt; 0.001) and broadly consistent with the work-visa-only check. Other tools differ: employer liabilities are share-negative, access-to-rights reforms are share-positive, and quotas mainly reduce the high-skilled count. Sparse-tool estimates remain indicative only.</w:t>
      </w:r>
    </w:p>
    <w:p w14:paraId="07B5AD64" w14:textId="77777777" w:rsidR="007830C2" w:rsidRDefault="008A042F" w:rsidP="006A0F4A">
      <w:pPr>
        <w:jc w:val="both"/>
      </w:pPr>
      <w:r>
        <w:t>The lighter-blue tools - Other sanctions, Access to justice and political rights, and Institutional capacities - have only three or four retained events, so their estimates are reported for completeness and read as indicative only. Overall, Graph 4 shows that the preferred pattern is not a single-instrument story: work-permit and rights-side tools are most consistent with a higher HSRate, employer-liability tightening pulls the other way, and quota tightening mainly reduces the absolute high-skilled count without changing the share.</w:t>
      </w:r>
    </w:p>
    <w:p w14:paraId="5FC9934B" w14:textId="77777777" w:rsidR="00961C7F" w:rsidRDefault="008A042F">
      <w:pPr>
        <w:pStyle w:val="Heading1"/>
        <w:pageBreakBefore/>
      </w:pPr>
      <w:r>
        <w:lastRenderedPageBreak/>
        <w:t>9. Discussion and Limitations</w:t>
      </w:r>
    </w:p>
    <w:p w14:paraId="53248667" w14:textId="77777777" w:rsidR="008F026E" w:rsidRPr="00CE7D5A" w:rsidRDefault="0000000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Cumulative net restrictive policy change for all-migrant-worker reforms is positively associated with HSRate in the preferred denominator-weighted bilateral model after skill-targeted policy paths are held constant. The coefficient remains positive in the unweighted and corridor-fixed-effects comparisons and remains significant across the Section 8 checks: 2020 reintroduction, no minimum-cell cutoff, the all-first-permits denominator, no-UK ILOSTAT unemployment, core and work-visa policy measures, prior-year weights, and EU-directive windows.</w:t>
      </w:r>
    </w:p>
    <w:p w14:paraId="3B44F54F" w14:textId="77777777" w:rsidR="00176216" w:rsidRPr="00CE7D5A" w:rsidRDefault="00176216" w:rsidP="00176216">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t>The supporting PPML model also returns a positive, statistically significant association with the measured high-skilled permit count, while the total employment-permit count does not show a statistically detectable change. The pattern therefore combines a compositional shift with a higher measured administrative count in the retained corridors. Reallocation between permit categories is one possible explanation, but the aggregate data do not identify route switching or show that overall employment-permit inflows rise; the count result remains associational.</w:t>
      </w:r>
    </w:p>
    <w:p w14:paraId="5F83B402" w14: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thesis is designed to show whether observed policy changes are systematically related to the skill composition of employment-related permits, conditional on the fixed effects and available controls. It does not estimate the welfare effect of migration policy, governments' decision processes, or the causal response of individual migrants to a specific reform. The policy implications of the weighted bilateral result are developed in Section 10.</w:t>
      </w:r>
    </w:p>
    <w:p w14:paraId="5A9DA889" w14:textId="77777777" w:rsidR="008F026E" w:rsidRPr="00CE7D5A" w:rsidRDefault="00000000">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first limitation concerns the weighting estimand and sample rule. Denominator weighting is defensible because HSRate is measured with different precision across cells, but it gives larger corridors more influence and is not an equal-cell causal effect, and the current denominator may itself respond to policy. The prior-year-weight check leaves the estimate essentially unchanged, which reduces the same-period concern without making the lagged weight exogenous to earlier policy history. The EMP &gt;= 30 rule also uses the current denominator; the weighted no-cutoff estimate remains significant, so the rule does not create the result. The weighted no-cutoff check reduces concern that the result is mechanically created by the permit-share cutoff, but the weaker unweighted no-cutoff estimate shows that the preferred finding still depends on the denominator-weighted estimand.</w:t>
      </w:r>
    </w:p>
    <w:p w14:paraId="6D577A9D" w14:textId="77777777" w:rsidR="008F026E" w:rsidRPr="00CE7D5A" w:rsidRDefault="00000000">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At the same time, the aggregate, annual-flow, UK-inclusive, and destination-trend specifications are not statistically significant, so the evidence should be read as model-dependent rather than uniform across all specifications; the unweighted bilateral evidence also weakens under the wild-</w:t>
      </w:r>
      <w:r>
        <w:rPr>
          <w:rFonts w:asciiTheme="minorHAnsi" w:hAnsiTheme="minorHAnsi"/>
          <w:sz w:val="22"/>
          <w:szCs w:val="22"/>
        </w:rPr>
        <w:lastRenderedPageBreak/>
        <w:t>cluster bootstrap. Destination-specific linear trends reduce the coefficient to β = 0.002488 (p = 0.198): because the cumulative policy score changes slowly, these trends absorb much of its within-destination variation, and the result cannot be cleanly separated from smooth destination-specific trajectories.</w:t>
      </w:r>
    </w:p>
    <w:p w14:paraId="5007D9FC" w14:textId="77777777" w:rsidR="008F026E" w:rsidRPr="00CE7D5A" w:rsidRDefault="00000000">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t>Multiple testing is a further concern because many specifications use the same panel. The design limits this problem by defining the denominator-weighted bilateral model in advance as the preferred specification and by using wild-cluster bootstrap inference for its main coefficient. The appropriate conclusion is evidence of a conditional, denominator-weighted composition association, not a settled causal effect.</w:t>
      </w:r>
    </w:p>
    <w:p w14:paraId="5842899D" w14: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sidRPr="00CE7D5A">
        <w:rPr>
          <w:rFonts w:asciiTheme="minorHAnsi" w:hAnsiTheme="minorHAnsi"/>
          <w:sz w:val="22"/>
          <w:szCs w:val="22"/>
        </w:rPr>
        <w:t xml:space="preserve">The fixed EU27-2020 citizenship classification and policy target-origin filter create a further measurement limitation. Constant membership avoids redefining the groups each year, but it classifies UK citizenship outside the EU27 group and Croatia inside it throughout the panel. Likewise, the preferred policy index keeps only reforms coded for All foreign nationalities. This avoids assigning EU-citizen or specific-nationality reforms to every </w:t>
      </w:r>
      <w:proofErr w:type="gramStart"/>
      <w:r w:rsidRPr="00CE7D5A">
        <w:rPr>
          <w:rFonts w:asciiTheme="minorHAnsi" w:hAnsiTheme="minorHAnsi"/>
          <w:sz w:val="22"/>
          <w:szCs w:val="22"/>
        </w:rPr>
        <w:t>Non-EU</w:t>
      </w:r>
      <w:proofErr w:type="gramEnd"/>
      <w:r w:rsidRPr="00CE7D5A">
        <w:rPr>
          <w:rFonts w:asciiTheme="minorHAnsi" w:hAnsiTheme="minorHAnsi"/>
          <w:sz w:val="22"/>
          <w:szCs w:val="22"/>
        </w:rPr>
        <w:t xml:space="preserve"> origin, but it omits specific-nationality reforms that may affect some corridors.</w:t>
      </w:r>
    </w:p>
    <w:p w14:paraId="0BA6298D" w14:textId="77777777" w:rsidR="008F026E" w:rsidRPr="00CE7D5A" w:rsidRDefault="00000000">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second limitation is feedback between economic conditions and policy choice. Governments may liberalize when employers face shortages or tighten during downturns, and those same labor-demand conditions can independently change the level and composition of permits: a downturn could raise HSRate because lower-skilled permits fall more sharply, not because restrictions attract skilled workers. Lagged unemployment and GDP growth, destination fixed effects, and origin-year fixed effects reduce this concern but cannot remove all anticipatory policy changes.</w:t>
      </w:r>
    </w:p>
    <w:p w14:paraId="0094ADB7" w14: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related political limitation is that immigration policy responds to more than macroeconomic indicators. Public opinion, electoral competition, coalition politics, employer lobbying, union pressure, administrative capacity, and media salience can all shape when governments tighten or liberalize, consistent with evidence that immigration preferences reflect labor-market position and welfare-state concerns (Facchini and Mayda 2009). These forces are hard to measure consistently across the panel and are not fully captured by the controls or fixed effects.</w:t>
      </w:r>
    </w:p>
    <w:p w14:paraId="62D8EE64" w14:textId="77777777" w:rsidR="00C70AE2" w:rsidRPr="00CE7D5A" w:rsidRDefault="00000000">
      <w:pPr>
        <w:pStyle w:val="BodyText"/>
      </w:pPr>
      <w:r w:rsidRPr="00CE7D5A">
        <w:t xml:space="preserve">A useful extension would add harmonized controls for migrant networks, wage premia, origin unemployment, quality of life, and origin-destination migration costs. The current panel does not contain a complete set of these measures. Origin-year fixed effects are preferable to adding </w:t>
      </w:r>
      <w:r w:rsidRPr="00CE7D5A">
        <w:lastRenderedPageBreak/>
        <w:t>incomplete controls solely to lower a reported p-value, but richer data would allow these mechanisms to be tested directly.</w:t>
      </w:r>
    </w:p>
    <w:p w14:paraId="373E52EA" w14:textId="77777777" w:rsidR="007830C2" w:rsidRDefault="008A042F">
      <w:pPr>
        <w:pStyle w:val="Heading1"/>
      </w:pPr>
      <w:r>
        <w:t>10. Policy Implications</w:t>
      </w:r>
    </w:p>
    <w:p w14:paraId="6CFF9F1D" w14:textId="77777777" w:rsidR="00042715" w:rsidRPr="00F93585" w:rsidRDefault="00042715" w:rsidP="00E67427">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weighted bilateral result carries three policy implications, developed in turn below.</w:t>
      </w:r>
    </w:p>
    <w:p w14:paraId="25882003"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First, the preferred estimate suggests that net restrictive change in general labor-migration policy is not compositionally neutral in this sample: general all-migrant-worker reforms are associated with a higher HSRate among permits issued in the following year, a pattern consistent with high-skilled permit counts changing more favorably than other permit counts, although the count evidence remains associational (Section 7.3).</w:t>
      </w:r>
    </w:p>
    <w:p w14:paraId="7240CBF5" w14:textId="77777777" w:rsidR="008F026E" w:rsidRDefault="00000000">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the preferred model uses denominator weights, larger permit corridors carry more influence than small cells where a few permits can move the ratio sharply. A reform package described as across-the-board may therefore still be associated with a higher high-skilled share in substantial employment-permit flows - a statement about the composition of permit issuance, not proof that the reform attracted additional skilled workers.</w:t>
      </w:r>
    </w:p>
    <w:p w14:paraId="3ADD7109" w14:textId="77777777" w:rsidR="00042715" w:rsidRPr="00F93585" w:rsidRDefault="00042715" w:rsidP="00042715">
      <w:pPr>
        <w:pStyle w:val="NormalWeb"/>
        <w:suppressAutoHyphens/>
        <w:spacing w:line="360" w:lineRule="auto"/>
        <w:jc w:val="both"/>
        <w:rPr>
          <w:rFonts w:asciiTheme="minorHAnsi" w:hAnsiTheme="minorHAnsi"/>
          <w:sz w:val="22"/>
          <w:szCs w:val="22"/>
        </w:rPr>
      </w:pPr>
      <w:r w:rsidRPr="00F93585">
        <w:rPr>
          <w:rFonts w:asciiTheme="minorHAnsi" w:hAnsiTheme="minorHAnsi"/>
          <w:sz w:val="22"/>
          <w:szCs w:val="22"/>
        </w:rPr>
        <w:t>Second, the result is relevant for the design of dual-track migration systems. Parallel national schemes, such as Germany's Skilled Immigration Act, France's Talent Passport, and the Dutch Highly Skilled Migrant scheme, operate alongside general work-permit rules. The preferred coefficient remains positive after controlling for reforms aimed specifically at skilled/high-skilled workers, which means the result should not be read simply as the direct effect of those targeted routes.</w:t>
      </w:r>
    </w:p>
    <w:p w14:paraId="5C4649D9" w14:textId="77777777" w:rsidR="00042715" w:rsidRPr="00042715" w:rsidRDefault="00042715" w:rsidP="00042715">
      <w:pPr>
        <w:pStyle w:val="NormalWeb"/>
        <w:suppressAutoHyphens/>
        <w:spacing w:line="360" w:lineRule="auto"/>
        <w:jc w:val="both"/>
        <w:rPr>
          <w:rFonts w:asciiTheme="minorHAnsi" w:hAnsiTheme="minorHAnsi"/>
          <w:sz w:val="22"/>
          <w:szCs w:val="22"/>
        </w:rPr>
      </w:pPr>
      <w:r w:rsidRPr="00F93585">
        <w:rPr>
          <w:rFonts w:asciiTheme="minorHAnsi" w:hAnsiTheme="minorHAnsi"/>
          <w:sz w:val="22"/>
          <w:szCs w:val="22"/>
        </w:rPr>
        <w:t>Third, the UK robustness exercise</w:t>
      </w:r>
      <w:r w:rsidRPr="00042715">
        <w:rPr>
          <w:rFonts w:asciiTheme="minorHAnsi" w:hAnsiTheme="minorHAnsi"/>
          <w:sz w:val="22"/>
          <w:szCs w:val="22"/>
        </w:rPr>
        <w:t xml:space="preserve"> offers a methodological lesson. DEMIG-QuantMig records individual policy events, while Brexit was a regime-level rupture in UK </w:t>
      </w:r>
      <w:r w:rsidR="002B3974" w:rsidRPr="00042715">
        <w:rPr>
          <w:rFonts w:asciiTheme="minorHAnsi" w:hAnsiTheme="minorHAnsi"/>
          <w:sz w:val="22"/>
          <w:szCs w:val="22"/>
        </w:rPr>
        <w:t>labor</w:t>
      </w:r>
      <w:r w:rsidRPr="00042715">
        <w:rPr>
          <w:rFonts w:asciiTheme="minorHAnsi" w:hAnsiTheme="minorHAnsi"/>
          <w:sz w:val="22"/>
          <w:szCs w:val="22"/>
        </w:rPr>
        <w:t>-migration policy. This mismatch helps explain why the UK-inclusive estimates are treated as fragile. It also suggests that future work should model treaty-level breaks separately, rather than assuming that all major institutional changes can be captured as ordinary policy events.</w:t>
      </w:r>
    </w:p>
    <w:p w14:paraId="0F8BF309" w14:textId="77777777" w:rsidR="00961C7F" w:rsidRDefault="008A042F">
      <w:pPr>
        <w:pStyle w:val="Heading1"/>
      </w:pPr>
      <w:r>
        <w:t>11. Conclusion</w:t>
      </w:r>
    </w:p>
    <w:p w14:paraId="06F754A6" w14:textId="77777777" w:rsidR="00C47373" w:rsidRPr="00F93585" w:rsidRDefault="00C47373" w:rsidP="002F122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This thesis asks whether labor-migration policy restrictiveness is associated with the skill composition of long-term employment-related immigration in European destinations between 2008 and 2019. The aggregate country-year models do not show a significant association </w:t>
      </w:r>
      <w:r>
        <w:rPr>
          <w:rFonts w:asciiTheme="minorHAnsi" w:hAnsiTheme="minorHAnsi"/>
          <w:sz w:val="22"/>
          <w:szCs w:val="22"/>
        </w:rPr>
        <w:lastRenderedPageBreak/>
        <w:t>between general all-migrant-worker restrictions and the high-skilled share. The preferred denominator-weighted bilateral model, which includes origin-year fixed effects and skill-targeted policy controls, instead finds a statistically significant positive association between cumulative net restrictive change for all-migrant-worker reforms and the high-skilled share of employment-related first residence permits. Reintroducing 2020 as a pandemic-year robustness check attenuates but does not overturn that result, and the work-visa-only narrowing produces a larger estimate.</w:t>
      </w:r>
    </w:p>
    <w:p w14:paraId="59771681" w14:textId="77777777" w:rsidR="00C47373" w:rsidRPr="00F93585"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preferred estimate implies that one additional unit of the lagged cumulative net policy-change score for all-migrant-worker reforms is associated with roughly a 0.65-percentage-point increase in the high-skilled share of employment-related permits, holding high-skilled and low-skilled target-group policy changes constant. The corresponding aggregate cumulative and annual-flow models do not reach five-percent significance. The conclusion therefore rests on the denominator-weighted bilateral model, not on the aggregate policy-flow evidence.</w:t>
      </w:r>
    </w:p>
    <w:p w14:paraId="48A74787" w14:textId="77777777" w:rsidR="00C47373" w:rsidRPr="00F93585" w:rsidRDefault="00C47373" w:rsidP="00C47373">
      <w:pPr>
        <w:pStyle w:val="NormalWeb"/>
        <w:suppressAutoHyphens/>
        <w:spacing w:line="360" w:lineRule="auto"/>
        <w:jc w:val="both"/>
        <w:rPr>
          <w:rFonts w:asciiTheme="minorHAnsi" w:hAnsiTheme="minorHAnsi"/>
          <w:sz w:val="22"/>
          <w:szCs w:val="22"/>
        </w:rPr>
      </w:pPr>
      <w:r>
        <w:rPr>
          <w:sz w:val="22"/>
        </w:rPr>
        <w:t>Overall, larger cumulative net restrictive changes for all-migrant-worker reforms are associated with a higher skill ratio once the bilateral model accounts for origin-year pressures, denominator weighting, and targeted skill policy paths. The PPML evidence points the same way: a higher measured high-skilled count with no detectable change in the total count, compatible with but not establishing reallocation into dedicated high-skilled categories. Future work should extend the panel beyond the pandemic endpoint, add harmonized origin-side controls, and model regime-level breaks such as Brexit separately.</w:t>
      </w:r>
    </w:p>
    <w:p w14:paraId="546FD8C3" w14: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findings also carry a measurement lesson beyond the question studied here. Eurostat first-permit categories record the legal route of entry, not underlying skill. When policy shifts the relative attractiveness of routes, category counts can move without any change in who arrives, as the Section 7.3 diagnostics illustrate. Studies that use administrative permit categories as direct skill measures inherit this re-routing problem, and their estimates are best read as statements about the mix of legal categories.</w:t>
      </w:r>
    </w:p>
    <w:p w14:paraId="61DB9F0F" w14: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regressions hold observed skill-targeted policy changes constant but do not estimate the separate causal effect of the EU Blue Card or any other dedicated route, so the policy interpretation is mechanism-based rather than an evaluation of those schemes. Within this limit, the result is consistent with dedicated high-skill channels helping to preserve the skill composition of large employment-permit flows when general work-permit rules tighten - not evidence that any particular talent scheme causes this outcome.</w:t>
      </w:r>
    </w:p>
    <w:p w14:paraId="4171E3B5" w14:textId="77777777" w:rsidR="00961C7F" w:rsidRDefault="007A1105" w:rsidP="007A1105">
      <w:pPr>
        <w:spacing w:after="0" w:line="240" w:lineRule="auto"/>
        <w:rPr>
          <w:rFonts w:ascii="Cambria" w:hAnsi="Cambria" w:cstheme="majorHAnsi"/>
          <w:b/>
          <w:bCs/>
          <w:sz w:val="34"/>
          <w:szCs w:val="34"/>
        </w:rPr>
      </w:pPr>
      <w:r>
        <w:br w:type="page"/>
      </w:r>
      <w:r w:rsidR="008A042F" w:rsidRPr="00150861">
        <w:rPr>
          <w:rFonts w:ascii="Cambria" w:hAnsi="Cambria" w:cstheme="majorHAnsi"/>
          <w:b/>
          <w:bCs/>
          <w:sz w:val="34"/>
          <w:szCs w:val="34"/>
        </w:rPr>
        <w:lastRenderedPageBreak/>
        <w:t>12. References</w:t>
      </w:r>
    </w:p>
    <w:p w14:paraId="493967C0" w14:textId="77777777" w:rsidR="00150861" w:rsidRPr="00150861" w:rsidRDefault="00150861" w:rsidP="007A1105">
      <w:pPr>
        <w:spacing w:after="0" w:line="240" w:lineRule="auto"/>
        <w:rPr>
          <w:rFonts w:ascii="Cambria" w:eastAsia="Cambria" w:hAnsi="Cambria" w:cstheme="majorHAnsi"/>
          <w:b/>
          <w:bCs/>
          <w:color w:val="000000"/>
          <w:sz w:val="34"/>
          <w:szCs w:val="34"/>
        </w:rPr>
      </w:pPr>
    </w:p>
    <w:p w14:paraId="3A4E1827" w14:textId="77777777" w:rsidR="00961C7F" w:rsidRDefault="008A042F">
      <w:pPr>
        <w:spacing w:after="120" w:line="240" w:lineRule="auto"/>
        <w:ind w:left="720" w:hanging="720"/>
      </w:pPr>
      <w:r>
        <w:t xml:space="preserve">Akcigit, U., Grigsby, J., &amp; Nicholas, T. (2017). </w:t>
      </w:r>
      <w:r>
        <w:rPr>
          <w:i/>
        </w:rPr>
        <w:t>Immigration and the Rise of American Ingenuity</w:t>
      </w:r>
      <w:r>
        <w:t>. NBER Working Paper No. 23137. National Bureau of Economic Research.</w:t>
      </w:r>
    </w:p>
    <w:p w14:paraId="61015D1E" w14:textId="77777777" w:rsidR="00961C7F" w:rsidRDefault="008A042F">
      <w:pPr>
        <w:spacing w:after="120" w:line="240" w:lineRule="auto"/>
        <w:ind w:left="720" w:hanging="720"/>
      </w:pPr>
      <w:r>
        <w:t xml:space="preserve">Beine, M., Bertoli, S., &amp; Fernández-Huertas Moraga, J. (2016). A practitioners' guide to gravity models of international migration. </w:t>
      </w:r>
      <w:r>
        <w:rPr>
          <w:i/>
        </w:rPr>
        <w:t>The World Economy, 39</w:t>
      </w:r>
      <w:r>
        <w:t>(4), 496–512.</w:t>
      </w:r>
    </w:p>
    <w:p w14:paraId="0C5E36A5" w14:textId="77777777" w:rsidR="00961C7F" w:rsidRDefault="008A042F">
      <w:pPr>
        <w:spacing w:after="120" w:line="240" w:lineRule="auto"/>
        <w:ind w:left="720" w:hanging="720"/>
      </w:pPr>
      <w:r>
        <w:t xml:space="preserve">Bertoli, S., &amp; Fernández-Huertas Moraga, J. (2013). Multilateral resistance to migration. </w:t>
      </w:r>
      <w:r>
        <w:rPr>
          <w:i/>
        </w:rPr>
        <w:t>Journal of Development Economics, 102</w:t>
      </w:r>
      <w:r>
        <w:t>, 79–100.</w:t>
      </w:r>
    </w:p>
    <w:p w14:paraId="15631D41" w14:textId="77777777" w:rsidR="00961C7F" w:rsidRDefault="008A042F">
      <w:pPr>
        <w:spacing w:after="120" w:line="240" w:lineRule="auto"/>
        <w:ind w:left="720" w:hanging="720"/>
      </w:pPr>
      <w:r>
        <w:t xml:space="preserve">Borjas, G. J. (1990). Self-Selection and the Earnings of Immigrants: Reply. </w:t>
      </w:r>
      <w:r>
        <w:rPr>
          <w:i/>
        </w:rPr>
        <w:t>American Economic Review, 80</w:t>
      </w:r>
      <w:r>
        <w:t>(1), 305–308.</w:t>
      </w:r>
    </w:p>
    <w:p w14:paraId="1665FAC4" w14:textId="77777777" w:rsidR="00961C7F" w:rsidRDefault="008A042F">
      <w:pPr>
        <w:spacing w:after="120" w:line="240" w:lineRule="auto"/>
        <w:ind w:left="720" w:hanging="720"/>
      </w:pPr>
      <w:r>
        <w:t xml:space="preserve">Boubtane, E., Dumont, J.-C., &amp; Rault, C. (2016). Immigration and Economic Growth in the OECD Countries 1986–2006. </w:t>
      </w:r>
      <w:r>
        <w:rPr>
          <w:i/>
        </w:rPr>
        <w:t>Oxford Economic Papers, 68</w:t>
      </w:r>
      <w:r>
        <w:t>(2), 340–360.</w:t>
      </w:r>
    </w:p>
    <w:p w14:paraId="6151F4DD" w14:textId="77777777" w:rsidR="00961C7F" w:rsidRDefault="008A042F">
      <w:pPr>
        <w:spacing w:after="120" w:line="240" w:lineRule="auto"/>
        <w:ind w:left="720" w:hanging="720"/>
      </w:pPr>
      <w:r>
        <w:t xml:space="preserve">Bound, J., Khanna, G., &amp; Morales, N. (2017). </w:t>
      </w:r>
      <w:r>
        <w:rPr>
          <w:i/>
        </w:rPr>
        <w:t>Understanding the Economic Impact of the H-1B Program on the U.S.</w:t>
      </w:r>
      <w:r>
        <w:t xml:space="preserve"> NBER Working Paper No. 23153. National Bureau of Economic Research.</w:t>
      </w:r>
    </w:p>
    <w:p w14:paraId="202B9CF3" w14:textId="77777777" w:rsidR="00961C7F" w:rsidRDefault="008A042F">
      <w:pPr>
        <w:spacing w:after="120" w:line="240" w:lineRule="auto"/>
        <w:ind w:left="720" w:hanging="720"/>
      </w:pPr>
      <w:r>
        <w:t xml:space="preserve">Cameron, A. C., Gelbach, J. B., &amp; Miller, D. L. (2008). Bootstrap-Based Improvements for Inference with Clustered Errors. </w:t>
      </w:r>
      <w:r>
        <w:rPr>
          <w:i/>
        </w:rPr>
        <w:t>Review of Economics and Statistics, 90</w:t>
      </w:r>
      <w:r>
        <w:t>(3), 414–427.</w:t>
      </w:r>
    </w:p>
    <w:p w14:paraId="4430E7E0" w14:textId="77777777" w:rsidR="00961C7F" w:rsidRDefault="008A042F">
      <w:pPr>
        <w:spacing w:after="120" w:line="240" w:lineRule="auto"/>
        <w:ind w:left="720" w:hanging="720"/>
      </w:pPr>
      <w:r>
        <w:t xml:space="preserve">Card, D. (2009). Immigration and Inequality. </w:t>
      </w:r>
      <w:r>
        <w:rPr>
          <w:i/>
        </w:rPr>
        <w:t>American Economic Review, 99</w:t>
      </w:r>
      <w:r>
        <w:t>(2), 1–21.</w:t>
      </w:r>
    </w:p>
    <w:p w14:paraId="233C4ECC" w14:textId="77777777" w:rsidR="00961C7F" w:rsidRDefault="008A042F">
      <w:pPr>
        <w:spacing w:after="120" w:line="240" w:lineRule="auto"/>
        <w:ind w:left="720" w:hanging="720"/>
      </w:pPr>
      <w:r>
        <w:t xml:space="preserve">Cerna, L. (2016). The Crisis as an Opportunity for Change? High-Skilled Immigration Policies across Europe. </w:t>
      </w:r>
      <w:r>
        <w:rPr>
          <w:i/>
        </w:rPr>
        <w:t>Journal of Ethnic and Migration Studies, 42</w:t>
      </w:r>
      <w:r>
        <w:t>(10), 1610–1630.</w:t>
      </w:r>
    </w:p>
    <w:p w14:paraId="5BA7BA74" w14:textId="77777777" w:rsidR="007830C2" w:rsidRDefault="008A042F">
      <w:pPr>
        <w:spacing w:after="120" w:line="240" w:lineRule="auto"/>
        <w:ind w:left="720" w:hanging="720"/>
      </w:pPr>
      <w:r>
        <w:t xml:space="preserve">Council of the European Union. (2005). Council Directive 2005/71/EC of 12 October 2005 on a specific procedure for admitting third-country nationals for the purposes of scientific research. </w:t>
      </w:r>
      <w:r>
        <w:rPr>
          <w:i/>
          <w:iCs/>
        </w:rPr>
        <w:t>Official Journal of the European Union, L 289</w:t>
      </w:r>
      <w:r>
        <w:t>, 15-22.</w:t>
      </w:r>
    </w:p>
    <w:p w14:paraId="4CA8E5E2" w14:textId="77777777" w:rsidR="007830C2" w:rsidRDefault="008A042F">
      <w:pPr>
        <w:spacing w:after="120" w:line="240" w:lineRule="auto"/>
        <w:ind w:left="720" w:hanging="720"/>
      </w:pPr>
      <w:r>
        <w:t xml:space="preserve">Council of the European Union. (2009). Council Directive 2009/50/EC of 25 May 2009 on the conditions of entry and residence of third-country nationals for the purposes of highly qualified employment. </w:t>
      </w:r>
      <w:r>
        <w:rPr>
          <w:i/>
        </w:rPr>
        <w:t>Official Journal of the European Union, L 155</w:t>
      </w:r>
      <w:r>
        <w:t>, 17-29.</w:t>
      </w:r>
    </w:p>
    <w:p w14:paraId="0687DE9B" w14:textId="77777777" w:rsidR="00961C7F" w:rsidRDefault="008A042F">
      <w:pPr>
        <w:spacing w:after="120" w:line="240" w:lineRule="auto"/>
        <w:ind w:left="720" w:hanging="720"/>
      </w:pPr>
      <w:r>
        <w:t xml:space="preserve">Czaika, M., &amp; de Haas, H. (2013). The Effectiveness of Immigration Policies. </w:t>
      </w:r>
      <w:r>
        <w:rPr>
          <w:i/>
        </w:rPr>
        <w:t>Population and Development Review, 39</w:t>
      </w:r>
      <w:r>
        <w:t>(3), 487–508.</w:t>
      </w:r>
    </w:p>
    <w:p w14:paraId="25738912" w14:textId="77777777" w:rsidR="00961C7F" w:rsidRDefault="008A042F">
      <w:pPr>
        <w:spacing w:after="120" w:line="240" w:lineRule="auto"/>
        <w:ind w:left="720" w:hanging="720"/>
      </w:pPr>
      <w:r>
        <w:t xml:space="preserve">Czaika, M., &amp; Parsons, C. R. (2017). The Gravity of High-Skilled Migration Policies. </w:t>
      </w:r>
      <w:r>
        <w:rPr>
          <w:i/>
        </w:rPr>
        <w:t>Demography, 54</w:t>
      </w:r>
      <w:r>
        <w:t>(2), 603–630.</w:t>
      </w:r>
    </w:p>
    <w:p w14:paraId="5C5E4A2F" w14:textId="77777777" w:rsidR="00961C7F" w:rsidRDefault="008A042F">
      <w:pPr>
        <w:spacing w:after="120" w:line="240" w:lineRule="auto"/>
        <w:ind w:left="720" w:hanging="720"/>
      </w:pPr>
      <w:r>
        <w:t xml:space="preserve">de Haas, H., Natter, K., &amp; Vezzoli, S. (2015). Conceptualizing and Measuring Migration Policy Change. </w:t>
      </w:r>
      <w:r>
        <w:rPr>
          <w:i/>
        </w:rPr>
        <w:t>Comparative Migration Studies, 3</w:t>
      </w:r>
      <w:r>
        <w:t>, Article 15.</w:t>
      </w:r>
    </w:p>
    <w:p w14:paraId="2850D454" w14:textId="77777777" w:rsidR="00961C7F" w:rsidRDefault="008A042F">
      <w:pPr>
        <w:spacing w:after="120" w:line="240" w:lineRule="auto"/>
        <w:ind w:left="720" w:hanging="720"/>
      </w:pPr>
      <w:r>
        <w:t xml:space="preserve">Dustmann, C., &amp; Frattini, T. (2014). The Fiscal Effects of Immigration to the UK. </w:t>
      </w:r>
      <w:r>
        <w:rPr>
          <w:i/>
        </w:rPr>
        <w:t>The Economic Journal, 124</w:t>
      </w:r>
      <w:r>
        <w:t>(580), F593–F643.</w:t>
      </w:r>
    </w:p>
    <w:p w14:paraId="3FEE5988" w14:textId="77777777" w:rsidR="00961C7F" w:rsidRDefault="008A042F">
      <w:pPr>
        <w:spacing w:after="120" w:line="240" w:lineRule="auto"/>
        <w:ind w:left="720" w:hanging="720"/>
      </w:pPr>
      <w:r>
        <w:t xml:space="preserve">Eurostat. (2026). </w:t>
      </w:r>
      <w:r>
        <w:rPr>
          <w:i/>
        </w:rPr>
        <w:t>First permits by reason, length of validity and citizenship</w:t>
      </w:r>
      <w:r>
        <w:t>. European Commission.</w:t>
      </w:r>
    </w:p>
    <w:p w14:paraId="35ED8708" w14:textId="77777777" w:rsidR="00961C7F" w:rsidRDefault="008A042F">
      <w:pPr>
        <w:spacing w:after="120" w:line="240" w:lineRule="auto"/>
        <w:ind w:left="720" w:hanging="720"/>
      </w:pPr>
      <w:r>
        <w:t xml:space="preserve">Eurostat. (2026). </w:t>
      </w:r>
      <w:r>
        <w:rPr>
          <w:i/>
        </w:rPr>
        <w:t>First permits issued for remunerated activities by reason, length of validity and citizenship</w:t>
      </w:r>
      <w:r>
        <w:t>. European Commission.</w:t>
      </w:r>
    </w:p>
    <w:p w14:paraId="74620276" w14:textId="77777777" w:rsidR="00961C7F" w:rsidRDefault="008A042F">
      <w:pPr>
        <w:spacing w:after="120" w:line="240" w:lineRule="auto"/>
        <w:ind w:left="720" w:hanging="720"/>
      </w:pPr>
      <w:r>
        <w:t xml:space="preserve">Eurostat. (2026). </w:t>
      </w:r>
      <w:r>
        <w:rPr>
          <w:i/>
        </w:rPr>
        <w:t>Annual unemployment rates by sex and age</w:t>
      </w:r>
      <w:r>
        <w:t>. European Commission.</w:t>
      </w:r>
    </w:p>
    <w:p w14:paraId="6F0570C9" w14:textId="77777777" w:rsidR="00961C7F" w:rsidRDefault="008A042F">
      <w:pPr>
        <w:spacing w:after="120" w:line="240" w:lineRule="auto"/>
        <w:ind w:left="720" w:hanging="720"/>
      </w:pPr>
      <w:r>
        <w:t xml:space="preserve">Eurostat. (2026). </w:t>
      </w:r>
      <w:r>
        <w:rPr>
          <w:i/>
        </w:rPr>
        <w:t>Gross domestic product and main national-accounts components</w:t>
      </w:r>
      <w:r>
        <w:t>. European Commission.</w:t>
      </w:r>
    </w:p>
    <w:p w14:paraId="3EC4BBE4" w14:textId="77777777" w:rsidR="007830C2" w:rsidRDefault="008A042F">
      <w:pPr>
        <w:spacing w:after="120" w:line="240" w:lineRule="auto"/>
        <w:ind w:left="720" w:hanging="720"/>
      </w:pPr>
      <w:r>
        <w:t xml:space="preserve">European Parliament and Council. (2004). Directive 2004/38/EC of the European Parliament and of the Council of 29 April 2004 on the right of citizens of the Union and their family </w:t>
      </w:r>
      <w:r>
        <w:lastRenderedPageBreak/>
        <w:t xml:space="preserve">members to move and reside freely within the territory of the Member States. </w:t>
      </w:r>
      <w:r>
        <w:rPr>
          <w:i/>
        </w:rPr>
        <w:t>Official Journal of the European Union, L 158</w:t>
      </w:r>
      <w:r>
        <w:t>, 77-123.</w:t>
      </w:r>
    </w:p>
    <w:p w14:paraId="1C68F0D3" w14:textId="77777777" w:rsidR="007830C2" w:rsidRDefault="008A042F">
      <w:pPr>
        <w:spacing w:after="120" w:line="240" w:lineRule="auto"/>
        <w:ind w:left="720" w:hanging="720"/>
      </w:pPr>
      <w:r>
        <w:t xml:space="preserve">European Parliament and Council. (2011). Directive 2011/98/EU of the European Parliament and of the Council of 13 December 2011 on a single application procedure for a single permit for third-country nationals to reside and work in the territory of a Member State. </w:t>
      </w:r>
      <w:r>
        <w:rPr>
          <w:i/>
        </w:rPr>
        <w:t>Official Journal of the European Union, L 343</w:t>
      </w:r>
      <w:r>
        <w:t>, 1-9.</w:t>
      </w:r>
    </w:p>
    <w:p w14:paraId="00EB7DB6" w14:textId="77777777" w:rsidR="007830C2" w:rsidRDefault="008A042F">
      <w:pPr>
        <w:spacing w:after="120" w:line="240" w:lineRule="auto"/>
        <w:ind w:left="720" w:hanging="720"/>
      </w:pPr>
      <w:r>
        <w:t xml:space="preserve">European Parliament and Council. (2014). Directive 2014/66/EU of the European Parliament and of the Council of 15 May 2014 on the conditions of entry and residence of third-country nationals in the framework of an intra-corporate transfer. </w:t>
      </w:r>
      <w:r>
        <w:rPr>
          <w:i/>
          <w:iCs/>
        </w:rPr>
        <w:t>Official Journal of the European Union, L 157</w:t>
      </w:r>
      <w:r>
        <w:t>, 1-22.</w:t>
      </w:r>
    </w:p>
    <w:p w14:paraId="6542654A" w14:textId="77777777" w:rsidR="007830C2" w:rsidRDefault="008A042F">
      <w:pPr>
        <w:spacing w:after="120" w:line="240" w:lineRule="auto"/>
        <w:ind w:left="720" w:hanging="720"/>
      </w:pPr>
      <w:r>
        <w:t xml:space="preserve">European Parliament and Council. (2016). Directive (EU) 2016/801 of the European Parliament and of the Council of 11 May 2016 on the conditions of entry and residence of third-country nationals for the purposes of research, studies, training, voluntary service, pupil exchange schemes or educational projects and au pairing. </w:t>
      </w:r>
      <w:r>
        <w:rPr>
          <w:i/>
          <w:iCs/>
        </w:rPr>
        <w:t>Official Journal of the European Union, L 132</w:t>
      </w:r>
      <w:r>
        <w:t>, 21-57.</w:t>
      </w:r>
    </w:p>
    <w:p w14:paraId="3F34AE3D" w14:textId="77777777" w:rsidR="007830C2" w:rsidRDefault="008A042F">
      <w:pPr>
        <w:spacing w:after="120" w:line="240" w:lineRule="auto"/>
        <w:ind w:left="720" w:hanging="720"/>
      </w:pPr>
      <w:r>
        <w:t xml:space="preserve">European Parliament and Council. (2021). Directive (EU) 2021/1883 of the European Parliament and of the Council of 20 October 2021 on the conditions of entry and residence of third-country nationals for the purpose of highly qualified employment. </w:t>
      </w:r>
      <w:r>
        <w:rPr>
          <w:i/>
          <w:iCs/>
        </w:rPr>
        <w:t>Official Journal of the European Union, L 382</w:t>
      </w:r>
      <w:r>
        <w:t>, 1-38.</w:t>
      </w:r>
    </w:p>
    <w:p w14:paraId="630D1DBE" w14:textId="77777777" w:rsidR="00961C7F" w:rsidRDefault="008A042F">
      <w:pPr>
        <w:spacing w:after="120" w:line="240" w:lineRule="auto"/>
        <w:ind w:left="720" w:hanging="720"/>
      </w:pPr>
      <w:r>
        <w:t xml:space="preserve">Facchini, G., &amp; Mayda, A. M. (2009). Does the Welfare State Affect Individual Attitudes Toward Immigrants? Evidence across Countries. </w:t>
      </w:r>
      <w:r>
        <w:rPr>
          <w:i/>
        </w:rPr>
        <w:t>Review of Economics and Statistics, 91</w:t>
      </w:r>
      <w:r>
        <w:t>(2), 295–314.</w:t>
      </w:r>
    </w:p>
    <w:p w14:paraId="093AFC16" w14:textId="77777777" w:rsidR="00961C7F" w:rsidRDefault="008A042F">
      <w:pPr>
        <w:spacing w:after="120" w:line="240" w:lineRule="auto"/>
        <w:ind w:left="720" w:hanging="720"/>
      </w:pPr>
      <w:r>
        <w:t xml:space="preserve">Grogger, J., &amp; Hanson, G. H. (2011). Income Maximization and the Selection and Sorting of International Migrants. </w:t>
      </w:r>
      <w:r>
        <w:rPr>
          <w:i/>
        </w:rPr>
        <w:t>Journal of Development Economics, 95</w:t>
      </w:r>
      <w:r>
        <w:t>(1), 42–57.</w:t>
      </w:r>
    </w:p>
    <w:p w14:paraId="36E58759" w14:textId="77777777" w:rsidR="00961C7F" w:rsidRDefault="008A042F">
      <w:pPr>
        <w:spacing w:after="120" w:line="240" w:lineRule="auto"/>
        <w:ind w:left="720" w:hanging="720"/>
      </w:pPr>
      <w:r>
        <w:t xml:space="preserve">Helbling, M., Bjerre, L., Römer, F., &amp; Zobel, M. (2017). Measuring immigration policies: the IMPIC database. </w:t>
      </w:r>
      <w:r>
        <w:rPr>
          <w:i/>
        </w:rPr>
        <w:t>European Political Science, 16</w:t>
      </w:r>
      <w:r>
        <w:t>(1), 79–98.</w:t>
      </w:r>
    </w:p>
    <w:p w14:paraId="1E863362" w14:textId="77777777" w:rsidR="00961C7F" w:rsidRDefault="008A042F">
      <w:pPr>
        <w:spacing w:after="120" w:line="240" w:lineRule="auto"/>
        <w:ind w:left="720" w:hanging="720"/>
      </w:pPr>
      <w:r>
        <w:t xml:space="preserve">Hunt, J., &amp; Gauthier-Loiselle, M. (2010). How Much Does Immigration Boost Innovation? </w:t>
      </w:r>
      <w:r>
        <w:rPr>
          <w:i/>
        </w:rPr>
        <w:t>American Economic Journal: Macroeconomics, 2</w:t>
      </w:r>
      <w:r>
        <w:t>(2), 31–56.</w:t>
      </w:r>
    </w:p>
    <w:p w14:paraId="1D6DE61C" w14:textId="77777777" w:rsidR="00961C7F" w:rsidRDefault="008A042F">
      <w:pPr>
        <w:spacing w:after="120" w:line="240" w:lineRule="auto"/>
        <w:ind w:left="720" w:hanging="720"/>
      </w:pPr>
      <w:r>
        <w:t xml:space="preserve">Kerr, W. R., &amp; Lincoln, W. F. (2010). The Supply Side of Innovation: H-1B Visa Reforms and U.S. Ethnic Invention. </w:t>
      </w:r>
      <w:r>
        <w:rPr>
          <w:i/>
        </w:rPr>
        <w:t>Journal of Labor Economics, 28</w:t>
      </w:r>
      <w:r>
        <w:t>(3), 473–508.</w:t>
      </w:r>
    </w:p>
    <w:p w14:paraId="1C2179CB" w14:textId="77777777" w:rsidR="00961C7F" w:rsidRDefault="008A042F">
      <w:pPr>
        <w:spacing w:after="120" w:line="240" w:lineRule="auto"/>
        <w:ind w:left="720" w:hanging="720"/>
      </w:pPr>
      <w:r>
        <w:t xml:space="preserve">Liang, K.-Y., &amp; Zeger, S. L. (1986). Longitudinal Data Analysis Using Generalized Linear Models. </w:t>
      </w:r>
      <w:r>
        <w:rPr>
          <w:i/>
        </w:rPr>
        <w:t>Biometrika, 73</w:t>
      </w:r>
      <w:r>
        <w:t>(1), 13–22.</w:t>
      </w:r>
    </w:p>
    <w:p w14:paraId="4B4A2E5F" w14:textId="77777777" w:rsidR="00961C7F" w:rsidRDefault="008A042F">
      <w:pPr>
        <w:spacing w:after="120" w:line="240" w:lineRule="auto"/>
        <w:ind w:left="720" w:hanging="720"/>
      </w:pPr>
      <w:r>
        <w:t xml:space="preserve">Liebig, T., &amp; Mo, J. (2013). The Fiscal Impact of Immigration in OECD Countries. In OECD, </w:t>
      </w:r>
      <w:r>
        <w:rPr>
          <w:i/>
        </w:rPr>
        <w:t>International Migration Outlook 2013</w:t>
      </w:r>
      <w:r>
        <w:t>, Chapter 3. OECD Publishing.</w:t>
      </w:r>
    </w:p>
    <w:p w14:paraId="77E1D33E" w14:textId="77777777" w:rsidR="00961C7F" w:rsidRDefault="008A042F">
      <w:pPr>
        <w:spacing w:after="120" w:line="240" w:lineRule="auto"/>
        <w:ind w:left="720" w:hanging="720"/>
      </w:pPr>
      <w:r>
        <w:t xml:space="preserve">MacKinnon, J. G., &amp; Webb, M. D. (2018). The Wild Bootstrap for Few (Treated) Clusters. </w:t>
      </w:r>
      <w:r>
        <w:rPr>
          <w:i/>
        </w:rPr>
        <w:t>The Econometrics Journal, 21</w:t>
      </w:r>
      <w:r>
        <w:t>(2), 114–135.</w:t>
      </w:r>
    </w:p>
    <w:p w14:paraId="2D71DE78" w14:textId="77777777" w:rsidR="00961C7F" w:rsidRDefault="008A042F">
      <w:pPr>
        <w:spacing w:after="120" w:line="240" w:lineRule="auto"/>
        <w:ind w:left="720" w:hanging="720"/>
      </w:pPr>
      <w:r>
        <w:t xml:space="preserve">Macaluso, M. (2022). The Influence of Skill-Based Policies on the Immigrant Selection Process. </w:t>
      </w:r>
      <w:r>
        <w:rPr>
          <w:i/>
        </w:rPr>
        <w:t>Economia Politica, 39</w:t>
      </w:r>
      <w:r>
        <w:t>, 595–621.</w:t>
      </w:r>
    </w:p>
    <w:p w14:paraId="04707F7C" w14:textId="77777777" w:rsidR="00961C7F" w:rsidRDefault="008A042F">
      <w:pPr>
        <w:spacing w:after="120" w:line="240" w:lineRule="auto"/>
        <w:ind w:left="720" w:hanging="720"/>
      </w:pPr>
      <w:r>
        <w:t xml:space="preserve">Mayda, A. M. (2010). International migration: a panel data analysis of the determinants of bilateral flows. </w:t>
      </w:r>
      <w:r>
        <w:rPr>
          <w:i/>
        </w:rPr>
        <w:t>Journal of Population Economics, 23</w:t>
      </w:r>
      <w:r>
        <w:t>(4), 1249–1274.</w:t>
      </w:r>
    </w:p>
    <w:p w14:paraId="6AD75C03" w14:textId="77777777" w:rsidR="00961C7F" w:rsidRDefault="008A042F">
      <w:pPr>
        <w:spacing w:after="120" w:line="240" w:lineRule="auto"/>
        <w:ind w:left="720" w:hanging="720"/>
      </w:pPr>
      <w:r>
        <w:t xml:space="preserve">OECD. (2024). </w:t>
      </w:r>
      <w:r>
        <w:rPr>
          <w:i/>
        </w:rPr>
        <w:t>International Migration Outlook 2024</w:t>
      </w:r>
      <w:r>
        <w:t>. OECD Publishing. https://doi.org/10.1787/50b0353e-en</w:t>
      </w:r>
    </w:p>
    <w:p w14:paraId="62F1C01F" w14:textId="77777777" w:rsidR="00961C7F" w:rsidRDefault="008A042F">
      <w:pPr>
        <w:spacing w:after="120" w:line="240" w:lineRule="auto"/>
        <w:ind w:left="720" w:hanging="720"/>
      </w:pPr>
      <w:r>
        <w:t xml:space="preserve">Ortega, F., &amp; Peri, G. (2013). The effect of income and immigration policies on international migration. </w:t>
      </w:r>
      <w:r>
        <w:rPr>
          <w:i/>
        </w:rPr>
        <w:t>Migration Studies, 1</w:t>
      </w:r>
      <w:r>
        <w:t>(1), 47–74.</w:t>
      </w:r>
    </w:p>
    <w:p w14:paraId="6F6447CA" w14:textId="77777777" w:rsidR="00961C7F" w:rsidRDefault="008A042F">
      <w:pPr>
        <w:spacing w:after="120" w:line="240" w:lineRule="auto"/>
        <w:ind w:left="720" w:hanging="720"/>
      </w:pPr>
      <w:r>
        <w:t xml:space="preserve">Peri, G. (2012). The Effect of Immigration on Productivity: Evidence from U.S. States. </w:t>
      </w:r>
      <w:r>
        <w:rPr>
          <w:i/>
        </w:rPr>
        <w:t>Review of Economics and Statistics, 94</w:t>
      </w:r>
      <w:r>
        <w:t>(1), 348–358.</w:t>
      </w:r>
    </w:p>
    <w:p w14:paraId="75230B1D" w14:textId="77777777" w:rsidR="00961C7F" w:rsidRDefault="008A042F">
      <w:pPr>
        <w:spacing w:after="120" w:line="240" w:lineRule="auto"/>
        <w:ind w:left="720" w:hanging="720"/>
      </w:pPr>
      <w:r>
        <w:lastRenderedPageBreak/>
        <w:t xml:space="preserve">Rayp, G., Ruyssen, I., &amp; Standaert, S. (2017). Measuring and Explaining Cross-Country Immigration Policies. </w:t>
      </w:r>
      <w:r>
        <w:rPr>
          <w:i/>
        </w:rPr>
        <w:t>World Development, 95</w:t>
      </w:r>
      <w:r>
        <w:t>, 141–163.</w:t>
      </w:r>
    </w:p>
    <w:p w14:paraId="5C6E459A" w14:textId="77777777" w:rsidR="00961C7F" w:rsidRDefault="008A042F">
      <w:pPr>
        <w:spacing w:after="120" w:line="240" w:lineRule="auto"/>
        <w:ind w:left="720" w:hanging="720"/>
      </w:pPr>
      <w:r>
        <w:t xml:space="preserve">Santos Silva, J. M. C., &amp; Tenreyro, S. (2006). The Log of Gravity. </w:t>
      </w:r>
      <w:r>
        <w:rPr>
          <w:i/>
        </w:rPr>
        <w:t>The Review of Economics and Statistics, 88</w:t>
      </w:r>
      <w:r>
        <w:t>(4), 641–658.</w:t>
      </w:r>
    </w:p>
    <w:p w14:paraId="0D711EB5" w14:textId="77777777" w:rsidR="00961C7F" w:rsidRDefault="008A042F">
      <w:pPr>
        <w:spacing w:after="120" w:line="240" w:lineRule="auto"/>
        <w:ind w:left="720" w:hanging="720"/>
      </w:pPr>
      <w:r>
        <w:t xml:space="preserve">Schmidt, R., Kristen, C., &amp; Mühlau, P. (2022). Educational Selectivity and Immigrants' Labor Market Performance in Europe. </w:t>
      </w:r>
      <w:r>
        <w:rPr>
          <w:i/>
        </w:rPr>
        <w:t>European Sociological Review, 38</w:t>
      </w:r>
      <w:r>
        <w:t>(2), 252–268.</w:t>
      </w:r>
    </w:p>
    <w:p w14:paraId="47B3BF99" w14:textId="77777777" w:rsidR="00961C7F" w:rsidRDefault="008A042F">
      <w:pPr>
        <w:spacing w:after="120" w:line="240" w:lineRule="auto"/>
        <w:ind w:left="720" w:hanging="720"/>
      </w:pPr>
      <w:r>
        <w:t xml:space="preserve">Schreier, S., Skrabal, L., &amp; Czaika, M. (2023). </w:t>
      </w:r>
      <w:r>
        <w:rPr>
          <w:i/>
        </w:rPr>
        <w:t>DEMIG-QuantMig Migration Policy Database</w:t>
      </w:r>
      <w:r>
        <w:t>. QuantMig Project Deliverable D5.4, version 1.2. University of Continuing Education Krems.</w:t>
      </w:r>
    </w:p>
    <w:p w14:paraId="55CA331D" w14:textId="77777777" w:rsidR="00961C7F" w:rsidRDefault="008A042F">
      <w:pPr>
        <w:spacing w:after="120" w:line="240" w:lineRule="auto"/>
        <w:ind w:left="720" w:hanging="720"/>
      </w:pPr>
      <w:r>
        <w:t xml:space="preserve">Storesletten, K. (2000). Sustaining Fiscal Policy through Immigration. </w:t>
      </w:r>
      <w:r>
        <w:rPr>
          <w:i/>
        </w:rPr>
        <w:t>Journal of Political Economy, 108</w:t>
      </w:r>
      <w:r>
        <w:t>(2), 300–323.</w:t>
      </w:r>
    </w:p>
    <w:p w14:paraId="4917B3E7" w14:textId="77777777" w:rsidR="00961C7F" w:rsidRDefault="008A042F">
      <w:pPr>
        <w:spacing w:after="120" w:line="240" w:lineRule="auto"/>
        <w:ind w:left="720" w:hanging="720"/>
      </w:pPr>
      <w:r>
        <w:t xml:space="preserve">World Bank. (2026). </w:t>
      </w:r>
      <w:r>
        <w:rPr>
          <w:i/>
          <w:iCs/>
        </w:rPr>
        <w:t>Unemployment, total (% of total labor force) (modeled ILO estimate), indicator SL.UEM.TOTL.ZS</w:t>
      </w:r>
      <w:r>
        <w:t>. World Development Indicators. Source: ILOSTAT.</w:t>
      </w:r>
    </w:p>
    <w:p w14:paraId="2D5D92FD" w14:textId="77777777" w:rsidR="00961C7F" w:rsidRDefault="008A042F">
      <w:pPr>
        <w:spacing w:after="120" w:line="240" w:lineRule="auto"/>
        <w:ind w:left="720" w:hanging="720"/>
      </w:pPr>
      <w:r>
        <w:t xml:space="preserve">World Bank Data Team. (2019). </w:t>
      </w:r>
      <w:r>
        <w:rPr>
          <w:i/>
          <w:iCs/>
        </w:rPr>
        <w:t>New country classifications by income level: 2019-2020</w:t>
      </w:r>
      <w:r>
        <w:t>. World Bank Data Blog, July 1, 2019.</w:t>
      </w:r>
    </w:p>
    <w:p w14:paraId="79DCC73A" w14:textId="77777777" w:rsidR="00A26942" w:rsidRDefault="00A26942">
      <w:pPr>
        <w:spacing w:after="0" w:line="240" w:lineRule="auto"/>
        <w:rPr>
          <w:rFonts w:ascii="Cambria" w:eastAsia="Cambria" w:hAnsi="Cambria" w:cs="Cambria"/>
          <w:b/>
          <w:bCs/>
          <w:color w:val="000000"/>
          <w:sz w:val="34"/>
          <w:szCs w:val="28"/>
        </w:rPr>
      </w:pPr>
      <w:r>
        <w:br w:type="page"/>
      </w:r>
    </w:p>
    <w:p w14:paraId="25D3FBAD" w14:textId="77777777" w:rsidR="00961C7F" w:rsidRDefault="00446F2F">
      <w:pPr>
        <w:pStyle w:val="Heading1"/>
      </w:pPr>
      <w:r>
        <w:lastRenderedPageBreak/>
        <w:t>13. Appendix A. Permit-category and timing diagnostics</w:t>
      </w:r>
    </w:p>
    <w:p w14:paraId="506ADC36" w14:textId="77777777" w:rsidR="00961C7F" w:rsidRDefault="008A042F">
      <w:r>
        <w:t>This appendix reports the permit-category and timing diagnostics referenced in Section 7.3, together with the extended-window and destination-trend sensitivities.</w:t>
      </w:r>
    </w:p>
    <w:p w14:paraId="143769CF" w14:textId="77777777" w:rsidR="00696B3F" w:rsidRDefault="00696B3F"/>
    <w:p w14:paraId="6C37B0F1" w14:textId="77777777" w:rsidR="00196C82" w:rsidRDefault="00000000">
      <w:r>
        <w:t>Table A.1. Permit-category and timing diagnostics.</w:t>
      </w:r>
    </w:p>
    <w:tbl>
      <w:tblPr>
        <w:tblStyle w:val="TableGrid"/>
        <w:tblW w:w="0" w:type="auto"/>
        <w:tblLook w:val="04A0" w:firstRow="1" w:lastRow="0" w:firstColumn="1" w:lastColumn="0" w:noHBand="0" w:noVBand="1"/>
      </w:tblPr>
      <w:tblGrid>
        <w:gridCol w:w="1505"/>
        <w:gridCol w:w="1503"/>
        <w:gridCol w:w="1503"/>
        <w:gridCol w:w="1502"/>
        <w:gridCol w:w="1502"/>
        <w:gridCol w:w="1501"/>
      </w:tblGrid>
      <w:tr w:rsidR="00196C82" w14:paraId="540E42E2" w14:textId="77777777">
        <w:trPr>
          <w:cantSplit/>
          <w:tblHeader/>
        </w:trPr>
        <w:tc>
          <w:tcPr>
            <w:tcW w:w="1504" w:type="dxa"/>
          </w:tcPr>
          <w:p w14:paraId="2F8BF660" w14:textId="77777777" w:rsidR="00196C82" w:rsidRDefault="00000000">
            <w:r>
              <w:t>Check</w:t>
            </w:r>
          </w:p>
        </w:tc>
        <w:tc>
          <w:tcPr>
            <w:tcW w:w="1504" w:type="dxa"/>
          </w:tcPr>
          <w:p w14:paraId="27779F36" w14:textId="77777777" w:rsidR="00196C82" w:rsidRDefault="00000000">
            <w:r>
              <w:t>β</w:t>
            </w:r>
          </w:p>
        </w:tc>
        <w:tc>
          <w:tcPr>
            <w:tcW w:w="1504" w:type="dxa"/>
          </w:tcPr>
          <w:p w14:paraId="3323A865" w14:textId="77777777" w:rsidR="00196C82" w:rsidRDefault="00000000">
            <w:r>
              <w:t>SE</w:t>
            </w:r>
          </w:p>
        </w:tc>
        <w:tc>
          <w:tcPr>
            <w:tcW w:w="1504" w:type="dxa"/>
          </w:tcPr>
          <w:p w14:paraId="79FFF2FE" w14:textId="77777777" w:rsidR="00196C82" w:rsidRDefault="00000000">
            <w:r>
              <w:t>p (sig.)</w:t>
            </w:r>
          </w:p>
        </w:tc>
        <w:tc>
          <w:tcPr>
            <w:tcW w:w="1504" w:type="dxa"/>
          </w:tcPr>
          <w:p w14:paraId="6B1A0557" w14:textId="77777777" w:rsidR="00196C82" w:rsidRDefault="00000000">
            <w:r>
              <w:t>N</w:t>
            </w:r>
          </w:p>
        </w:tc>
        <w:tc>
          <w:tcPr>
            <w:tcW w:w="1504" w:type="dxa"/>
          </w:tcPr>
          <w:p w14:paraId="604BB93D" w14:textId="77777777" w:rsidR="00196C82" w:rsidRDefault="00000000">
            <w:r>
              <w:t>G</w:t>
            </w:r>
          </w:p>
        </w:tc>
      </w:tr>
      <w:tr w:rsidR="00196C82" w14:paraId="49D2901A" w14:textId="77777777">
        <w:trPr>
          <w:cantSplit/>
        </w:trPr>
        <w:tc>
          <w:tcPr>
            <w:tcW w:w="1504" w:type="dxa"/>
          </w:tcPr>
          <w:p w14:paraId="4228BD41" w14:textId="77777777" w:rsidR="00196C82" w:rsidRDefault="00000000">
            <w:r>
              <w:t>PPML residual count (EMP - HSNumber)</w:t>
            </w:r>
          </w:p>
        </w:tc>
        <w:tc>
          <w:tcPr>
            <w:tcW w:w="1504" w:type="dxa"/>
          </w:tcPr>
          <w:p w14:paraId="2FF148B2" w14:textId="77777777" w:rsidR="00196C82" w:rsidRDefault="00000000">
            <w:r>
              <w:t>-0.029493</w:t>
            </w:r>
          </w:p>
        </w:tc>
        <w:tc>
          <w:tcPr>
            <w:tcW w:w="1504" w:type="dxa"/>
          </w:tcPr>
          <w:p w14:paraId="567EA596" w14:textId="77777777" w:rsidR="00196C82" w:rsidRDefault="00000000">
            <w:r>
              <w:t>0.018175</w:t>
            </w:r>
          </w:p>
        </w:tc>
        <w:tc>
          <w:tcPr>
            <w:tcW w:w="1504" w:type="dxa"/>
          </w:tcPr>
          <w:p w14:paraId="53A34BED" w14:textId="77777777" w:rsidR="00196C82" w:rsidRDefault="00000000">
            <w:r>
              <w:t>0.115 n.s.</w:t>
            </w:r>
          </w:p>
        </w:tc>
        <w:tc>
          <w:tcPr>
            <w:tcW w:w="1504" w:type="dxa"/>
          </w:tcPr>
          <w:p w14:paraId="3AA4942C" w14:textId="77777777" w:rsidR="00196C82" w:rsidRDefault="00000000">
            <w:r>
              <w:t>5,607</w:t>
            </w:r>
          </w:p>
        </w:tc>
        <w:tc>
          <w:tcPr>
            <w:tcW w:w="1504" w:type="dxa"/>
          </w:tcPr>
          <w:p w14:paraId="56D523FD" w14:textId="77777777" w:rsidR="00196C82" w:rsidRDefault="00000000">
            <w:r>
              <w:t>30</w:t>
            </w:r>
          </w:p>
        </w:tc>
      </w:tr>
      <w:tr w:rsidR="00196C82" w14:paraId="0C89023E" w14:textId="77777777">
        <w:trPr>
          <w:cantSplit/>
        </w:trPr>
        <w:tc>
          <w:tcPr>
            <w:tcW w:w="1504" w:type="dxa"/>
          </w:tcPr>
          <w:p w14:paraId="2DEF2491" w14:textId="77777777" w:rsidR="00196C82" w:rsidRDefault="00000000">
            <w:r>
              <w:t>PPML highly skilled worker permits</w:t>
            </w:r>
          </w:p>
        </w:tc>
        <w:tc>
          <w:tcPr>
            <w:tcW w:w="1504" w:type="dxa"/>
          </w:tcPr>
          <w:p w14:paraId="4A5A9076" w14:textId="77777777" w:rsidR="00196C82" w:rsidRDefault="00000000">
            <w:r>
              <w:t>0.064455</w:t>
            </w:r>
          </w:p>
        </w:tc>
        <w:tc>
          <w:tcPr>
            <w:tcW w:w="1504" w:type="dxa"/>
          </w:tcPr>
          <w:p w14:paraId="0F64EB24" w14:textId="77777777" w:rsidR="00196C82" w:rsidRDefault="00000000">
            <w:r>
              <w:t>0.018836</w:t>
            </w:r>
          </w:p>
        </w:tc>
        <w:tc>
          <w:tcPr>
            <w:tcW w:w="1504" w:type="dxa"/>
          </w:tcPr>
          <w:p w14:paraId="2D9D899D" w14:textId="77777777" w:rsidR="00196C82" w:rsidRDefault="00000000">
            <w:r>
              <w:t>0.0027 ***</w:t>
            </w:r>
          </w:p>
        </w:tc>
        <w:tc>
          <w:tcPr>
            <w:tcW w:w="1504" w:type="dxa"/>
          </w:tcPr>
          <w:p w14:paraId="0FB51518" w14:textId="77777777" w:rsidR="00196C82" w:rsidRDefault="00000000">
            <w:r>
              <w:t>4,579</w:t>
            </w:r>
          </w:p>
        </w:tc>
        <w:tc>
          <w:tcPr>
            <w:tcW w:w="1504" w:type="dxa"/>
          </w:tcPr>
          <w:p w14:paraId="30F6F104" w14:textId="77777777" w:rsidR="00196C82" w:rsidRDefault="00000000">
            <w:r>
              <w:t>21</w:t>
            </w:r>
          </w:p>
        </w:tc>
      </w:tr>
      <w:tr w:rsidR="00196C82" w14:paraId="76FCBFED" w14:textId="77777777">
        <w:trPr>
          <w:cantSplit/>
        </w:trPr>
        <w:tc>
          <w:tcPr>
            <w:tcW w:w="1504" w:type="dxa"/>
          </w:tcPr>
          <w:p w14:paraId="7F27CB8D" w14:textId="77777777" w:rsidR="00196C82" w:rsidRDefault="00000000">
            <w:r>
              <w:t>PPML researcher permits</w:t>
            </w:r>
          </w:p>
        </w:tc>
        <w:tc>
          <w:tcPr>
            <w:tcW w:w="1504" w:type="dxa"/>
          </w:tcPr>
          <w:p w14:paraId="34B8E7EB" w14:textId="77777777" w:rsidR="00196C82" w:rsidRDefault="00000000">
            <w:r>
              <w:t>-0.001194</w:t>
            </w:r>
          </w:p>
        </w:tc>
        <w:tc>
          <w:tcPr>
            <w:tcW w:w="1504" w:type="dxa"/>
          </w:tcPr>
          <w:p w14:paraId="34A5FA6A" w14:textId="77777777" w:rsidR="00196C82" w:rsidRDefault="00000000">
            <w:r>
              <w:t>0.020105</w:t>
            </w:r>
          </w:p>
        </w:tc>
        <w:tc>
          <w:tcPr>
            <w:tcW w:w="1504" w:type="dxa"/>
          </w:tcPr>
          <w:p w14:paraId="5E847864" w14:textId="77777777" w:rsidR="00196C82" w:rsidRDefault="00000000">
            <w:r>
              <w:t>0.953 n.s.</w:t>
            </w:r>
          </w:p>
        </w:tc>
        <w:tc>
          <w:tcPr>
            <w:tcW w:w="1504" w:type="dxa"/>
          </w:tcPr>
          <w:p w14:paraId="1B0B83E6" w14:textId="77777777" w:rsidR="00196C82" w:rsidRDefault="00000000">
            <w:r>
              <w:t>4,786</w:t>
            </w:r>
          </w:p>
        </w:tc>
        <w:tc>
          <w:tcPr>
            <w:tcW w:w="1504" w:type="dxa"/>
          </w:tcPr>
          <w:p w14:paraId="23CFD3CA" w14:textId="77777777" w:rsidR="00196C82" w:rsidRDefault="00000000">
            <w:r>
              <w:t>25</w:t>
            </w:r>
          </w:p>
        </w:tc>
      </w:tr>
      <w:tr w:rsidR="00196C82" w14:paraId="3A33498B" w14:textId="77777777">
        <w:trPr>
          <w:cantSplit/>
        </w:trPr>
        <w:tc>
          <w:tcPr>
            <w:tcW w:w="1504" w:type="dxa"/>
          </w:tcPr>
          <w:p w14:paraId="595BD53E" w14:textId="77777777" w:rsidR="00196C82" w:rsidRDefault="00000000">
            <w:r>
              <w:t>PPML EU Blue Card permits</w:t>
            </w:r>
          </w:p>
        </w:tc>
        <w:tc>
          <w:tcPr>
            <w:tcW w:w="1504" w:type="dxa"/>
          </w:tcPr>
          <w:p w14:paraId="331085D0" w14:textId="77777777" w:rsidR="00196C82" w:rsidRDefault="00000000">
            <w:r>
              <w:t>-0.057399</w:t>
            </w:r>
          </w:p>
        </w:tc>
        <w:tc>
          <w:tcPr>
            <w:tcW w:w="1504" w:type="dxa"/>
          </w:tcPr>
          <w:p w14:paraId="1BEA51AF" w14:textId="77777777" w:rsidR="00196C82" w:rsidRDefault="00000000">
            <w:r>
              <w:t>0.046704</w:t>
            </w:r>
          </w:p>
        </w:tc>
        <w:tc>
          <w:tcPr>
            <w:tcW w:w="1504" w:type="dxa"/>
          </w:tcPr>
          <w:p w14:paraId="074C673E" w14:textId="77777777" w:rsidR="00196C82" w:rsidRDefault="00000000">
            <w:r>
              <w:t>0.232 n.s.</w:t>
            </w:r>
          </w:p>
        </w:tc>
        <w:tc>
          <w:tcPr>
            <w:tcW w:w="1504" w:type="dxa"/>
          </w:tcPr>
          <w:p w14:paraId="19215FA3" w14:textId="77777777" w:rsidR="00196C82" w:rsidRDefault="00000000">
            <w:r>
              <w:t>3,624</w:t>
            </w:r>
          </w:p>
        </w:tc>
        <w:tc>
          <w:tcPr>
            <w:tcW w:w="1504" w:type="dxa"/>
          </w:tcPr>
          <w:p w14:paraId="305EA6D7" w14:textId="77777777" w:rsidR="00196C82" w:rsidRDefault="00000000">
            <w:r>
              <w:t>23</w:t>
            </w:r>
          </w:p>
        </w:tc>
      </w:tr>
      <w:tr w:rsidR="00196C82" w14:paraId="0DC01275" w14:textId="77777777">
        <w:trPr>
          <w:cantSplit/>
        </w:trPr>
        <w:tc>
          <w:tcPr>
            <w:tcW w:w="1504" w:type="dxa"/>
          </w:tcPr>
          <w:p w14:paraId="5C991F41" w14:textId="77777777" w:rsidR="00196C82" w:rsidRDefault="00000000">
            <w:r>
              <w:t>Anticipation: lagged cumulative score</w:t>
            </w:r>
          </w:p>
        </w:tc>
        <w:tc>
          <w:tcPr>
            <w:tcW w:w="1504" w:type="dxa"/>
          </w:tcPr>
          <w:p w14:paraId="7950DE92" w14:textId="77777777" w:rsidR="00196C82" w:rsidRDefault="00000000">
            <w:r>
              <w:t>0.006318</w:t>
            </w:r>
          </w:p>
        </w:tc>
        <w:tc>
          <w:tcPr>
            <w:tcW w:w="1504" w:type="dxa"/>
          </w:tcPr>
          <w:p w14:paraId="2E777EB3" w14:textId="77777777" w:rsidR="00196C82" w:rsidRDefault="00000000">
            <w:r>
              <w:t>0.001616</w:t>
            </w:r>
          </w:p>
        </w:tc>
        <w:tc>
          <w:tcPr>
            <w:tcW w:w="1504" w:type="dxa"/>
          </w:tcPr>
          <w:p w14:paraId="39447604" w14:textId="77777777" w:rsidR="00196C82" w:rsidRDefault="00000000">
            <w:r>
              <w:t>0.0005 ***</w:t>
            </w:r>
          </w:p>
        </w:tc>
        <w:tc>
          <w:tcPr>
            <w:tcW w:w="1504" w:type="dxa"/>
          </w:tcPr>
          <w:p w14:paraId="12703AE4" w14:textId="77777777" w:rsidR="00196C82" w:rsidRDefault="00000000">
            <w:r>
              <w:t>5,608</w:t>
            </w:r>
          </w:p>
        </w:tc>
        <w:tc>
          <w:tcPr>
            <w:tcW w:w="1504" w:type="dxa"/>
          </w:tcPr>
          <w:p w14:paraId="76900295" w14:textId="77777777" w:rsidR="00196C82" w:rsidRDefault="00000000">
            <w:r>
              <w:t>30</w:t>
            </w:r>
          </w:p>
        </w:tc>
      </w:tr>
      <w:tr w:rsidR="00196C82" w14:paraId="2A480C5B" w14:textId="77777777">
        <w:trPr>
          <w:cantSplit/>
        </w:trPr>
        <w:tc>
          <w:tcPr>
            <w:tcW w:w="1504" w:type="dxa"/>
          </w:tcPr>
          <w:p w14:paraId="1C90BD71" w14:textId="77777777" w:rsidR="00196C82" w:rsidRDefault="00000000">
            <w:r>
              <w:t>Anticipation: policy flow at t+1</w:t>
            </w:r>
          </w:p>
        </w:tc>
        <w:tc>
          <w:tcPr>
            <w:tcW w:w="1504" w:type="dxa"/>
          </w:tcPr>
          <w:p w14:paraId="77C04E98" w14:textId="77777777" w:rsidR="00196C82" w:rsidRDefault="00000000">
            <w:r>
              <w:t>-0.000881</w:t>
            </w:r>
          </w:p>
        </w:tc>
        <w:tc>
          <w:tcPr>
            <w:tcW w:w="1504" w:type="dxa"/>
          </w:tcPr>
          <w:p w14:paraId="2794266A" w14:textId="77777777" w:rsidR="00196C82" w:rsidRDefault="00000000">
            <w:r>
              <w:t>0.000998</w:t>
            </w:r>
          </w:p>
        </w:tc>
        <w:tc>
          <w:tcPr>
            <w:tcW w:w="1504" w:type="dxa"/>
          </w:tcPr>
          <w:p w14:paraId="79927A75" w14:textId="77777777" w:rsidR="00196C82" w:rsidRDefault="00000000">
            <w:r>
              <w:t>0.385 n.s.</w:t>
            </w:r>
          </w:p>
        </w:tc>
        <w:tc>
          <w:tcPr>
            <w:tcW w:w="1504" w:type="dxa"/>
          </w:tcPr>
          <w:p w14:paraId="0370E56D" w14:textId="77777777" w:rsidR="00196C82" w:rsidRDefault="00000000">
            <w:r>
              <w:t>5,608</w:t>
            </w:r>
          </w:p>
        </w:tc>
        <w:tc>
          <w:tcPr>
            <w:tcW w:w="1504" w:type="dxa"/>
          </w:tcPr>
          <w:p w14:paraId="1D1E30EF" w14:textId="77777777" w:rsidR="00196C82" w:rsidRDefault="00000000">
            <w:r>
              <w:t>30</w:t>
            </w:r>
          </w:p>
        </w:tc>
      </w:tr>
      <w:tr w:rsidR="00196C82" w14:paraId="2062CF0A" w14:textId="77777777">
        <w:trPr>
          <w:cantSplit/>
        </w:trPr>
        <w:tc>
          <w:tcPr>
            <w:tcW w:w="1504" w:type="dxa"/>
          </w:tcPr>
          <w:p w14:paraId="290EB622" w14:textId="77777777" w:rsidR="00196C82" w:rsidRDefault="00000000">
            <w:r>
              <w:lastRenderedPageBreak/>
              <w:t>Extended window: weighted OLS HSRate</w:t>
            </w:r>
          </w:p>
        </w:tc>
        <w:tc>
          <w:tcPr>
            <w:tcW w:w="1504" w:type="dxa"/>
          </w:tcPr>
          <w:p w14:paraId="346DFD3C" w14:textId="77777777" w:rsidR="00196C82" w:rsidRDefault="00000000">
            <w:r>
              <w:t>0.005446</w:t>
            </w:r>
          </w:p>
        </w:tc>
        <w:tc>
          <w:tcPr>
            <w:tcW w:w="1504" w:type="dxa"/>
          </w:tcPr>
          <w:p w14:paraId="7A98BA30" w14:textId="77777777" w:rsidR="00196C82" w:rsidRDefault="00000000">
            <w:r>
              <w:t>0.001716</w:t>
            </w:r>
          </w:p>
        </w:tc>
        <w:tc>
          <w:tcPr>
            <w:tcW w:w="1504" w:type="dxa"/>
          </w:tcPr>
          <w:p w14:paraId="502BCA02" w14:textId="77777777" w:rsidR="00196C82" w:rsidRDefault="00000000">
            <w:r>
              <w:t>0.004 ***</w:t>
            </w:r>
          </w:p>
        </w:tc>
        <w:tc>
          <w:tcPr>
            <w:tcW w:w="1504" w:type="dxa"/>
          </w:tcPr>
          <w:p w14:paraId="3AF19142" w14:textId="77777777" w:rsidR="00196C82" w:rsidRDefault="00000000">
            <w:r>
              <w:t>6,301</w:t>
            </w:r>
          </w:p>
        </w:tc>
        <w:tc>
          <w:tcPr>
            <w:tcW w:w="1504" w:type="dxa"/>
          </w:tcPr>
          <w:p w14:paraId="605E6558" w14:textId="77777777" w:rsidR="00196C82" w:rsidRDefault="00000000">
            <w:r>
              <w:t>30</w:t>
            </w:r>
          </w:p>
        </w:tc>
      </w:tr>
      <w:tr w:rsidR="00196C82" w14:paraId="32B7C2A0" w14:textId="77777777">
        <w:trPr>
          <w:cantSplit/>
        </w:trPr>
        <w:tc>
          <w:tcPr>
            <w:tcW w:w="1504" w:type="dxa"/>
          </w:tcPr>
          <w:p w14:paraId="09AD85F5" w14:textId="77777777" w:rsidR="00196C82" w:rsidRDefault="00000000">
            <w:r>
              <w:t>Extended window: PPML HSNumber</w:t>
            </w:r>
          </w:p>
        </w:tc>
        <w:tc>
          <w:tcPr>
            <w:tcW w:w="1504" w:type="dxa"/>
          </w:tcPr>
          <w:p w14:paraId="60F8BAE1" w14:textId="77777777" w:rsidR="00196C82" w:rsidRDefault="00000000">
            <w:r>
              <w:t>0.036814</w:t>
            </w:r>
          </w:p>
        </w:tc>
        <w:tc>
          <w:tcPr>
            <w:tcW w:w="1504" w:type="dxa"/>
          </w:tcPr>
          <w:p w14:paraId="41263064" w14:textId="77777777" w:rsidR="00196C82" w:rsidRDefault="00000000">
            <w:r>
              <w:t>0.013562</w:t>
            </w:r>
          </w:p>
        </w:tc>
        <w:tc>
          <w:tcPr>
            <w:tcW w:w="1504" w:type="dxa"/>
          </w:tcPr>
          <w:p w14:paraId="711B4052" w14:textId="77777777" w:rsidR="00196C82" w:rsidRDefault="00000000">
            <w:r>
              <w:t>0.012 **</w:t>
            </w:r>
          </w:p>
        </w:tc>
        <w:tc>
          <w:tcPr>
            <w:tcW w:w="1504" w:type="dxa"/>
          </w:tcPr>
          <w:p w14:paraId="3D7F7B61" w14:textId="77777777" w:rsidR="00196C82" w:rsidRDefault="00000000">
            <w:r>
              <w:t>5,863</w:t>
            </w:r>
          </w:p>
        </w:tc>
        <w:tc>
          <w:tcPr>
            <w:tcW w:w="1504" w:type="dxa"/>
          </w:tcPr>
          <w:p w14:paraId="5EAD202A" w14:textId="77777777" w:rsidR="00196C82" w:rsidRDefault="00000000">
            <w:r>
              <w:t>27</w:t>
            </w:r>
          </w:p>
        </w:tc>
      </w:tr>
      <w:tr w:rsidR="00196C82" w14:paraId="1950C4FF" w14:textId="77777777">
        <w:trPr>
          <w:cantSplit/>
        </w:trPr>
        <w:tc>
          <w:tcPr>
            <w:tcW w:w="1504" w:type="dxa"/>
          </w:tcPr>
          <w:p w14:paraId="4EB24605" w14:textId="77777777" w:rsidR="00196C82" w:rsidRDefault="00000000">
            <w:r>
              <w:t>Extended window: PPML total EMP</w:t>
            </w:r>
          </w:p>
        </w:tc>
        <w:tc>
          <w:tcPr>
            <w:tcW w:w="1504" w:type="dxa"/>
          </w:tcPr>
          <w:p w14:paraId="28351C1D" w14:textId="77777777" w:rsidR="00196C82" w:rsidRDefault="00000000">
            <w:r>
              <w:t>-0.011039</w:t>
            </w:r>
          </w:p>
        </w:tc>
        <w:tc>
          <w:tcPr>
            <w:tcW w:w="1504" w:type="dxa"/>
          </w:tcPr>
          <w:p w14:paraId="18844666" w14:textId="77777777" w:rsidR="00196C82" w:rsidRDefault="00000000">
            <w:r>
              <w:t>0.016584</w:t>
            </w:r>
          </w:p>
        </w:tc>
        <w:tc>
          <w:tcPr>
            <w:tcW w:w="1504" w:type="dxa"/>
          </w:tcPr>
          <w:p w14:paraId="258D83EF" w14:textId="77777777" w:rsidR="00196C82" w:rsidRDefault="00000000">
            <w:r>
              <w:t>0.511 n.s.</w:t>
            </w:r>
          </w:p>
        </w:tc>
        <w:tc>
          <w:tcPr>
            <w:tcW w:w="1504" w:type="dxa"/>
          </w:tcPr>
          <w:p w14:paraId="410B293D" w14:textId="77777777" w:rsidR="00196C82" w:rsidRDefault="00000000">
            <w:r>
              <w:t>6,301</w:t>
            </w:r>
          </w:p>
        </w:tc>
        <w:tc>
          <w:tcPr>
            <w:tcW w:w="1504" w:type="dxa"/>
          </w:tcPr>
          <w:p w14:paraId="6439D297" w14:textId="77777777" w:rsidR="00196C82" w:rsidRDefault="00000000">
            <w:r>
              <w:t>30</w:t>
            </w:r>
          </w:p>
        </w:tc>
      </w:tr>
      <w:tr w:rsidR="00196C82" w14:paraId="4FC85B97" w14:textId="77777777">
        <w:trPr>
          <w:cantSplit/>
        </w:trPr>
        <w:tc>
          <w:tcPr>
            <w:tcW w:w="1504" w:type="dxa"/>
          </w:tcPr>
          <w:p w14:paraId="4AA231D1" w14:textId="77777777" w:rsidR="00196C82" w:rsidRDefault="00000000">
            <w:r>
              <w:t>Extended window: PPML residual count</w:t>
            </w:r>
          </w:p>
        </w:tc>
        <w:tc>
          <w:tcPr>
            <w:tcW w:w="1504" w:type="dxa"/>
          </w:tcPr>
          <w:p w14:paraId="4B5E0E32" w14:textId="77777777" w:rsidR="00196C82" w:rsidRDefault="00000000">
            <w:r>
              <w:t>-0.013270</w:t>
            </w:r>
          </w:p>
        </w:tc>
        <w:tc>
          <w:tcPr>
            <w:tcW w:w="1504" w:type="dxa"/>
          </w:tcPr>
          <w:p w14:paraId="725363E3" w14:textId="77777777" w:rsidR="00196C82" w:rsidRDefault="00000000">
            <w:r>
              <w:t>0.016604</w:t>
            </w:r>
          </w:p>
        </w:tc>
        <w:tc>
          <w:tcPr>
            <w:tcW w:w="1504" w:type="dxa"/>
          </w:tcPr>
          <w:p w14:paraId="042BDF80" w14:textId="77777777" w:rsidR="00196C82" w:rsidRDefault="00000000">
            <w:r>
              <w:t>0.431 n.s.</w:t>
            </w:r>
          </w:p>
        </w:tc>
        <w:tc>
          <w:tcPr>
            <w:tcW w:w="1504" w:type="dxa"/>
          </w:tcPr>
          <w:p w14:paraId="2229D17F" w14:textId="77777777" w:rsidR="00196C82" w:rsidRDefault="00000000">
            <w:r>
              <w:t>6,300</w:t>
            </w:r>
          </w:p>
        </w:tc>
        <w:tc>
          <w:tcPr>
            <w:tcW w:w="1504" w:type="dxa"/>
          </w:tcPr>
          <w:p w14:paraId="3956BE1E" w14:textId="77777777" w:rsidR="00196C82" w:rsidRDefault="00000000">
            <w:r>
              <w:t>30</w:t>
            </w:r>
          </w:p>
        </w:tc>
      </w:tr>
      <w:tr w:rsidR="00196C82" w14:paraId="0D89E725" w14:textId="77777777">
        <w:trPr>
          <w:cantSplit/>
        </w:trPr>
        <w:tc>
          <w:tcPr>
            <w:tcW w:w="1504" w:type="dxa"/>
          </w:tcPr>
          <w:p w14:paraId="546E8FC3" w14:textId="77777777" w:rsidR="00196C82" w:rsidRDefault="00000000">
            <w:r>
              <w:t>Destination-specific linear trends</w:t>
            </w:r>
          </w:p>
        </w:tc>
        <w:tc>
          <w:tcPr>
            <w:tcW w:w="1504" w:type="dxa"/>
          </w:tcPr>
          <w:p w14:paraId="308E18DD" w14:textId="77777777" w:rsidR="00196C82" w:rsidRDefault="00000000">
            <w:r>
              <w:t>0.002488</w:t>
            </w:r>
          </w:p>
        </w:tc>
        <w:tc>
          <w:tcPr>
            <w:tcW w:w="1504" w:type="dxa"/>
          </w:tcPr>
          <w:p w14:paraId="565C94C6" w14:textId="77777777" w:rsidR="00196C82" w:rsidRDefault="00000000">
            <w:r>
              <w:t>0.001886</w:t>
            </w:r>
          </w:p>
        </w:tc>
        <w:tc>
          <w:tcPr>
            <w:tcW w:w="1504" w:type="dxa"/>
          </w:tcPr>
          <w:p w14:paraId="38C45C80" w14:textId="77777777" w:rsidR="00196C82" w:rsidRDefault="00000000">
            <w:r>
              <w:t>0.198 n.s.</w:t>
            </w:r>
          </w:p>
        </w:tc>
        <w:tc>
          <w:tcPr>
            <w:tcW w:w="1504" w:type="dxa"/>
          </w:tcPr>
          <w:p w14:paraId="601D7BE8" w14:textId="77777777" w:rsidR="00196C82" w:rsidRDefault="00000000">
            <w:r>
              <w:t>5,608</w:t>
            </w:r>
          </w:p>
        </w:tc>
        <w:tc>
          <w:tcPr>
            <w:tcW w:w="1504" w:type="dxa"/>
          </w:tcPr>
          <w:p w14:paraId="66275237" w14:textId="77777777" w:rsidR="00196C82" w:rsidRDefault="00000000">
            <w:r>
              <w:t>30</w:t>
            </w:r>
          </w:p>
        </w:tc>
      </w:tr>
    </w:tbl>
    <w:p w14:paraId="7E751DC6" w14:textId="77777777" w:rsidR="00196C82" w:rsidRDefault="00000000">
      <w:r>
        <w:t>Table A.1 note. Diagnostics generated by replication script 31. PPML rows use destination and origin-year fixed effects, the skill-target policy controls, and lagged destination unemployment and GDP growth; fixed-effect groups with all-zero outcomes are removed before estimation, so the permit-category samples differ and the coefficients are read as separate diagnostics rather than as a decomposition. Weighted OLS rows re-estimate the preferred denominator-weighted bilateral HSRate specification. The focal regressor is the lagged cumulative all-migrant-worker score, except in the policy-flow-at-t+1 row. Standard errors are clustered by destination. *** p &lt; 0.01, ** p &lt; 0.05, * p &lt; 0.10.</w:t>
      </w:r>
    </w:p>
    <w:sectPr w:rsidR="00196C82" w:rsidSect="00110134">
      <w:footerReference w:type="even" r:id="rId13"/>
      <w:footerReference w:type="default" r:id="rId14"/>
      <w:footerReference w:type="first" r:id="rId15"/>
      <w:pgSz w:w="11906" w:h="16838"/>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F1F3DD" w14:textId="77777777" w:rsidR="00DB02B5" w:rsidRDefault="00DB02B5">
      <w:pPr>
        <w:spacing w:after="0" w:line="240" w:lineRule="auto"/>
      </w:pPr>
      <w:r>
        <w:separator/>
      </w:r>
    </w:p>
  </w:endnote>
  <w:endnote w:type="continuationSeparator" w:id="0">
    <w:p w14:paraId="04162A42" w14:textId="77777777" w:rsidR="00DB02B5" w:rsidRDefault="00DB0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392770"/>
      <w:docPartObj>
        <w:docPartGallery w:val="Page Numbers (Bottom of Page)"/>
        <w:docPartUnique/>
      </w:docPartObj>
    </w:sdtPr>
    <w:sdtContent>
      <w:p w14:paraId="4E94F29D"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08F7">
          <w:rPr>
            <w:rStyle w:val="PageNumber"/>
            <w:noProof/>
          </w:rPr>
          <w:t>0</w:t>
        </w:r>
        <w:r>
          <w:rPr>
            <w:rStyle w:val="PageNumber"/>
          </w:rPr>
          <w:fldChar w:fldCharType="end"/>
        </w:r>
      </w:p>
    </w:sdtContent>
  </w:sdt>
  <w:p w14:paraId="432C5FEE" w14:textId="77777777" w:rsidR="00961C7F" w:rsidRDefault="00961C7F" w:rsidP="00D07B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0813983"/>
      <w:docPartObj>
        <w:docPartGallery w:val="Page Numbers (Bottom of Page)"/>
        <w:docPartUnique/>
      </w:docPartObj>
    </w:sdtPr>
    <w:sdtContent>
      <w:p w14:paraId="0F4CF207"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EDBAF5" w14:textId="77777777" w:rsidR="00961C7F" w:rsidRDefault="00961C7F" w:rsidP="00D07BFE">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93717" w14:textId="77777777" w:rsidR="00961C7F" w:rsidRDefault="00961C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A56EA5" w14:textId="77777777" w:rsidR="00DB02B5" w:rsidRDefault="00DB02B5">
      <w:pPr>
        <w:spacing w:after="0" w:line="240" w:lineRule="auto"/>
      </w:pPr>
      <w:r>
        <w:separator/>
      </w:r>
    </w:p>
  </w:footnote>
  <w:footnote w:type="continuationSeparator" w:id="0">
    <w:p w14:paraId="0017718D" w14:textId="77777777" w:rsidR="00DB02B5" w:rsidRDefault="00DB0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D5460"/>
    <w:multiLevelType w:val="multilevel"/>
    <w:tmpl w:val="7B4EC0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E84285"/>
    <w:multiLevelType w:val="multilevel"/>
    <w:tmpl w:val="4C9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446"/>
    <w:multiLevelType w:val="multilevel"/>
    <w:tmpl w:val="F69659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0B2E83"/>
    <w:multiLevelType w:val="multilevel"/>
    <w:tmpl w:val="2D5C85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B34AF9"/>
    <w:multiLevelType w:val="multilevel"/>
    <w:tmpl w:val="11FAE15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825701"/>
    <w:multiLevelType w:val="multilevel"/>
    <w:tmpl w:val="13CCC1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1CB5AAB"/>
    <w:multiLevelType w:val="multilevel"/>
    <w:tmpl w:val="3154C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559536A"/>
    <w:multiLevelType w:val="multilevel"/>
    <w:tmpl w:val="7D4E7F0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55402037">
    <w:abstractNumId w:val="0"/>
  </w:num>
  <w:num w:numId="2" w16cid:durableId="2000107803">
    <w:abstractNumId w:val="5"/>
  </w:num>
  <w:num w:numId="3" w16cid:durableId="129830941">
    <w:abstractNumId w:val="4"/>
  </w:num>
  <w:num w:numId="4" w16cid:durableId="1936671606">
    <w:abstractNumId w:val="3"/>
  </w:num>
  <w:num w:numId="5" w16cid:durableId="448167499">
    <w:abstractNumId w:val="2"/>
  </w:num>
  <w:num w:numId="6" w16cid:durableId="932131006">
    <w:abstractNumId w:val="7"/>
  </w:num>
  <w:num w:numId="7" w16cid:durableId="646203098">
    <w:abstractNumId w:val="6"/>
  </w:num>
  <w:num w:numId="8" w16cid:durableId="4777718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F"/>
    <w:rsid w:val="00015A9F"/>
    <w:rsid w:val="00020699"/>
    <w:rsid w:val="0002732B"/>
    <w:rsid w:val="00030F12"/>
    <w:rsid w:val="00042715"/>
    <w:rsid w:val="00047EE9"/>
    <w:rsid w:val="00070FB9"/>
    <w:rsid w:val="000B1F67"/>
    <w:rsid w:val="000B2D80"/>
    <w:rsid w:val="000B2FDA"/>
    <w:rsid w:val="000B4630"/>
    <w:rsid w:val="000E119A"/>
    <w:rsid w:val="000E3DD6"/>
    <w:rsid w:val="000E7EDD"/>
    <w:rsid w:val="000F5E30"/>
    <w:rsid w:val="00110134"/>
    <w:rsid w:val="00113378"/>
    <w:rsid w:val="00121144"/>
    <w:rsid w:val="00122F06"/>
    <w:rsid w:val="0013305C"/>
    <w:rsid w:val="001430F9"/>
    <w:rsid w:val="00145308"/>
    <w:rsid w:val="00150861"/>
    <w:rsid w:val="0015174C"/>
    <w:rsid w:val="00154E3D"/>
    <w:rsid w:val="00155B9B"/>
    <w:rsid w:val="00162473"/>
    <w:rsid w:val="00171D74"/>
    <w:rsid w:val="00176216"/>
    <w:rsid w:val="001766DC"/>
    <w:rsid w:val="00196C82"/>
    <w:rsid w:val="0019712D"/>
    <w:rsid w:val="001A2A72"/>
    <w:rsid w:val="001B050E"/>
    <w:rsid w:val="001B2FA0"/>
    <w:rsid w:val="001B5A82"/>
    <w:rsid w:val="001C2133"/>
    <w:rsid w:val="001C71E0"/>
    <w:rsid w:val="001C76C3"/>
    <w:rsid w:val="001E243F"/>
    <w:rsid w:val="001F01AC"/>
    <w:rsid w:val="001F1C47"/>
    <w:rsid w:val="001F3CCB"/>
    <w:rsid w:val="001F4F71"/>
    <w:rsid w:val="00205D98"/>
    <w:rsid w:val="00206B52"/>
    <w:rsid w:val="0021198F"/>
    <w:rsid w:val="002225A5"/>
    <w:rsid w:val="002467CE"/>
    <w:rsid w:val="002653E2"/>
    <w:rsid w:val="002751DF"/>
    <w:rsid w:val="002826C5"/>
    <w:rsid w:val="002846CB"/>
    <w:rsid w:val="00284F83"/>
    <w:rsid w:val="002A3D03"/>
    <w:rsid w:val="002B1731"/>
    <w:rsid w:val="002B3974"/>
    <w:rsid w:val="002B5A0E"/>
    <w:rsid w:val="002C1537"/>
    <w:rsid w:val="002C6307"/>
    <w:rsid w:val="002D15B3"/>
    <w:rsid w:val="002D3F88"/>
    <w:rsid w:val="002D4E46"/>
    <w:rsid w:val="002E65FC"/>
    <w:rsid w:val="002F1220"/>
    <w:rsid w:val="002F228E"/>
    <w:rsid w:val="002F467F"/>
    <w:rsid w:val="003057D9"/>
    <w:rsid w:val="00306815"/>
    <w:rsid w:val="003125F5"/>
    <w:rsid w:val="00313B8D"/>
    <w:rsid w:val="00316082"/>
    <w:rsid w:val="00330DA4"/>
    <w:rsid w:val="00332349"/>
    <w:rsid w:val="00333C79"/>
    <w:rsid w:val="00335227"/>
    <w:rsid w:val="003355F9"/>
    <w:rsid w:val="003578D0"/>
    <w:rsid w:val="00380AD2"/>
    <w:rsid w:val="00394DC2"/>
    <w:rsid w:val="003A3C70"/>
    <w:rsid w:val="003A48EC"/>
    <w:rsid w:val="003A4ECA"/>
    <w:rsid w:val="003A7C7E"/>
    <w:rsid w:val="003A7F85"/>
    <w:rsid w:val="003B01EC"/>
    <w:rsid w:val="003B1385"/>
    <w:rsid w:val="003B55D1"/>
    <w:rsid w:val="003C6E20"/>
    <w:rsid w:val="003C717D"/>
    <w:rsid w:val="003C7D46"/>
    <w:rsid w:val="003D3B27"/>
    <w:rsid w:val="003E1F82"/>
    <w:rsid w:val="003E709B"/>
    <w:rsid w:val="003E7B8F"/>
    <w:rsid w:val="003F1AD1"/>
    <w:rsid w:val="003F7383"/>
    <w:rsid w:val="00400102"/>
    <w:rsid w:val="00405253"/>
    <w:rsid w:val="004076DB"/>
    <w:rsid w:val="00413303"/>
    <w:rsid w:val="00417C44"/>
    <w:rsid w:val="00426988"/>
    <w:rsid w:val="004435C1"/>
    <w:rsid w:val="00446F2F"/>
    <w:rsid w:val="004557DB"/>
    <w:rsid w:val="00465C6B"/>
    <w:rsid w:val="004818D5"/>
    <w:rsid w:val="00482E0B"/>
    <w:rsid w:val="004854B9"/>
    <w:rsid w:val="004868E9"/>
    <w:rsid w:val="004A7B00"/>
    <w:rsid w:val="004B03E8"/>
    <w:rsid w:val="004B2CEC"/>
    <w:rsid w:val="004B4196"/>
    <w:rsid w:val="004C1830"/>
    <w:rsid w:val="004C3B03"/>
    <w:rsid w:val="004C7B18"/>
    <w:rsid w:val="004E2BF6"/>
    <w:rsid w:val="004E3523"/>
    <w:rsid w:val="004E372B"/>
    <w:rsid w:val="004F4900"/>
    <w:rsid w:val="00512C81"/>
    <w:rsid w:val="005263DD"/>
    <w:rsid w:val="00526A4F"/>
    <w:rsid w:val="00530057"/>
    <w:rsid w:val="005415D4"/>
    <w:rsid w:val="005441FF"/>
    <w:rsid w:val="00550ECD"/>
    <w:rsid w:val="0056096A"/>
    <w:rsid w:val="005742DE"/>
    <w:rsid w:val="00584109"/>
    <w:rsid w:val="005925DD"/>
    <w:rsid w:val="005A11F9"/>
    <w:rsid w:val="005A1A0F"/>
    <w:rsid w:val="005D3B81"/>
    <w:rsid w:val="006124AC"/>
    <w:rsid w:val="00635963"/>
    <w:rsid w:val="00644C85"/>
    <w:rsid w:val="00647246"/>
    <w:rsid w:val="00651B03"/>
    <w:rsid w:val="00664284"/>
    <w:rsid w:val="0066499F"/>
    <w:rsid w:val="006744B1"/>
    <w:rsid w:val="006858D5"/>
    <w:rsid w:val="00696B3F"/>
    <w:rsid w:val="00696D8A"/>
    <w:rsid w:val="006A0F4A"/>
    <w:rsid w:val="006B0301"/>
    <w:rsid w:val="006B0BBD"/>
    <w:rsid w:val="006B2D63"/>
    <w:rsid w:val="006C70A2"/>
    <w:rsid w:val="006C792F"/>
    <w:rsid w:val="006D136D"/>
    <w:rsid w:val="006E4834"/>
    <w:rsid w:val="006E5755"/>
    <w:rsid w:val="006E7929"/>
    <w:rsid w:val="006F05BB"/>
    <w:rsid w:val="006F3032"/>
    <w:rsid w:val="00707635"/>
    <w:rsid w:val="007308F7"/>
    <w:rsid w:val="00733871"/>
    <w:rsid w:val="0073690B"/>
    <w:rsid w:val="0074059F"/>
    <w:rsid w:val="00755367"/>
    <w:rsid w:val="00762DD7"/>
    <w:rsid w:val="00767A2B"/>
    <w:rsid w:val="007830C2"/>
    <w:rsid w:val="0078507D"/>
    <w:rsid w:val="00796565"/>
    <w:rsid w:val="00797718"/>
    <w:rsid w:val="007A068A"/>
    <w:rsid w:val="007A1105"/>
    <w:rsid w:val="007A373B"/>
    <w:rsid w:val="007A5132"/>
    <w:rsid w:val="007C30F5"/>
    <w:rsid w:val="007D1ADB"/>
    <w:rsid w:val="007F06D5"/>
    <w:rsid w:val="007F206C"/>
    <w:rsid w:val="0080086E"/>
    <w:rsid w:val="0080550A"/>
    <w:rsid w:val="00835813"/>
    <w:rsid w:val="008432A6"/>
    <w:rsid w:val="00854085"/>
    <w:rsid w:val="0087224D"/>
    <w:rsid w:val="0087275C"/>
    <w:rsid w:val="008741A0"/>
    <w:rsid w:val="00887E1D"/>
    <w:rsid w:val="008A042F"/>
    <w:rsid w:val="008B4845"/>
    <w:rsid w:val="008B7D16"/>
    <w:rsid w:val="008D02C0"/>
    <w:rsid w:val="008D6D9A"/>
    <w:rsid w:val="008F026E"/>
    <w:rsid w:val="008F5A41"/>
    <w:rsid w:val="0090268D"/>
    <w:rsid w:val="00902B26"/>
    <w:rsid w:val="00911FF1"/>
    <w:rsid w:val="009164F4"/>
    <w:rsid w:val="00916BEB"/>
    <w:rsid w:val="0092103A"/>
    <w:rsid w:val="00924A14"/>
    <w:rsid w:val="00931B14"/>
    <w:rsid w:val="0093432A"/>
    <w:rsid w:val="00937886"/>
    <w:rsid w:val="009401EE"/>
    <w:rsid w:val="0094345F"/>
    <w:rsid w:val="009437F8"/>
    <w:rsid w:val="00943825"/>
    <w:rsid w:val="00947FE5"/>
    <w:rsid w:val="00951F4D"/>
    <w:rsid w:val="0095441C"/>
    <w:rsid w:val="00955246"/>
    <w:rsid w:val="00961C7F"/>
    <w:rsid w:val="00967482"/>
    <w:rsid w:val="009730D9"/>
    <w:rsid w:val="00982B48"/>
    <w:rsid w:val="00983C9A"/>
    <w:rsid w:val="00996A6D"/>
    <w:rsid w:val="009A5721"/>
    <w:rsid w:val="009D4E6F"/>
    <w:rsid w:val="009E38FF"/>
    <w:rsid w:val="00A15C45"/>
    <w:rsid w:val="00A26942"/>
    <w:rsid w:val="00A30AFB"/>
    <w:rsid w:val="00A44E5D"/>
    <w:rsid w:val="00A4574A"/>
    <w:rsid w:val="00A463E3"/>
    <w:rsid w:val="00A53991"/>
    <w:rsid w:val="00A55DD0"/>
    <w:rsid w:val="00A65EA8"/>
    <w:rsid w:val="00A66ED8"/>
    <w:rsid w:val="00A677BC"/>
    <w:rsid w:val="00A817C7"/>
    <w:rsid w:val="00A820E1"/>
    <w:rsid w:val="00A93590"/>
    <w:rsid w:val="00A93FEC"/>
    <w:rsid w:val="00A979B9"/>
    <w:rsid w:val="00AA5FAE"/>
    <w:rsid w:val="00AD7C4C"/>
    <w:rsid w:val="00AE50C2"/>
    <w:rsid w:val="00AF385B"/>
    <w:rsid w:val="00B13604"/>
    <w:rsid w:val="00B15532"/>
    <w:rsid w:val="00B21E8F"/>
    <w:rsid w:val="00B252B2"/>
    <w:rsid w:val="00B36C51"/>
    <w:rsid w:val="00B42A15"/>
    <w:rsid w:val="00B5491B"/>
    <w:rsid w:val="00B56C27"/>
    <w:rsid w:val="00B7302D"/>
    <w:rsid w:val="00B754C4"/>
    <w:rsid w:val="00B85006"/>
    <w:rsid w:val="00B866BE"/>
    <w:rsid w:val="00BA0058"/>
    <w:rsid w:val="00BA3425"/>
    <w:rsid w:val="00BB177F"/>
    <w:rsid w:val="00BB3EB7"/>
    <w:rsid w:val="00BB7186"/>
    <w:rsid w:val="00C01291"/>
    <w:rsid w:val="00C30B65"/>
    <w:rsid w:val="00C36469"/>
    <w:rsid w:val="00C47373"/>
    <w:rsid w:val="00C65C5E"/>
    <w:rsid w:val="00C66C61"/>
    <w:rsid w:val="00C70AE2"/>
    <w:rsid w:val="00C7386E"/>
    <w:rsid w:val="00C91710"/>
    <w:rsid w:val="00CC4614"/>
    <w:rsid w:val="00CC60C8"/>
    <w:rsid w:val="00CE22B2"/>
    <w:rsid w:val="00CE5CD3"/>
    <w:rsid w:val="00CE7D5A"/>
    <w:rsid w:val="00CE7FC0"/>
    <w:rsid w:val="00D07BFE"/>
    <w:rsid w:val="00D14EBC"/>
    <w:rsid w:val="00D332B1"/>
    <w:rsid w:val="00D35B7A"/>
    <w:rsid w:val="00D55C22"/>
    <w:rsid w:val="00D618C4"/>
    <w:rsid w:val="00D77B33"/>
    <w:rsid w:val="00D8575E"/>
    <w:rsid w:val="00D86FD8"/>
    <w:rsid w:val="00D9011E"/>
    <w:rsid w:val="00DA0408"/>
    <w:rsid w:val="00DB02B5"/>
    <w:rsid w:val="00DC118B"/>
    <w:rsid w:val="00DD6CB2"/>
    <w:rsid w:val="00DD7F5B"/>
    <w:rsid w:val="00DF314E"/>
    <w:rsid w:val="00E064AD"/>
    <w:rsid w:val="00E10D64"/>
    <w:rsid w:val="00E12E2C"/>
    <w:rsid w:val="00E139AB"/>
    <w:rsid w:val="00E33ABE"/>
    <w:rsid w:val="00E33BF2"/>
    <w:rsid w:val="00E366A6"/>
    <w:rsid w:val="00E44063"/>
    <w:rsid w:val="00E44B12"/>
    <w:rsid w:val="00E54AF7"/>
    <w:rsid w:val="00E64BB6"/>
    <w:rsid w:val="00E67427"/>
    <w:rsid w:val="00E727F2"/>
    <w:rsid w:val="00E90F84"/>
    <w:rsid w:val="00E9740F"/>
    <w:rsid w:val="00EB43CE"/>
    <w:rsid w:val="00EC7B2B"/>
    <w:rsid w:val="00ED71C4"/>
    <w:rsid w:val="00EE1E4B"/>
    <w:rsid w:val="00EE2413"/>
    <w:rsid w:val="00EE368F"/>
    <w:rsid w:val="00EE76E2"/>
    <w:rsid w:val="00EF7376"/>
    <w:rsid w:val="00F0199F"/>
    <w:rsid w:val="00F05ADF"/>
    <w:rsid w:val="00F16275"/>
    <w:rsid w:val="00F211D9"/>
    <w:rsid w:val="00F239B6"/>
    <w:rsid w:val="00F23DFD"/>
    <w:rsid w:val="00F3005C"/>
    <w:rsid w:val="00F36226"/>
    <w:rsid w:val="00F4202F"/>
    <w:rsid w:val="00F52F35"/>
    <w:rsid w:val="00F67210"/>
    <w:rsid w:val="00F815A3"/>
    <w:rsid w:val="00F821CB"/>
    <w:rsid w:val="00F84AC3"/>
    <w:rsid w:val="00F86F57"/>
    <w:rsid w:val="00F93585"/>
    <w:rsid w:val="00FB5400"/>
    <w:rsid w:val="00FC0888"/>
    <w:rsid w:val="00FC7713"/>
    <w:rsid w:val="00FD065E"/>
    <w:rsid w:val="00FE47F1"/>
    <w:rsid w:val="00FE7ACB"/>
    <w:rsid w:val="00FF2D0F"/>
    <w:rsid w:val="00FF4C5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55A4"/>
  <w15:docId w15:val="{0D1392A7-D0BE-DF41-8F3B-9ADE47E5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eastAsia="Cambria" w:hAnsi="Cambria" w:cs="Cambr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eastAsia="Cambria" w:hAnsi="Cambria" w:cs="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eastAsia="Cambria" w:hAnsi="Cambria" w:cs="Cambr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mbria" w:eastAsia="Cambria" w:hAnsi="Cambria" w:cs="Cambr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mbria" w:eastAsia="Cambria" w:hAnsi="Cambria" w:cs="Cambr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mbria" w:eastAsia="Cambria" w:hAnsi="Cambria" w:cs="Cambr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mbria" w:eastAsia="Cambria" w:hAnsi="Cambria" w:cs="Cambr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mbria" w:eastAsia="Cambria" w:hAnsi="Cambria" w:cs="Cambr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mbria" w:eastAsia="Cambria" w:hAnsi="Cambria" w:cs="Cambr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Cambria" w:eastAsia="Cambria" w:hAnsi="Cambria" w:cs="Cambria"/>
      <w:b/>
      <w:bCs/>
      <w:color w:val="000000"/>
      <w:sz w:val="28"/>
      <w:szCs w:val="28"/>
    </w:rPr>
  </w:style>
  <w:style w:type="character" w:customStyle="1" w:styleId="Heading2Char">
    <w:name w:val="Heading 2 Char"/>
    <w:basedOn w:val="DefaultParagraphFont"/>
    <w:link w:val="Heading2"/>
    <w:uiPriority w:val="9"/>
    <w:qFormat/>
    <w:rsid w:val="00FC693F"/>
    <w:rPr>
      <w:rFonts w:ascii="Cambria" w:eastAsia="Cambria" w:hAnsi="Cambria" w:cs="Cambria"/>
      <w:b/>
      <w:bCs/>
      <w:color w:val="000000"/>
      <w:sz w:val="26"/>
      <w:szCs w:val="26"/>
    </w:rPr>
  </w:style>
  <w:style w:type="character" w:customStyle="1" w:styleId="Heading3Char">
    <w:name w:val="Heading 3 Char"/>
    <w:basedOn w:val="DefaultParagraphFont"/>
    <w:link w:val="Heading3"/>
    <w:uiPriority w:val="9"/>
    <w:qFormat/>
    <w:rsid w:val="00FC693F"/>
    <w:rPr>
      <w:rFonts w:ascii="Cambria" w:eastAsia="Cambria" w:hAnsi="Cambria" w:cs="Cambria"/>
      <w:b/>
      <w:bCs/>
      <w:color w:val="000000"/>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Cambria" w:eastAsia="Cambria" w:hAnsi="Cambria" w:cs="Cambria"/>
      <w:b/>
      <w:bCs/>
      <w:i/>
      <w:iCs/>
      <w:color w:val="000000"/>
    </w:rPr>
  </w:style>
  <w:style w:type="character" w:customStyle="1" w:styleId="Heading5Char">
    <w:name w:val="Heading 5 Char"/>
    <w:basedOn w:val="DefaultParagraphFont"/>
    <w:link w:val="Heading5"/>
    <w:uiPriority w:val="9"/>
    <w:semiHidden/>
    <w:qFormat/>
    <w:rsid w:val="00FC693F"/>
    <w:rPr>
      <w:rFonts w:ascii="Cambria" w:eastAsia="Cambria" w:hAnsi="Cambria" w:cs="Cambria"/>
      <w:color w:val="000000"/>
    </w:rPr>
  </w:style>
  <w:style w:type="character" w:customStyle="1" w:styleId="Heading6Char">
    <w:name w:val="Heading 6 Char"/>
    <w:basedOn w:val="DefaultParagraphFont"/>
    <w:link w:val="Heading6"/>
    <w:uiPriority w:val="9"/>
    <w:semiHidden/>
    <w:qFormat/>
    <w:rsid w:val="00FC693F"/>
    <w:rPr>
      <w:rFonts w:ascii="Cambria" w:eastAsia="Cambria" w:hAnsi="Cambria" w:cs="Cambria"/>
      <w:i/>
      <w:iCs/>
      <w:color w:val="000000"/>
    </w:rPr>
  </w:style>
  <w:style w:type="character" w:customStyle="1" w:styleId="Heading7Char">
    <w:name w:val="Heading 7 Char"/>
    <w:basedOn w:val="DefaultParagraphFont"/>
    <w:link w:val="Heading7"/>
    <w:uiPriority w:val="9"/>
    <w:semiHidden/>
    <w:qFormat/>
    <w:rsid w:val="00FC693F"/>
    <w:rPr>
      <w:rFonts w:ascii="Cambria" w:eastAsia="Cambria" w:hAnsi="Cambria" w:cs="Cambria"/>
      <w:i/>
      <w:iCs/>
      <w:color w:val="000000"/>
    </w:rPr>
  </w:style>
  <w:style w:type="character" w:customStyle="1" w:styleId="Heading8Char">
    <w:name w:val="Heading 8 Char"/>
    <w:basedOn w:val="DefaultParagraphFont"/>
    <w:link w:val="Heading8"/>
    <w:uiPriority w:val="9"/>
    <w:semiHidden/>
    <w:qFormat/>
    <w:rsid w:val="00FC693F"/>
    <w:rPr>
      <w:rFonts w:ascii="Cambria" w:eastAsia="Cambria" w:hAnsi="Cambria" w:cs="Cambria"/>
      <w:color w:val="000000"/>
      <w:sz w:val="20"/>
      <w:szCs w:val="20"/>
    </w:rPr>
  </w:style>
  <w:style w:type="character" w:customStyle="1" w:styleId="Heading9Char">
    <w:name w:val="Heading 9 Char"/>
    <w:basedOn w:val="DefaultParagraphFont"/>
    <w:link w:val="Heading9"/>
    <w:uiPriority w:val="9"/>
    <w:semiHidden/>
    <w:qFormat/>
    <w:rsid w:val="00FC693F"/>
    <w:rPr>
      <w:rFonts w:ascii="Cambria" w:eastAsia="Cambria" w:hAnsi="Cambria" w:cs="Cambria"/>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Arial Unicode MS"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07BFE"/>
  </w:style>
  <w:style w:type="paragraph" w:styleId="NormalWeb">
    <w:name w:val="Normal (Web)"/>
    <w:basedOn w:val="Normal"/>
    <w:uiPriority w:val="99"/>
    <w:unhideWhenUsed/>
    <w:rsid w:val="0013305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E7EDD"/>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338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50</Pages>
  <Words>16468</Words>
  <Characters>93873</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Toprak Yetimoğlu</cp:lastModifiedBy>
  <cp:revision>1</cp:revision>
  <dcterms:created xsi:type="dcterms:W3CDTF">2026-07-02T20:36:00Z</dcterms:created>
  <dcterms:modified xsi:type="dcterms:W3CDTF">2026-07-06T08:31:00Z</dcterms:modified>
  <dc:language>en-US</dc:language>
</cp:coreProperties>
</file>