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From composition to circuit: the neuroepithelial turn in microbiota–gut–brain research</w:t>
      </w:r>
    </w:p>
    <w:p>
      <w:r>
        <w:rPr>
          <w:b/>
        </w:rPr>
        <w:t>Article type:</w:t>
      </w:r>
      <w:r>
        <w:t xml:space="preserve"> Review</w:t>
      </w:r>
    </w:p>
    <w:p>
      <w:r>
        <w:rPr>
          <w:b/>
        </w:rPr>
        <w:t>Running title:</w:t>
      </w:r>
      <w:r>
        <w:t xml:space="preserve"> From composition to circuit</w:t>
      </w:r>
    </w:p>
    <w:p>
      <w:r>
        <w:rPr>
          <w:b/>
        </w:rPr>
        <w:t>Authors:</w:t>
      </w:r>
      <w:r>
        <w:t xml:space="preserve"> [Author 1]</w:t>
      </w:r>
      <w:r>
        <w:rPr>
          <w:vertAlign w:val="superscript"/>
        </w:rPr>
        <w:t>1</w:t>
      </w:r>
      <w:r>
        <w:t>, [Author 2]</w:t>
      </w:r>
      <w:r>
        <w:rPr>
          <w:vertAlign w:val="superscript"/>
        </w:rPr>
        <w:t>2</w:t>
      </w:r>
    </w:p>
    <w:p>
      <w:r>
        <w:rPr>
          <w:vertAlign w:val="superscript"/>
        </w:rPr>
        <w:t>1</w:t>
      </w:r>
      <w:r>
        <w:t xml:space="preserve">[Department, Institution, City, State, PIN, Country] </w:t>
      </w:r>
      <w:r>
        <w:rPr>
          <w:vertAlign w:val="superscript"/>
        </w:rPr>
        <w:t>2</w:t>
      </w:r>
      <w:r>
        <w:t>[Department, Institution, City, State, PIN, Country]</w:t>
      </w:r>
    </w:p>
    <w:p>
      <w:r>
        <w:rPr>
          <w:b/>
        </w:rPr>
        <w:t>Corresponding author:</w:t>
      </w:r>
      <w:r>
        <w:t xml:space="preserve"> [Name, postal address, e-mail, ORCID]</w:t>
      </w:r>
    </w:p>
    <w:p>
      <w:r>
        <w:rPr>
          <w:b/>
        </w:rPr>
        <w:t>Word count:</w:t>
      </w:r>
      <w:r>
        <w:t xml:space="preserve"> abstract 247 words; main text 4,454 words (excluding title page, abstract, headings, tables, figure legends, citation numbers and references). Tables: 4. Figures: 2. References: 11 cited; see `SOURCES.md` for the uncited claims that must be referenced before submission.</w:t>
      </w:r>
    </w:p>
    <w:p>
      <w:pPr>
        <w:pStyle w:val="Heading2"/>
      </w:pPr>
      <w:r>
        <w:t>Abstract</w:t>
      </w:r>
    </w:p>
    <w:p>
      <w:r>
        <w:t>Two literatures carry the name microbiota–gut–brain axis, and they do not meet the same evidential standard. The older one treats gut microbes as a diffuse humoral influence on the brain, measured as community composition and correlated with behavioural or psychiatric outcomes. Its human evidence has not consolidated. Mendelian randomisation studies drawing instruments from the same 16S genome-wide association data return mutually contradictory taxon lists, and meta-analyses of the same interventions report effects ranging from large to null: pooled standardised mean differences near −1.2 for faecal microbiota transplantation in one synthesis and −0.10, with a confidence interval spanning zero, in another. The second literature is anatomical. It identifies named epithelial sensory cells, their stimuli, their transmitters and the vagal afferents they contact, and it tests those connections by optogenetics, monosynaptic tracing and selective denervation. Neuropod cells transduce luminal nutrients to vagal neurons in milliseconds through glutamate. Enterochromaffin cells couple irritants and metabolites to 5-HT3-bearing afferents. A 2025 result closed the gap between the two accounts by showing that colonic neuropod cells detect a bacterial structural protein through Toll-like receptor 5 and signal feeding behaviour through peptide YY onto NPY2R vagal neurons. We argue that microbial signalling should be modelled as input to defined sensory channels rather than as systemic exposure to a community, and we set out what that reframing changes for experimental design, endpoint selection and therapeutic targeting. The compositional account is not wrong. It is under-specified in a way that has made it difficult to falsify.</w:t>
      </w:r>
    </w:p>
    <w:p>
      <w:r>
        <w:rPr>
          <w:b/>
        </w:rPr>
        <w:t>Keywords:</w:t>
      </w:r>
      <w:r>
        <w:t xml:space="preserve"> microbiota–gut–brain axis; neuropod cells; vagal afferents; enterochromaffin cells; Toll-like receptor 5; causal inference; faecal microbiota transplantation</w:t>
      </w:r>
    </w:p>
    <w:p>
      <w:pPr>
        <w:pStyle w:val="Heading2"/>
      </w:pPr>
      <w:r>
        <w:t>1. Introduction</w:t>
      </w:r>
    </w:p>
    <w:p>
      <w:r>
        <w:t>Ask what the gut microbiota does to the brain and you get two kinds of answer.</w:t>
      </w:r>
    </w:p>
    <w:p>
      <w:r>
        <w:t>One describes a community: certain taxa are depleted in depression, metabolites cross into circulation, germ-free animals behave strangely, and restoring the community restores the phenotype. Another describes a wire. Here a specific epithelial cell detects a specific molecule and releases a transmitter onto a named vagal afferent; the signal reaches the brainstem in milliseconds.</w:t>
      </w:r>
    </w:p>
    <w:p>
      <w:r>
        <w:t>Both accounts appear in the same reviews, often in adjacent paragraphs, as though they were two descriptions of one mechanism at different resolutions. They are not. Different claims, different methods — and over the past decade, evidence of markedly different quality.</w:t>
      </w:r>
    </w:p>
    <w:p>
      <w:r>
        <w:t xml:space="preserve">Of the two, the compositional account has the larger literature and the weaker human record. Its foundational animal work is real: germ-free mice mount exaggerated corticosterone responses to restraint stress, an effect reversed by monocolonisation with </w:t>
      </w:r>
      <w:r>
        <w:rPr>
          <w:i/>
        </w:rPr>
        <w:t>Bifidobacterium infantis</w:t>
      </w:r>
      <w:r>
        <w:t xml:space="preserve">, with reduced hippocampal and cortical BDNF alongside [1]. Human population work has found reproducible correlations, including depletion of </w:t>
      </w:r>
      <w:r>
        <w:rPr>
          <w:i/>
        </w:rPr>
        <w:t>Coprococcus</w:t>
      </w:r>
      <w:r>
        <w:t xml:space="preserve"> and </w:t>
      </w:r>
      <w:r>
        <w:rPr>
          <w:i/>
        </w:rPr>
        <w:t>Dialister</w:t>
      </w:r>
      <w:r>
        <w:t xml:space="preserve"> in people reporting depression across a cohort of over a thousand with independent validation [2]. What has not followed is a causal account that survives the usual tests.</w:t>
      </w:r>
    </w:p>
    <w:p>
      <w:r>
        <w:t>Its counterpart has the smaller literature and the stronger evidence. Kaelberer and colleagues showed that enteroendocrine cells form genuine synapses with vagal nodose neurons, transducing luminal sugar through glutamate on a millisecond timescale, with the connection mapped by monosynaptic rabies tracing and confirmed optogenetically [3]. Bellono and colleagues established that enterochromaffin cells are excitable chemosensors coupling irritants and metabolites to 5-HT3-bearing afferent fibres [4]. Bai and colleagues produced a genetic map of the vagal sensory neurons innervating the gut, resolving mechanoreceptive and chemoreceptive populations by marker gene [5].</w:t>
      </w:r>
    </w:p>
    <w:p>
      <w:r>
        <w:t>Until recently these two accounts had little to say to each other, because the circuit work studied nutrients and the compositional work studied microbes. In 2025 that changed. Liu and colleagues reported that colonic neuropod cells detect flagellin, a bacterial structural protein, through Toll-like receptor 5, and signal through peptide YY onto NPY2R-expressing vagal neurons to suppress feeding [6]. Microbial material is sensed by a named cell, through a named receptor, along a named line.</w:t>
      </w:r>
    </w:p>
    <w:p>
      <w:r>
        <w:t>An anatomical fact frames the whole dispute. Between 75 and 90 per cent of vagal fibres are afferent [12]. What the compositional literature treats mainly as an efferent modulator of gut function is, by fibre count, overwhelmingly a sensory cable running the other way. Gut speaks to brain far more than brain speaks to gut, and the hardware for that conversation is sensory.</w:t>
      </w:r>
    </w:p>
    <w:p>
      <w:r>
        <w:t>Our argument is that the second architecture should now organise the field, and that treating microbial influence as systemic exposure to a community has cost more than it has gained. We are not claiming the compositional account is false. We are claiming it is under-specified in a way that has made it hard to falsify, and that the specificity required to fix that is now available.</w:t>
      </w:r>
    </w:p>
    <w:p>
      <w:pPr>
        <w:pStyle w:val="Heading2"/>
      </w:pPr>
      <w:r>
        <w:t>2. Materials and methods</w:t>
      </w:r>
    </w:p>
    <w:p>
      <w:r>
        <w:t>This is a critical narrative review rather than a systematic one. We registered no protocol, and we make no claim to exhaustive retrieval; the synthesis is interpretive and we have tried to mark where evidence is thin.</w:t>
      </w:r>
    </w:p>
    <w:p>
      <w:r>
        <w:t>We searched PubMed/MEDLINE, Scopus and Google Scholar across the circuit literature (</w:t>
      </w:r>
      <w:r>
        <w:rPr>
          <w:i/>
        </w:rPr>
        <w:t>neuropod</w:t>
      </w:r>
      <w:r>
        <w:t xml:space="preserve">, </w:t>
      </w:r>
      <w:r>
        <w:rPr>
          <w:i/>
        </w:rPr>
        <w:t>enteroendocrine</w:t>
      </w:r>
      <w:r>
        <w:t xml:space="preserve">, </w:t>
      </w:r>
      <w:r>
        <w:rPr>
          <w:i/>
        </w:rPr>
        <w:t>enterochromaffin</w:t>
      </w:r>
      <w:r>
        <w:t xml:space="preserve">, </w:t>
      </w:r>
      <w:r>
        <w:rPr>
          <w:i/>
        </w:rPr>
        <w:t>vagal afferent</w:t>
      </w:r>
      <w:r>
        <w:t xml:space="preserve">, </w:t>
      </w:r>
      <w:r>
        <w:rPr>
          <w:i/>
        </w:rPr>
        <w:t>nodose</w:t>
      </w:r>
      <w:r>
        <w:t xml:space="preserve">, </w:t>
      </w:r>
      <w:r>
        <w:rPr>
          <w:i/>
        </w:rPr>
        <w:t>gut-brain circuit</w:t>
      </w:r>
      <w:r>
        <w:t>), the compositional literature (</w:t>
      </w:r>
      <w:r>
        <w:rPr>
          <w:i/>
        </w:rPr>
        <w:t>microbiota-gut-brain</w:t>
      </w:r>
      <w:r>
        <w:t xml:space="preserve">, </w:t>
      </w:r>
      <w:r>
        <w:rPr>
          <w:i/>
        </w:rPr>
        <w:t>psychobiotic</w:t>
      </w:r>
      <w:r>
        <w:t xml:space="preserve">, </w:t>
      </w:r>
      <w:r>
        <w:rPr>
          <w:i/>
        </w:rPr>
        <w:t>germ-free</w:t>
      </w:r>
      <w:r>
        <w:t xml:space="preserve">, </w:t>
      </w:r>
      <w:r>
        <w:rPr>
          <w:i/>
        </w:rPr>
        <w:t>faecal microbiota transplantation</w:t>
      </w:r>
      <w:r>
        <w:t>) and the causal-inference literature applied to both (</w:t>
      </w:r>
      <w:r>
        <w:rPr>
          <w:i/>
        </w:rPr>
        <w:t>Mendelian randomization</w:t>
      </w:r>
      <w:r>
        <w:t xml:space="preserve">, </w:t>
      </w:r>
      <w:r>
        <w:rPr>
          <w:i/>
        </w:rPr>
        <w:t>gut microbiome GWAS</w:t>
      </w:r>
      <w:r>
        <w:t>). Reference lists of retrieved reviews were hand-searched. We gave priority to primary reports over commentary.</w:t>
      </w:r>
    </w:p>
    <w:p>
      <w:r>
        <w:rPr>
          <w:b/>
          <w:color w:val="C00000"/>
        </w:rPr>
        <w:t>[TO CONFIRM BEFORE SUBMISSION]</w:t>
      </w:r>
      <w:r>
        <w:rPr>
          <w:color w:val="C00000"/>
        </w:rPr>
        <w:t xml:space="preserve"> Exact search strings and the final search date must be recorded by the authors from a search they execute themselves. These are left for completion rather than asserted.</w:t>
      </w:r>
    </w:p>
    <w:p>
      <w:pPr>
        <w:pStyle w:val="Heading2"/>
      </w:pPr>
      <w:r>
        <w:t>3. The compositional account and the state of its evidence</w:t>
      </w:r>
    </w:p>
    <w:p>
      <w:pPr>
        <w:pStyle w:val="Heading3"/>
      </w:pPr>
      <w:r>
        <w:t>3.1 What the account claims</w:t>
      </w:r>
    </w:p>
    <w:p>
      <w:r>
        <w:t>Stated carefully, the compositional model holds that the aggregate composition of the gut microbial community influences central nervous function through humoral routes: microbial metabolites entering portal and systemic circulation, immune mediators raised by microbial signals, and modulation of enteric and vagal tone. Cryan and colleagues set out the full version across more than a hundred pages, and it remains the field's reference statement [7].</w:t>
      </w:r>
    </w:p>
    <w:p>
      <w:r>
        <w:t>Nothing in that model is implausible. Short-chain fatty acids reach the circulation, immune activation alters behaviour, and the enteric nervous system is extensively innervated. The difficulty is evidential rather than theoretical.</w:t>
      </w:r>
    </w:p>
    <w:p>
      <w:pPr>
        <w:pStyle w:val="Heading3"/>
      </w:pPr>
      <w:r>
        <w:t>3.2 Germ-free animals, and what they can establish</w:t>
      </w:r>
    </w:p>
    <w:p>
      <w:r>
        <w:t>Germ-free rearing produces large behavioural and neuroendocrine phenotypes [1], and the model has carried much of the field's causal weight. Limits of that inference deserve stating plainly. Germ-free animals differ from conventional ones in gut morphology, immune development, bile acid pools, vitamin status and enteric neuronal density, so a behavioural difference localises the cause to "having been raised without microbes" and no further. Reconstitution experiments narrow this usefully, and a monocolonisation that reverses a phenotype [1] is a genuine causal result about that organism under those conditions.</w:t>
      </w:r>
    </w:p>
    <w:p>
      <w:r>
        <w:t xml:space="preserve">What germ-free work cannot do is identify the route. An effect reversed by </w:t>
      </w:r>
      <w:r>
        <w:rPr>
          <w:i/>
        </w:rPr>
        <w:t>B. infantis</w:t>
      </w:r>
      <w:r>
        <w:t xml:space="preserve"> might travel by metabolite, by immune mediator, by vagal afferent, or by altered gut transit changing something else entirely. No part of the design discriminates between these, and for two decades the field largely did not ask it to.</w:t>
      </w:r>
    </w:p>
    <w:p>
      <w:r>
        <w:t>Behavioural findings in these animals replicate unevenly. Germ-free mice show reduced anxiety-like behaviour alongside altered central neurochemistry [11], which sits awkwardly beside the exaggerated stress-hormone response [1], since one would naively expect a more stress-reactive animal to appear more anxious rather than less. Both results are reconcilable, but reconciling them requires assumptions about which assay measures what, and assays of rodent anxiety are notoriously sensitive to handling, housing, lighting and time of day.</w:t>
      </w:r>
    </w:p>
    <w:p>
      <w:r>
        <w:t>There is also a selection effect inside the model itself. Germ-free colonies are maintained in a small number of facilities, each with its own gnotobiotic husbandry, diet and background strain, and microbiota differences between vivaria are now a recognised source of irreproducibility in immunology. Phenotypes robust in one facility and absent in another get reported as failures to replicate. They may instead be true results about two different animals.</w:t>
      </w:r>
    </w:p>
    <w:p>
      <w:pPr>
        <w:pStyle w:val="Heading3"/>
      </w:pPr>
      <w:r>
        <w:t>3.3 Human association studies</w:t>
      </w:r>
    </w:p>
    <w:p>
      <w:r>
        <w:t xml:space="preserve">Human cohort work has produced the field's most replicable compositional findings. Work from the Flemish Gut Flora Project, with independent validation, found butyrate-producing </w:t>
      </w:r>
      <w:r>
        <w:rPr>
          <w:i/>
        </w:rPr>
        <w:t>Faecalibacterium</w:t>
      </w:r>
      <w:r>
        <w:t xml:space="preserve"> and </w:t>
      </w:r>
      <w:r>
        <w:rPr>
          <w:i/>
        </w:rPr>
        <w:t>Coprococcus</w:t>
      </w:r>
      <w:r>
        <w:t xml:space="preserve"> associated with higher quality-of-life indicators, and </w:t>
      </w:r>
      <w:r>
        <w:rPr>
          <w:i/>
        </w:rPr>
        <w:t>Coprococcus</w:t>
      </w:r>
      <w:r>
        <w:t xml:space="preserve"> and </w:t>
      </w:r>
      <w:r>
        <w:rPr>
          <w:i/>
        </w:rPr>
        <w:t>Dialister</w:t>
      </w:r>
      <w:r>
        <w:t xml:space="preserve"> depleted in depression [2]. Those authors were careful about what this showed.</w:t>
      </w:r>
    </w:p>
    <w:p>
      <w:r>
        <w:t>Diet, medication and disease state all shape the microbiome and all associate with psychiatric outcomes, so confounding is pervasive and reverse causation is live. Depression changes what people eat, when they sleep and what drugs they take; each of those changes the community. An association is compatible with the brain acting on the gut, which is the direction the phrase "gut–brain axis" tends to obscure.</w:t>
      </w:r>
    </w:p>
    <w:p>
      <w:pPr>
        <w:pStyle w:val="Heading3"/>
      </w:pPr>
      <w:r>
        <w:t>3.4 Mendelian randomisation and the instrument problem</w:t>
      </w:r>
    </w:p>
    <w:p>
      <w:r>
        <w:t>Genetic instrumental-variable analysis ought to resolve direction, and the field has turned to it heavily. Results have not converged.</w:t>
      </w:r>
    </w:p>
    <w:p>
      <w:r>
        <w:t>Studies published within the same two-year window report mutually inconsistent taxon lists. One identifies five taxa positively and six negatively associated with depression; another finds ten protective and ten deleterious; a third reports fifteen positive and sixteen negative causal effects, with thirty-six reverse-direction effects alongside. These are not analyses of different exposures. They are largely analyses of the same summary statistics.</w:t>
      </w:r>
    </w:p>
    <w:p>
      <w:r>
        <w:t>Why? Look at where the instruments come from. MiBioGen, the consortium meta-analysis supplying genetic instruments for most of this work, assembled genome-wide genotypes with 16S faecal microbiome data from 18,340 individuals across 24 cohorts [8]. That is a substantial undertaking and a modest GWAS. Few loci reach genome-wide significance, so investigators relax the inclusion threshold, commonly to 1×10⁻⁵, to obtain enough instruments to run the analysis. Weak instruments bias estimates toward the confounded observational association and inflate the variance of the estimate, and 16S profiling resolves taxa to genus at best.</w:t>
      </w:r>
    </w:p>
    <w:p>
      <w:r>
        <w:t>Run that procedure across hundreds of taxa and dozens of psychiatric outcomes, with analytic choices unregistered, and contradictory significant findings are the expected output rather than a surprise. This pattern is a feature of the method as applied, not evidence about biology.</w:t>
      </w:r>
    </w:p>
    <w:p>
      <w:pPr>
        <w:pStyle w:val="Heading3"/>
      </w:pPr>
      <w:r>
        <w:t>3.5 Intervention trials</w:t>
      </w:r>
    </w:p>
    <w:p>
      <w:r>
        <w:t>Randomised interventions should settle matters, and the meta-analytic record is where the compositional account is most exposed.</w:t>
      </w:r>
    </w:p>
    <w:p>
      <w:r>
        <w:t>Pooled estimates for probiotics in depression are large and unstable. One synthesis across eighteen trials in 969 participants reported a standardised mean difference of −0.96 (95% CI −1.31 to −0.61) with between-study heterogeneity at I² = 85%, and the pooled effect fell by roughly a third once high risk-of-bias studies were excluded. Another reported −0.53 (95% CI −0.67 to −0.39).</w:t>
      </w:r>
    </w:p>
    <w:p>
      <w:r>
        <w:t>Faecal microbiota transplantation shows the problem in sharper form. One meta-analysis reports a standardised mean difference near −1.21 for depressive symptoms, another a Hedges' g of −0.81, and a third, pooling seven studies in 235 participants, reports −0.10 with a confidence interval from −0.60 to 0.41. One intervention, one outcome, conclusions running from large benefit to nothing.</w:t>
      </w:r>
    </w:p>
    <w:p>
      <w:r>
        <w:t>Heterogeneity at I² = 85% is not a nuisance parameter to be noted and moved past. Such a value says the trials are not estimating a common effect — what one expects when "probiotic" names hundreds of distinct organisms at different doses in different hosts, and when the mechanism specifying which organism should help which patient has never been identified.</w:t>
      </w:r>
    </w:p>
    <w:p>
      <w:r>
        <w:t xml:space="preserve">Compare how this would read in another therapeutic area. Imagine pooling every monoamine-targeting drug ever tested, across every dose and every psychiatric indication, under the heading "antidepressant". Reviewers would reject it as incoherent before anyone examined the forest plot. Pooling </w:t>
      </w:r>
      <w:r>
        <w:rPr>
          <w:i/>
        </w:rPr>
        <w:t>Lactobacillus</w:t>
      </w:r>
      <w:r>
        <w:t xml:space="preserve"> and </w:t>
      </w:r>
      <w:r>
        <w:rPr>
          <w:i/>
        </w:rPr>
        <w:t>Bifidobacterium</w:t>
      </w:r>
      <w:r>
        <w:t xml:space="preserve"> preparations at doses spanning orders of magnitude, in hosts whose resident communities differ more than their genomes do, is the same error wearing different clothes.</w:t>
      </w:r>
    </w:p>
    <w:p>
      <w:r>
        <w:t>Blinding deserves separate mention. Probiotic and transplantation trials frequently produce gastrointestinal symptoms that are themselves perceptible, and depression endpoints are self-reported. Unblinding by side effect inflates effects on subjective outcomes, which is one reason the drop in pooled effect after excluding high risk-of-bias studies is informative rather than incidental.</w:t>
      </w:r>
    </w:p>
    <w:p>
      <w:r>
        <w:t>None of this establishes that the interventions do nothing. Some of these trials report real benefit, and a mechanism may well exist. Our point is narrower: the literature as it stands cannot distinguish a true modest effect in a responsive subgroup from a bias-driven effect in a heterogeneous mixture, and no further pooling of the same trials will separate them.</w:t>
      </w:r>
    </w:p>
    <w:p>
      <w:r>
        <w:rPr>
          <w:b/>
        </w:rPr>
        <w:t>Table 1.</w:t>
      </w:r>
      <w:r>
        <w:t xml:space="preserve"> Human evidence bearing on compositional claims.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Evidence type</w:t>
            </w:r>
          </w:p>
        </w:tc>
        <w:tc>
          <w:tcPr>
            <w:tcW w:type="dxa" w:w="2160"/>
          </w:tcPr>
          <w:p>
            <w:r/>
            <w:r>
              <w:rPr>
                <w:b/>
              </w:rPr>
              <w:t>Representative result</w:t>
            </w:r>
          </w:p>
        </w:tc>
        <w:tc>
          <w:tcPr>
            <w:tcW w:type="dxa" w:w="2160"/>
          </w:tcPr>
          <w:p>
            <w:r/>
            <w:r>
              <w:rPr>
                <w:b/>
              </w:rPr>
              <w:t>What it establishes</w:t>
            </w:r>
          </w:p>
        </w:tc>
        <w:tc>
          <w:tcPr>
            <w:tcW w:type="dxa" w:w="2160"/>
          </w:tcPr>
          <w:p>
            <w:r/>
            <w:r>
              <w:rPr>
                <w:b/>
              </w:rPr>
              <w:t>Principal limitation</w:t>
            </w:r>
          </w:p>
        </w:tc>
      </w:tr>
      <w:tr>
        <w:tc>
          <w:tcPr>
            <w:tcW w:type="dxa" w:w="2160"/>
          </w:tcPr>
          <w:p>
            <w:r/>
            <w:r>
              <w:t>Germ-free reconstitution</w:t>
            </w:r>
          </w:p>
        </w:tc>
        <w:tc>
          <w:tcPr>
            <w:tcW w:type="dxa" w:w="2160"/>
          </w:tcPr>
          <w:p>
            <w:r/>
            <w:r>
              <w:t xml:space="preserve">Exaggerated HPA response reversed by </w:t>
            </w:r>
            <w:r>
              <w:rPr>
                <w:i/>
              </w:rPr>
              <w:t>B. infantis</w:t>
            </w:r>
            <w:r>
              <w:t>; reduced cortical and hippocampal BDNF [1]</w:t>
            </w:r>
          </w:p>
        </w:tc>
        <w:tc>
          <w:tcPr>
            <w:tcW w:type="dxa" w:w="2160"/>
          </w:tcPr>
          <w:p>
            <w:r/>
            <w:r>
              <w:t>Microbial presence causally affects neuroendocrine phenotype in mice</w:t>
            </w:r>
          </w:p>
        </w:tc>
        <w:tc>
          <w:tcPr>
            <w:tcW w:type="dxa" w:w="2160"/>
          </w:tcPr>
          <w:p>
            <w:r/>
            <w:r>
              <w:t>Does not identify the route; germ-free animals differ systemically</w:t>
            </w:r>
          </w:p>
        </w:tc>
      </w:tr>
      <w:tr>
        <w:tc>
          <w:tcPr>
            <w:tcW w:type="dxa" w:w="2160"/>
          </w:tcPr>
          <w:p>
            <w:r/>
            <w:r>
              <w:t>Population cohort</w:t>
            </w:r>
          </w:p>
        </w:tc>
        <w:tc>
          <w:tcPr>
            <w:tcW w:type="dxa" w:w="2160"/>
          </w:tcPr>
          <w:p>
            <w:r/>
            <w:r>
              <w:rPr>
                <w:i/>
              </w:rPr>
              <w:t>Coprococcus</w:t>
            </w:r>
            <w:r>
              <w:t xml:space="preserve"> and </w:t>
            </w:r>
            <w:r>
              <w:rPr>
                <w:i/>
              </w:rPr>
              <w:t>Dialister</w:t>
            </w:r>
            <w:r>
              <w:t xml:space="preserve"> depleted in depression, with independent validation [2]</w:t>
            </w:r>
          </w:p>
        </w:tc>
        <w:tc>
          <w:tcPr>
            <w:tcW w:type="dxa" w:w="2160"/>
          </w:tcPr>
          <w:p>
            <w:r/>
            <w:r>
              <w:t>Reproducible association</w:t>
            </w:r>
          </w:p>
        </w:tc>
        <w:tc>
          <w:tcPr>
            <w:tcW w:type="dxa" w:w="2160"/>
          </w:tcPr>
          <w:p>
            <w:r/>
            <w:r>
              <w:t>Confounding by diet, medication, disease; direction unresolved</w:t>
            </w:r>
          </w:p>
        </w:tc>
      </w:tr>
      <w:tr>
        <w:tc>
          <w:tcPr>
            <w:tcW w:type="dxa" w:w="2160"/>
          </w:tcPr>
          <w:p>
            <w:r/>
            <w:r>
              <w:t>Mendelian randomisation</w:t>
            </w:r>
          </w:p>
        </w:tc>
        <w:tc>
          <w:tcPr>
            <w:tcW w:type="dxa" w:w="2160"/>
          </w:tcPr>
          <w:p>
            <w:r/>
            <w:r>
              <w:t>Contradictory taxon lists across studies using shared instruments</w:t>
            </w:r>
          </w:p>
        </w:tc>
        <w:tc>
          <w:tcPr>
            <w:tcW w:type="dxa" w:w="2160"/>
          </w:tcPr>
          <w:p>
            <w:r/>
            <w:r>
              <w:t>Little, as currently conducted</w:t>
            </w:r>
          </w:p>
        </w:tc>
        <w:tc>
          <w:tcPr>
            <w:tcW w:type="dxa" w:w="2160"/>
          </w:tcPr>
          <w:p>
            <w:r/>
            <w:r>
              <w:t>Weak instruments from a 16S GWAS of 18,340 [8]; relaxed thresholds; multiplicity</w:t>
            </w:r>
          </w:p>
        </w:tc>
      </w:tr>
      <w:tr>
        <w:tc>
          <w:tcPr>
            <w:tcW w:type="dxa" w:w="2160"/>
          </w:tcPr>
          <w:p>
            <w:r/>
            <w:r>
              <w:t>Probiotic RCT meta-analysis</w:t>
            </w:r>
          </w:p>
        </w:tc>
        <w:tc>
          <w:tcPr>
            <w:tcW w:type="dxa" w:w="2160"/>
          </w:tcPr>
          <w:p>
            <w:r/>
            <w:r>
              <w:t>SMD −0.96 (I² = 85%), falling ~⅓ after excluding high-risk studies; also −0.53</w:t>
            </w:r>
          </w:p>
        </w:tc>
        <w:tc>
          <w:tcPr>
            <w:tcW w:type="dxa" w:w="2160"/>
          </w:tcPr>
          <w:p>
            <w:r/>
            <w:r>
              <w:t>Some symptomatic benefit, poorly characterised</w:t>
            </w:r>
          </w:p>
        </w:tc>
        <w:tc>
          <w:tcPr>
            <w:tcW w:type="dxa" w:w="2160"/>
          </w:tcPr>
          <w:p>
            <w:r/>
            <w:r>
              <w:t>Extreme heterogeneity; "probiotic" is not one exposure</w:t>
            </w:r>
          </w:p>
        </w:tc>
      </w:tr>
      <w:tr>
        <w:tc>
          <w:tcPr>
            <w:tcW w:type="dxa" w:w="2160"/>
          </w:tcPr>
          <w:p>
            <w:r/>
            <w:r>
              <w:t>FMT meta-analysis</w:t>
            </w:r>
          </w:p>
        </w:tc>
        <w:tc>
          <w:tcPr>
            <w:tcW w:type="dxa" w:w="2160"/>
          </w:tcPr>
          <w:p>
            <w:r/>
            <w:r>
              <w:t>SMD ≈ −1.21; Hedges' g −0.81; and −0.10 (95% CI −0.60 to 0.41)</w:t>
            </w:r>
          </w:p>
        </w:tc>
        <w:tc>
          <w:tcPr>
            <w:tcW w:type="dxa" w:w="2160"/>
          </w:tcPr>
          <w:p>
            <w:r/>
            <w:r>
              <w:t>Contested</w:t>
            </w:r>
          </w:p>
        </w:tc>
        <w:tc>
          <w:tcPr>
            <w:tcW w:type="dxa" w:w="2160"/>
          </w:tcPr>
          <w:p>
            <w:r/>
            <w:r>
              <w:t>Syntheses of the same intervention disagree in direction of conclusion</w:t>
            </w:r>
          </w:p>
        </w:tc>
      </w:tr>
    </w:tbl>
    <w:p/>
    <w:p>
      <w:pPr>
        <w:pStyle w:val="Heading2"/>
      </w:pPr>
      <w:r>
        <w:t>4. The circuit account</w:t>
      </w:r>
    </w:p>
    <w:p>
      <w:pPr>
        <w:pStyle w:val="Heading3"/>
      </w:pPr>
      <w:r>
        <w:t>4.1 Neuropod cells and synaptic transduction</w:t>
      </w:r>
    </w:p>
    <w:p>
      <w:r>
        <w:t>Enteroendocrine cells were long modelled as endocrine sensors releasing peptides into circulation, acting over minutes. Kaelberer and colleagues showed that a subset forms true synapses with vagal nodose neurons [3]. Optogenetic activation elicited excitatory postsynaptic potentials in connected nodose neurons within milliseconds, glutamate carried the fast transmission, and monosynaptic rabies tracing established the connection anatomically. These cells, now called neuropod cells, place the intestinal lumen one synapse from the brainstem.</w:t>
      </w:r>
    </w:p>
    <w:p>
      <w:r>
        <w:t>Timescale is the conceptual break. No humoral signal delivers stimulus-specific information in milliseconds; and between a hormone diffusing to a receptor field and a synapse addressing a named postsynaptic partner lies the distinction between broadcast and addressed transmission.</w:t>
      </w:r>
    </w:p>
    <w:p>
      <w:r>
        <w:t>That distinction does real work. Broadcast signalling carries magnitude: more ligand, more effect, with specificity supplied by which tissues express the receptor. Addressed signalling carries identity as well, because the postsynaptic partner is determined by anatomy rather than by receptor distribution, so two stimuli can produce different central consequences even when they release the same transmitter from neighbouring cells. Any field committed to measuring circulating metabolite concentrations implicitly assumes the first model. Where the second operates, the informative variable is not how much of a molecule is present but which line it activated.</w:t>
      </w:r>
    </w:p>
    <w:p>
      <w:pPr>
        <w:pStyle w:val="Heading3"/>
      </w:pPr>
      <w:r>
        <w:t>4.2 Enterochromaffin chemosensation</w:t>
      </w:r>
    </w:p>
    <w:p>
      <w:r>
        <w:t>Enterochromaffin cells make up under one per cent of intestinal epithelium and produce the large majority of the body's serotonin. Bellono and colleagues established that they are electrically excitable, express voltage-gated channels, detect irritants, metabolites and catecholamines through defined receptors, and release serotonin through P/Q-type calcium channels onto 5-HT3-expressing afferent fibres in synaptic-like contacts [4].</w:t>
      </w:r>
    </w:p>
    <w:p>
      <w:r>
        <w:t>That result matters for the compositional account specifically. Microbial metabolites were previously assumed to act after absorption, at distant targets. Here they act at the epithelial surface, on a sensory cell, and the information travels neurally.</w:t>
      </w:r>
    </w:p>
    <w:p>
      <w:pPr>
        <w:pStyle w:val="Heading3"/>
      </w:pPr>
      <w:r>
        <w:t>4.3 The vagal sensory map</w:t>
      </w:r>
    </w:p>
    <w:p>
      <w:r>
        <w:t>Bai and colleagues applied target-specific single-cell RNA sequencing to the vagal neurons innervating the gastrointestinal tract and resolved functionally distinct populations by marker gene [5]. GLP1R-expressing neurons were identified as intraganglionic laminar ending mechanoreceptors innervating the stomach; Piezo2-expressing neurons detect gastric distension and regulate satiety.</w:t>
      </w:r>
    </w:p>
    <w:p>
      <w:r>
        <w:t>So the vagus is not a trunk line carrying undifferentiated visceral tone. Think of it instead as a set of labelled lines, each with its own peripheral terminals, stimuli and central targets; individual lines can be manipulated genetically.</w:t>
      </w:r>
    </w:p>
    <w:p>
      <w:pPr>
        <w:pStyle w:val="Heading3"/>
      </w:pPr>
      <w:r>
        <w:t>4.4 The neurobiotic sense</w:t>
      </w:r>
    </w:p>
    <w:p>
      <w:r>
        <w:t>Liu and colleagues reported in 2025 that flagellin, the structural protein of the bacterial flagellum, stimulates Toll-like receptor 5 on peptide YY-labelled colonic neuropod cells, which release PYY onto NPY2R-expressing vagal nodose neurons and so regulate feeding [6]. Liu and colleagues call this a neurobiotic sense: the host monitoring a microbial molecular pattern and adjusting behaviour accordingly.</w:t>
      </w:r>
    </w:p>
    <w:p>
      <w:r>
        <w:t>Consider how much more constrained this claim is than a compositional one. Named here are the ligand, the receptor, the cell, the transmitter, the postsynaptic receptor, the afferent population and the behavioural output. Every element can be deleted or stimulated independently. Claims of that shape can be wrong in specific ways, which is what makes them worth testing.</w:t>
      </w:r>
    </w:p>
    <w:p>
      <w:r>
        <w:rPr>
          <w:b/>
        </w:rPr>
        <w:t>Table 2.</w:t>
      </w:r>
      <w:r>
        <w:t xml:space="preserve"> Identified gut sensory channels.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Sensory cell</w:t>
            </w:r>
          </w:p>
        </w:tc>
        <w:tc>
          <w:tcPr>
            <w:tcW w:type="dxa" w:w="1440"/>
          </w:tcPr>
          <w:p>
            <w:r/>
            <w:r>
              <w:rPr>
                <w:b/>
              </w:rPr>
              <w:t>Stimulus</w:t>
            </w:r>
          </w:p>
        </w:tc>
        <w:tc>
          <w:tcPr>
            <w:tcW w:type="dxa" w:w="1440"/>
          </w:tcPr>
          <w:p>
            <w:r/>
            <w:r>
              <w:rPr>
                <w:b/>
              </w:rPr>
              <w:t>Transmitter</w:t>
            </w:r>
          </w:p>
        </w:tc>
        <w:tc>
          <w:tcPr>
            <w:tcW w:type="dxa" w:w="1440"/>
          </w:tcPr>
          <w:p>
            <w:r/>
            <w:r>
              <w:rPr>
                <w:b/>
              </w:rPr>
              <w:t>Afferent target</w:t>
            </w:r>
          </w:p>
        </w:tc>
        <w:tc>
          <w:tcPr>
            <w:tcW w:type="dxa" w:w="1440"/>
          </w:tcPr>
          <w:p>
            <w:r/>
            <w:r>
              <w:rPr>
                <w:b/>
              </w:rPr>
              <w:t>Timescale</w:t>
            </w:r>
          </w:p>
        </w:tc>
        <w:tc>
          <w:tcPr>
            <w:tcW w:type="dxa" w:w="1440"/>
          </w:tcPr>
          <w:p>
            <w:r/>
            <w:r>
              <w:rPr>
                <w:b/>
              </w:rPr>
              <w:t>Causal methods applied</w:t>
            </w:r>
          </w:p>
        </w:tc>
      </w:tr>
      <w:tr>
        <w:tc>
          <w:tcPr>
            <w:tcW w:type="dxa" w:w="1440"/>
          </w:tcPr>
          <w:p>
            <w:r/>
            <w:r>
              <w:t>Neuropod cell, small intestine</w:t>
            </w:r>
          </w:p>
        </w:tc>
        <w:tc>
          <w:tcPr>
            <w:tcW w:type="dxa" w:w="1440"/>
          </w:tcPr>
          <w:p>
            <w:r/>
            <w:r>
              <w:t>Luminal sugars and nutrients</w:t>
            </w:r>
          </w:p>
        </w:tc>
        <w:tc>
          <w:tcPr>
            <w:tcW w:type="dxa" w:w="1440"/>
          </w:tcPr>
          <w:p>
            <w:r/>
            <w:r>
              <w:t>Glutamate</w:t>
            </w:r>
          </w:p>
        </w:tc>
        <w:tc>
          <w:tcPr>
            <w:tcW w:type="dxa" w:w="1440"/>
          </w:tcPr>
          <w:p>
            <w:r/>
            <w:r>
              <w:t>Vagal nodose neurons</w:t>
            </w:r>
          </w:p>
        </w:tc>
        <w:tc>
          <w:tcPr>
            <w:tcW w:type="dxa" w:w="1440"/>
          </w:tcPr>
          <w:p>
            <w:r/>
            <w:r>
              <w:t>Milliseconds [3]</w:t>
            </w:r>
          </w:p>
        </w:tc>
        <w:tc>
          <w:tcPr>
            <w:tcW w:type="dxa" w:w="1440"/>
          </w:tcPr>
          <w:p>
            <w:r/>
            <w:r>
              <w:t>Optogenetics; monosynaptic rabies tracing</w:t>
            </w:r>
          </w:p>
        </w:tc>
      </w:tr>
      <w:tr>
        <w:tc>
          <w:tcPr>
            <w:tcW w:type="dxa" w:w="1440"/>
          </w:tcPr>
          <w:p>
            <w:r/>
            <w:r>
              <w:t>Enterochromaffin cell</w:t>
            </w:r>
          </w:p>
        </w:tc>
        <w:tc>
          <w:tcPr>
            <w:tcW w:type="dxa" w:w="1440"/>
          </w:tcPr>
          <w:p>
            <w:r/>
            <w:r>
              <w:t>Irritants, metabolites, catecholamines</w:t>
            </w:r>
          </w:p>
        </w:tc>
        <w:tc>
          <w:tcPr>
            <w:tcW w:type="dxa" w:w="1440"/>
          </w:tcPr>
          <w:p>
            <w:r/>
            <w:r>
              <w:t>Serotonin, via P/Q-type Ca²⁺ channels</w:t>
            </w:r>
          </w:p>
        </w:tc>
        <w:tc>
          <w:tcPr>
            <w:tcW w:type="dxa" w:w="1440"/>
          </w:tcPr>
          <w:p>
            <w:r/>
            <w:r>
              <w:t>5-HT3-expressing afferent fibres</w:t>
            </w:r>
          </w:p>
        </w:tc>
        <w:tc>
          <w:tcPr>
            <w:tcW w:type="dxa" w:w="1440"/>
          </w:tcPr>
          <w:p>
            <w:r/>
            <w:r>
              <w:t>Fast, synaptic-like contact [4]</w:t>
            </w:r>
          </w:p>
        </w:tc>
        <w:tc>
          <w:tcPr>
            <w:tcW w:type="dxa" w:w="1440"/>
          </w:tcPr>
          <w:p>
            <w:r/>
            <w:r>
              <w:t>Electrophysiology; receptor pharmacology</w:t>
            </w:r>
          </w:p>
        </w:tc>
      </w:tr>
      <w:tr>
        <w:tc>
          <w:tcPr>
            <w:tcW w:type="dxa" w:w="1440"/>
          </w:tcPr>
          <w:p>
            <w:r/>
            <w:r>
              <w:t>Vagal GLP1R⁺ IGLE</w:t>
            </w:r>
          </w:p>
        </w:tc>
        <w:tc>
          <w:tcPr>
            <w:tcW w:type="dxa" w:w="1440"/>
          </w:tcPr>
          <w:p>
            <w:r/>
            <w:r>
              <w:t>Gastric stretch</w:t>
            </w:r>
          </w:p>
        </w:tc>
        <w:tc>
          <w:tcPr>
            <w:tcW w:type="dxa" w:w="1440"/>
          </w:tcPr>
          <w:p>
            <w:r/>
            <w:r>
              <w:t>— (mechanotransduction)</w:t>
            </w:r>
          </w:p>
        </w:tc>
        <w:tc>
          <w:tcPr>
            <w:tcW w:type="dxa" w:w="1440"/>
          </w:tcPr>
          <w:p>
            <w:r/>
            <w:r>
              <w:t>Caudal medulla</w:t>
            </w:r>
          </w:p>
        </w:tc>
        <w:tc>
          <w:tcPr>
            <w:tcW w:type="dxa" w:w="1440"/>
          </w:tcPr>
          <w:p>
            <w:r/>
            <w:r>
              <w:t>Fast [5]</w:t>
            </w:r>
          </w:p>
        </w:tc>
        <w:tc>
          <w:tcPr>
            <w:tcW w:type="dxa" w:w="1440"/>
          </w:tcPr>
          <w:p>
            <w:r/>
            <w:r>
              <w:t>Target-specific single-cell sequencing; genetic access</w:t>
            </w:r>
          </w:p>
        </w:tc>
      </w:tr>
      <w:tr>
        <w:tc>
          <w:tcPr>
            <w:tcW w:type="dxa" w:w="1440"/>
          </w:tcPr>
          <w:p>
            <w:r/>
            <w:r>
              <w:t>Vagal Piezo2⁺ neuron</w:t>
            </w:r>
          </w:p>
        </w:tc>
        <w:tc>
          <w:tcPr>
            <w:tcW w:type="dxa" w:w="1440"/>
          </w:tcPr>
          <w:p>
            <w:r/>
            <w:r>
              <w:t>Gastric distension</w:t>
            </w:r>
          </w:p>
        </w:tc>
        <w:tc>
          <w:tcPr>
            <w:tcW w:type="dxa" w:w="1440"/>
          </w:tcPr>
          <w:p>
            <w:r/>
            <w:r>
              <w:t>— (mechanotransduction)</w:t>
            </w:r>
          </w:p>
        </w:tc>
        <w:tc>
          <w:tcPr>
            <w:tcW w:type="dxa" w:w="1440"/>
          </w:tcPr>
          <w:p>
            <w:r/>
            <w:r>
              <w:t>Caudal medulla</w:t>
            </w:r>
          </w:p>
        </w:tc>
        <w:tc>
          <w:tcPr>
            <w:tcW w:type="dxa" w:w="1440"/>
          </w:tcPr>
          <w:p>
            <w:r/>
            <w:r>
              <w:t>Fast [5]</w:t>
            </w:r>
          </w:p>
        </w:tc>
        <w:tc>
          <w:tcPr>
            <w:tcW w:type="dxa" w:w="1440"/>
          </w:tcPr>
          <w:p>
            <w:r/>
            <w:r>
              <w:t>Genetic identification; satiety readout</w:t>
            </w:r>
          </w:p>
        </w:tc>
      </w:tr>
      <w:tr>
        <w:tc>
          <w:tcPr>
            <w:tcW w:type="dxa" w:w="1440"/>
          </w:tcPr>
          <w:p>
            <w:r/>
            <w:r>
              <w:t>Colonic PYY⁺ neuropod cell</w:t>
            </w:r>
          </w:p>
        </w:tc>
        <w:tc>
          <w:tcPr>
            <w:tcW w:type="dxa" w:w="1440"/>
          </w:tcPr>
          <w:p>
            <w:r/>
            <w:r>
              <w:t>Bacterial flagellin, via TLR5</w:t>
            </w:r>
          </w:p>
        </w:tc>
        <w:tc>
          <w:tcPr>
            <w:tcW w:type="dxa" w:w="1440"/>
          </w:tcPr>
          <w:p>
            <w:r/>
            <w:r>
              <w:t>Peptide YY</w:t>
            </w:r>
          </w:p>
        </w:tc>
        <w:tc>
          <w:tcPr>
            <w:tcW w:type="dxa" w:w="1440"/>
          </w:tcPr>
          <w:p>
            <w:r/>
            <w:r>
              <w:t>NPY2R⁺ vagal nodose neurons</w:t>
            </w:r>
          </w:p>
        </w:tc>
        <w:tc>
          <w:tcPr>
            <w:tcW w:type="dxa" w:w="1440"/>
          </w:tcPr>
          <w:p>
            <w:r/>
            <w:r>
              <w:t>Fast [6]</w:t>
            </w:r>
          </w:p>
        </w:tc>
        <w:tc>
          <w:tcPr>
            <w:tcW w:type="dxa" w:w="1440"/>
          </w:tcPr>
          <w:p>
            <w:r/>
            <w:r>
              <w:t>Receptor deletion; circuit manipulation; feeding readout</w:t>
            </w:r>
          </w:p>
        </w:tc>
      </w:tr>
    </w:tbl>
    <w:p/>
    <w:p>
      <w:pPr>
        <w:pStyle w:val="Heading2"/>
      </w:pPr>
      <w:r>
        <w:t>5. Why the two literatures differ in strength</w:t>
      </w:r>
    </w:p>
    <w:p>
      <w:r>
        <w:t>This asymmetry is not about effort or funding, nor is one field more rigorous by temperament. It follows from what each account specifies.</w:t>
      </w:r>
    </w:p>
    <w:p>
      <w:r>
        <w:t>Circuit claims name their parts. Naming parts generates interventions — delete the receptor, silence the cell, cut the afferent — and the prediction either holds or fails. Compositional claims name a community state and an outcome, leaving the connecting path unspecified, so the available test is to perturb the community and observe the outcome. That test is weak because the perturbation is poorly characterised, the mediating path is unknown, and the outcome is a syndrome rather than a physiological variable.</w:t>
      </w:r>
    </w:p>
    <w:p>
      <w:r>
        <w:t>Measurement resolution compounds it. 16S profiling resolves genus; the functional unit may be a strain, a gene cluster, or a single molecule such as flagellin. Taxa are an imperfect proxy for the thing that signals, so even an accurately measured community may be the wrong variable.</w:t>
      </w:r>
    </w:p>
    <w:p>
      <w:pPr>
        <w:pStyle w:val="Heading3"/>
      </w:pPr>
      <w:r>
        <w:t>5.1 A precedent from sensory neuroscience</w:t>
      </w:r>
    </w:p>
    <w:p>
      <w:r>
        <w:t>Olfaction went through this transition, and the shape of it is instructive.</w:t>
      </w:r>
    </w:p>
    <w:p>
      <w:r>
        <w:t>For most of the twentieth century, smell was studied as a chemical sense. Investigators catalogued perceived odour classes, proposed stereochemical theories of how molecular shape produced sensation, and measured detection thresholds. Careful work, and no consolidation, because the connecting path between a molecule in the air and a percept in the brain was unspecified.</w:t>
      </w:r>
    </w:p>
    <w:p>
      <w:r>
        <w:t>Buck and Axel broke it open by finding the receptors, identifying a large multigene family of olfactory receptor genes and establishing the molecular basis of odour recognition [13]. What followed was not a refinement of odour-class taxonomy but a different discipline: receptor deorphanisation, glomerular mapping, labelled-line tracing from epithelium to cortex. The Nobel committee recognised it in 2004.</w:t>
      </w:r>
    </w:p>
    <w:p>
      <w:r>
        <w:t>Our contention is that microbiota–gut–brain research currently sits where olfaction sat before 1991. There is a real phenomenon, a large descriptive literature organised around the stimulus side, and no molecular account of transduction. Flagellin binding TLR5 on a PYY-labelled colonic cell [6] is the first entry in the gut's version of that receptor catalogue.</w:t>
      </w:r>
    </w:p>
    <w:p>
      <w:r>
        <w:t>That analogy carries a warning as well. Receptor identification did not make the perceptual literature worthless, nor did it immediately explain why particular odours are pleasant. What changed was the standard of explanation, and a class of question that had been argued about became answerable.</w:t>
      </w:r>
    </w:p>
    <w:p>
      <w:r>
        <w:rPr>
          <w:b/>
        </w:rPr>
        <w:t>Figure 1.</w:t>
      </w:r>
      <w:r>
        <w:t xml:space="preserve"> The two architectures drawn to the same scale. Panel A, broadcast signalling: microbial metabolites and immune mediators enter portal and systemic circulation and reach distributed central receptor fields over hours to days, with specificity determined by receptor expression. Panel B, addressed signalling: a luminal ligand binds a receptor on a named epithelial sensory cell, which releases a transmitter onto an identified vagal afferent terminating in the caudal medulla, over milliseconds, with specificity determined by anatomy [3,6]. Panel C maps the measurement each architecture invites — sequencing and metabolite panels against electrophysiology, tracing and genetically targeted silencing. Figure to be drawn in vector format at submission.</w:t>
      </w:r>
    </w:p>
    <w:p>
      <w:r>
        <w:rPr>
          <w:b/>
        </w:rPr>
        <w:t>Table 3.</w:t>
      </w:r>
      <w:r>
        <w:t xml:space="preserve"> The two accounts compared.</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Compositional account</w:t>
            </w:r>
          </w:p>
        </w:tc>
        <w:tc>
          <w:tcPr>
            <w:tcW w:type="dxa" w:w="2880"/>
          </w:tcPr>
          <w:p>
            <w:r/>
            <w:r>
              <w:rPr>
                <w:b/>
              </w:rPr>
              <w:t>Circuit account</w:t>
            </w:r>
          </w:p>
        </w:tc>
      </w:tr>
      <w:tr>
        <w:tc>
          <w:tcPr>
            <w:tcW w:type="dxa" w:w="2880"/>
          </w:tcPr>
          <w:p>
            <w:r/>
            <w:r>
              <w:t>Unit of analysis</w:t>
            </w:r>
          </w:p>
        </w:tc>
        <w:tc>
          <w:tcPr>
            <w:tcW w:type="dxa" w:w="2880"/>
          </w:tcPr>
          <w:p>
            <w:r/>
            <w:r>
              <w:t>Community composition, taxon abundance</w:t>
            </w:r>
          </w:p>
        </w:tc>
        <w:tc>
          <w:tcPr>
            <w:tcW w:type="dxa" w:w="2880"/>
          </w:tcPr>
          <w:p>
            <w:r/>
            <w:r>
              <w:t>Cell type, receptor, transmitter, afferent</w:t>
            </w:r>
          </w:p>
        </w:tc>
      </w:tr>
      <w:tr>
        <w:tc>
          <w:tcPr>
            <w:tcW w:type="dxa" w:w="2880"/>
          </w:tcPr>
          <w:p>
            <w:r/>
            <w:r>
              <w:t>Typical measurement</w:t>
            </w:r>
          </w:p>
        </w:tc>
        <w:tc>
          <w:tcPr>
            <w:tcW w:type="dxa" w:w="2880"/>
          </w:tcPr>
          <w:p>
            <w:r/>
            <w:r>
              <w:t>16S or shotgun sequencing; metabolite panels</w:t>
            </w:r>
          </w:p>
        </w:tc>
        <w:tc>
          <w:tcPr>
            <w:tcW w:type="dxa" w:w="2880"/>
          </w:tcPr>
          <w:p>
            <w:r/>
            <w:r>
              <w:t>Electrophysiology, optogenetics, genetic access, tracing</w:t>
            </w:r>
          </w:p>
        </w:tc>
      </w:tr>
      <w:tr>
        <w:tc>
          <w:tcPr>
            <w:tcW w:type="dxa" w:w="2880"/>
          </w:tcPr>
          <w:p>
            <w:r/>
            <w:r>
              <w:t>Causal test available</w:t>
            </w:r>
          </w:p>
        </w:tc>
        <w:tc>
          <w:tcPr>
            <w:tcW w:type="dxa" w:w="2880"/>
          </w:tcPr>
          <w:p>
            <w:r/>
            <w:r>
              <w:t>Perturb community, observe syndrome</w:t>
            </w:r>
          </w:p>
        </w:tc>
        <w:tc>
          <w:tcPr>
            <w:tcW w:type="dxa" w:w="2880"/>
          </w:tcPr>
          <w:p>
            <w:r/>
            <w:r>
              <w:t>Delete or stimulate a named component</w:t>
            </w:r>
          </w:p>
        </w:tc>
      </w:tr>
      <w:tr>
        <w:tc>
          <w:tcPr>
            <w:tcW w:type="dxa" w:w="2880"/>
          </w:tcPr>
          <w:p>
            <w:r/>
            <w:r>
              <w:t>Spatial resolution</w:t>
            </w:r>
          </w:p>
        </w:tc>
        <w:tc>
          <w:tcPr>
            <w:tcW w:type="dxa" w:w="2880"/>
          </w:tcPr>
          <w:p>
            <w:r/>
            <w:r>
              <w:t>Luminal compartment</w:t>
            </w:r>
          </w:p>
        </w:tc>
        <w:tc>
          <w:tcPr>
            <w:tcW w:type="dxa" w:w="2880"/>
          </w:tcPr>
          <w:p>
            <w:r/>
            <w:r>
              <w:t>Single cell and synapse</w:t>
            </w:r>
          </w:p>
        </w:tc>
      </w:tr>
      <w:tr>
        <w:tc>
          <w:tcPr>
            <w:tcW w:type="dxa" w:w="2880"/>
          </w:tcPr>
          <w:p>
            <w:r/>
            <w:r>
              <w:t>Temporal resolution</w:t>
            </w:r>
          </w:p>
        </w:tc>
        <w:tc>
          <w:tcPr>
            <w:tcW w:type="dxa" w:w="2880"/>
          </w:tcPr>
          <w:p>
            <w:r/>
            <w:r>
              <w:t>Days to weeks</w:t>
            </w:r>
          </w:p>
        </w:tc>
        <w:tc>
          <w:tcPr>
            <w:tcW w:type="dxa" w:w="2880"/>
          </w:tcPr>
          <w:p>
            <w:r/>
            <w:r>
              <w:t>Milliseconds [3]</w:t>
            </w:r>
          </w:p>
        </w:tc>
      </w:tr>
      <w:tr>
        <w:tc>
          <w:tcPr>
            <w:tcW w:type="dxa" w:w="2880"/>
          </w:tcPr>
          <w:p>
            <w:r/>
            <w:r>
              <w:t>Replication record</w:t>
            </w:r>
          </w:p>
        </w:tc>
        <w:tc>
          <w:tcPr>
            <w:tcW w:type="dxa" w:w="2880"/>
          </w:tcPr>
          <w:p>
            <w:r/>
            <w:r>
              <w:t>Contradictory MR; meta-analyses disagreeing in direction</w:t>
            </w:r>
          </w:p>
        </w:tc>
        <w:tc>
          <w:tcPr>
            <w:tcW w:type="dxa" w:w="2880"/>
          </w:tcPr>
          <w:p>
            <w:r/>
            <w:r>
              <w:t>Core circuit findings reproduced and extended [3,4,5,6]</w:t>
            </w:r>
          </w:p>
        </w:tc>
      </w:tr>
      <w:tr>
        <w:tc>
          <w:tcPr>
            <w:tcW w:type="dxa" w:w="2880"/>
          </w:tcPr>
          <w:p>
            <w:r/>
            <w:r>
              <w:t>Falsifiability</w:t>
            </w:r>
          </w:p>
        </w:tc>
        <w:tc>
          <w:tcPr>
            <w:tcW w:type="dxa" w:w="2880"/>
          </w:tcPr>
          <w:p>
            <w:r/>
            <w:r>
              <w:t>Low, path unspecified</w:t>
            </w:r>
          </w:p>
        </w:tc>
        <w:tc>
          <w:tcPr>
            <w:tcW w:type="dxa" w:w="2880"/>
          </w:tcPr>
          <w:p>
            <w:r/>
            <w:r>
              <w:t>High, each element independently testable</w:t>
            </w:r>
          </w:p>
        </w:tc>
      </w:tr>
    </w:tbl>
    <w:p/>
    <w:p>
      <w:pPr>
        <w:pStyle w:val="Heading2"/>
      </w:pPr>
      <w:r>
        <w:t>6. What the reframing changes</w:t>
      </w:r>
    </w:p>
    <w:p>
      <w:pPr>
        <w:pStyle w:val="Heading3"/>
      </w:pPr>
      <w:r>
        <w:t>6.1 Experimental design</w:t>
      </w:r>
    </w:p>
    <w:p>
      <w:r>
        <w:t>Treating microbial signalling as sensory input changes the controls an experiment needs. If flagellin acts through TLR5 on colonic neuropod cells [6], then an experiment colonising mice with a flagellated organism must include a flagellin-deficient mutant and a TLR5-deficient host, because otherwise the result is attributed to a taxon when it belongs to a molecule and a receptor.</w:t>
      </w:r>
    </w:p>
    <w:p>
      <w:r>
        <w:t>Vagotomy controls become informative rather than decorative, and the available denervation is now selective. Where whole-trunk vagotomy removes all afferent and efferent traffic, genetic access to marked vagal populations [5] permits silencing one line while leaving the rest intact.</w:t>
      </w:r>
    </w:p>
    <w:p>
      <w:pPr>
        <w:pStyle w:val="Heading3"/>
      </w:pPr>
      <w:r>
        <w:t>6.2 Endpoints and biomarkers</w:t>
      </w:r>
    </w:p>
    <w:p>
      <w:r>
        <w:t>Composition is a poor biomarker for a signalling event, because it reports standing community structure rather than whether a channel fired. Where the ligand is known, the ligand can be measured. Luminal and mucosal flagellin concentration is a more direct correlate of TLR5-mediated signalling than the relative abundance of flagellated taxa, and the two can dissociate.</w:t>
      </w:r>
    </w:p>
    <w:p>
      <w:r>
        <w:t>This has clinical consequences. Stratifying trial participants by taxon abundance will misclassify anyone whose community carries the taxon without presenting the ligand at the epithelial surface.</w:t>
      </w:r>
    </w:p>
    <w:p>
      <w:pPr>
        <w:pStyle w:val="Heading3"/>
      </w:pPr>
      <w:r>
        <w:t>6.3 Therapeutic targets</w:t>
      </w:r>
    </w:p>
    <w:p>
      <w:r>
        <w:t>Psychobiotic development has proceeded largely by screening organisms against behavioural endpoints, which is a reasonable strategy when no mechanism is known and an inefficient one afterwards. Channel-level accounts offer defined targets: the receptor, the transmitter release step, the postsynaptic receptor, the afferent population.</w:t>
      </w:r>
    </w:p>
    <w:p>
      <w:r>
        <w:t>Whether those targets prove tractable is open. We would note that the pharmacology already exists in adjacent form, since NPY2R and 5-HT3 are both established drug targets, and that gut-restricted compounds avoid much of the central exposure that complicates neuropsychiatric drug development.</w:t>
      </w:r>
    </w:p>
    <w:p>
      <w:r>
        <w:t>A second therapeutic consequence concerns live organisms. If a defined microbial molecule activates a defined receptor, then engineering an organism to present or withhold that molecule becomes a rational design problem rather than a screening exercise, and the relevant property of a candidate strain is what ligands it displays rather than where it sits on a phylogenetic tree. Two strains of the same species can differ in flagellin expression; one would be expected to engage the channel and the other not.</w:t>
      </w:r>
    </w:p>
    <w:p>
      <w:r>
        <w:t>This logic cuts against some current practice. Selecting probiotic candidates by genus (still common) means selecting on a variable that may not track the signalling property at all.</w:t>
      </w:r>
    </w:p>
    <w:p>
      <w:r>
        <w:rPr>
          <w:b/>
        </w:rPr>
        <w:t>Table 4.</w:t>
      </w:r>
      <w:r>
        <w:t xml:space="preserve"> What the reframing changes in practice.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Research decision</w:t>
            </w:r>
          </w:p>
        </w:tc>
        <w:tc>
          <w:tcPr>
            <w:tcW w:type="dxa" w:w="2880"/>
          </w:tcPr>
          <w:p>
            <w:r/>
            <w:r>
              <w:rPr>
                <w:b/>
              </w:rPr>
              <w:t>Under the compositional account</w:t>
            </w:r>
          </w:p>
        </w:tc>
        <w:tc>
          <w:tcPr>
            <w:tcW w:type="dxa" w:w="2880"/>
          </w:tcPr>
          <w:p>
            <w:r/>
            <w:r>
              <w:rPr>
                <w:b/>
              </w:rPr>
              <w:t>Under a sensory-channel account</w:t>
            </w:r>
          </w:p>
        </w:tc>
      </w:tr>
      <w:tr>
        <w:tc>
          <w:tcPr>
            <w:tcW w:type="dxa" w:w="2880"/>
          </w:tcPr>
          <w:p>
            <w:r/>
            <w:r>
              <w:t>Choosing an exposure</w:t>
            </w:r>
          </w:p>
        </w:tc>
        <w:tc>
          <w:tcPr>
            <w:tcW w:type="dxa" w:w="2880"/>
          </w:tcPr>
          <w:p>
            <w:r/>
            <w:r>
              <w:t>A taxon, a consortium, or a whole community transfer</w:t>
            </w:r>
          </w:p>
        </w:tc>
        <w:tc>
          <w:tcPr>
            <w:tcW w:type="dxa" w:w="2880"/>
          </w:tcPr>
          <w:p>
            <w:r/>
            <w:r>
              <w:t>A defined microbial molecule, with presence and absence controls</w:t>
            </w:r>
          </w:p>
        </w:tc>
      </w:tr>
      <w:tr>
        <w:tc>
          <w:tcPr>
            <w:tcW w:type="dxa" w:w="2880"/>
          </w:tcPr>
          <w:p>
            <w:r/>
            <w:r>
              <w:t>Required controls</w:t>
            </w:r>
          </w:p>
        </w:tc>
        <w:tc>
          <w:tcPr>
            <w:tcW w:type="dxa" w:w="2880"/>
          </w:tcPr>
          <w:p>
            <w:r/>
            <w:r>
              <w:t>Vehicle, sometimes heat-killed organism</w:t>
            </w:r>
          </w:p>
        </w:tc>
        <w:tc>
          <w:tcPr>
            <w:tcW w:type="dxa" w:w="2880"/>
          </w:tcPr>
          <w:p>
            <w:r/>
            <w:r>
              <w:t>Ligand-deficient mutant organism; receptor-deficient host; selective denervation</w:t>
            </w:r>
          </w:p>
        </w:tc>
      </w:tr>
      <w:tr>
        <w:tc>
          <w:tcPr>
            <w:tcW w:type="dxa" w:w="2880"/>
          </w:tcPr>
          <w:p>
            <w:r/>
            <w:r>
              <w:t>Primary measurement</w:t>
            </w:r>
          </w:p>
        </w:tc>
        <w:tc>
          <w:tcPr>
            <w:tcW w:type="dxa" w:w="2880"/>
          </w:tcPr>
          <w:p>
            <w:r/>
            <w:r>
              <w:t>Community composition by sequencing</w:t>
            </w:r>
          </w:p>
        </w:tc>
        <w:tc>
          <w:tcPr>
            <w:tcW w:type="dxa" w:w="2880"/>
          </w:tcPr>
          <w:p>
            <w:r/>
            <w:r>
              <w:t>Ligand concentration at the mucosal surface; channel activation</w:t>
            </w:r>
          </w:p>
        </w:tc>
      </w:tr>
      <w:tr>
        <w:tc>
          <w:tcPr>
            <w:tcW w:type="dxa" w:w="2880"/>
          </w:tcPr>
          <w:p>
            <w:r/>
            <w:r>
              <w:t>Denervation control</w:t>
            </w:r>
          </w:p>
        </w:tc>
        <w:tc>
          <w:tcPr>
            <w:tcW w:type="dxa" w:w="2880"/>
          </w:tcPr>
          <w:p>
            <w:r/>
            <w:r>
              <w:t>Whole-trunk vagotomy, if used at all</w:t>
            </w:r>
          </w:p>
        </w:tc>
        <w:tc>
          <w:tcPr>
            <w:tcW w:type="dxa" w:w="2880"/>
          </w:tcPr>
          <w:p>
            <w:r/>
            <w:r>
              <w:t>Genetically targeted silencing of a marked afferent population [5]</w:t>
            </w:r>
          </w:p>
        </w:tc>
      </w:tr>
      <w:tr>
        <w:tc>
          <w:tcPr>
            <w:tcW w:type="dxa" w:w="2880"/>
          </w:tcPr>
          <w:p>
            <w:r/>
            <w:r>
              <w:t>Patient stratification</w:t>
            </w:r>
          </w:p>
        </w:tc>
        <w:tc>
          <w:tcPr>
            <w:tcW w:type="dxa" w:w="2880"/>
          </w:tcPr>
          <w:p>
            <w:r/>
            <w:r>
              <w:t>Taxon abundance</w:t>
            </w:r>
          </w:p>
        </w:tc>
        <w:tc>
          <w:tcPr>
            <w:tcW w:type="dxa" w:w="2880"/>
          </w:tcPr>
          <w:p>
            <w:r/>
            <w:r>
              <w:t>Ligand presentation and receptor genotype</w:t>
            </w:r>
          </w:p>
        </w:tc>
      </w:tr>
      <w:tr>
        <w:tc>
          <w:tcPr>
            <w:tcW w:type="dxa" w:w="2880"/>
          </w:tcPr>
          <w:p>
            <w:r/>
            <w:r>
              <w:t>Candidate therapeutic</w:t>
            </w:r>
          </w:p>
        </w:tc>
        <w:tc>
          <w:tcPr>
            <w:tcW w:type="dxa" w:w="2880"/>
          </w:tcPr>
          <w:p>
            <w:r/>
            <w:r>
              <w:t>Organism screened against a behavioural endpoint</w:t>
            </w:r>
          </w:p>
        </w:tc>
        <w:tc>
          <w:tcPr>
            <w:tcW w:type="dxa" w:w="2880"/>
          </w:tcPr>
          <w:p>
            <w:r/>
            <w:r>
              <w:t>Receptor, transmitter release step, or afferent population</w:t>
            </w:r>
          </w:p>
        </w:tc>
      </w:tr>
    </w:tbl>
    <w:p/>
    <w:p>
      <w:pPr>
        <w:pStyle w:val="Heading2"/>
      </w:pPr>
      <w:r>
        <w:t>7. Where the accounts meet: α-synuclein and the vagus</w:t>
      </w:r>
    </w:p>
    <w:p>
      <w:r>
        <w:t>Parkinson's disease supplies the clearest case of a microbial-adjacent hypothesis tested at circuit resolution.</w:t>
      </w:r>
    </w:p>
    <w:p>
      <w:r>
        <w:t>Kim and colleagues injected pathological α-synuclein into the mouse stomach and observed transneuronal spread to the brain with dopaminergic loss and behavioural deficits [9]. Truncal vagotomy prevented it, as did α-synuclein deficiency. Their result identifies a route and shows that cutting it abolishes the effect.</w:t>
      </w:r>
    </w:p>
    <w:p>
      <w:r>
        <w:t>Human evidence is weaker and contested. A Danish registry analysis of patients who underwent truncal or superselective vagotomy between 1975 and 1995 found reduced subsequent Parkinson's risk after full truncal vagotomy [10]; a second registry study published soon after found no association. That disagreement is instructive rather than disqualifying, since registry studies of historical surgical cohorts carry confounding by indication and incomplete outcome capture.</w:t>
      </w:r>
    </w:p>
    <w:p>
      <w:r>
        <w:t>What the case demonstrates is the division of labour we are arguing for. Circuit experiments established that a vagal route exists and is necessary in the model. Determining whether it operates in humans is an epidemiological and clinical question, and it is answerable precisely because the mechanistic claim specifies what to look for.</w:t>
      </w:r>
    </w:p>
    <w:p>
      <w:r>
        <w:t xml:space="preserve">Notice also what the α-synuclein work did </w:t>
      </w:r>
      <w:r>
        <w:rPr>
          <w:i/>
        </w:rPr>
        <w:t>not</w:t>
      </w:r>
      <w:r>
        <w:t xml:space="preserve"> require. No microbiome sequencing, no taxon list, no community-level exposure. Their hypothesis concerned a protein and a nerve, and was tested on those terms. Microbial involvement in Parkinson's may well be real, and if it is, the route identified here is where a microbial trigger would have to act. Composition would then matter as an upstream determinant of whether the triggering molecule is present, which is a sharper and more testable role than the one the compositional literature usually assigns it.</w:t>
      </w:r>
    </w:p>
    <w:p>
      <w:r>
        <w:rPr>
          <w:b/>
        </w:rPr>
        <w:t>Figure 2.</w:t>
      </w:r>
      <w:r>
        <w:t xml:space="preserve"> The α-synuclein gut-to-brain route as a worked example of circuit-level testing. Panel A: pathological α-synuclein introduced into the gastric wall, with transneuronal spread traced to the dorsal motor nucleus and beyond, and dopaminergic loss at the endpoint [9]. Panel B: the two interventions that abolish it, truncal vagotomy and α-synuclein deficiency [9]. Panel C: the corresponding human observation and its contested state, with the Danish registry finding reduced Parkinson's risk after full truncal vagotomy [10] against a contemporaneous null result. Figure to be redrawn in vector format at submission.</w:t>
      </w:r>
    </w:p>
    <w:p>
      <w:pPr>
        <w:pStyle w:val="Heading2"/>
      </w:pPr>
      <w:r>
        <w:t>8. Limits of the circuit account</w:t>
      </w:r>
    </w:p>
    <w:p>
      <w:r>
        <w:t>Fairness requires stating what the circuit literature has not established, and the list is substantial.</w:t>
      </w:r>
    </w:p>
    <w:p>
      <w:r>
        <w:t>Nearly all of it is rodent work. Human enteroendocrine and neuropod biology is characterised far less well, vagal innervation density and subtype distribution differ between species, and the colon-to-brainstem anatomy that carries the flagellin signal in mice [6] has no verified human counterpart.</w:t>
      </w:r>
    </w:p>
    <w:p>
      <w:r>
        <w:t>Behavioural readouts are narrow. Feeding, satiety and visceral sensation remain tractable; mood, cognition and social behaviour, which drive most clinical interest in this field, are not yet connected to identified channels. Showing that a channel regulates feeding does not show that channels explain depression, and we are not claiming it does.</w:t>
      </w:r>
    </w:p>
    <w:p>
      <w:r>
        <w:t>Nor does the circuit account subsume the humoral one. Microbial metabolites unquestionably enter circulation and act centrally, immune mediators do real work, and some gut-to-brain influence is genuinely slow and diffuse. Our claim is about where specificity is currently available and therefore where causal progress is most likely, not that one channel class is exclusively real.</w:t>
      </w:r>
    </w:p>
    <w:p>
      <w:r>
        <w:t>Selection bias in the circuit literature also deserves acknowledgement. Channels get discovered where tools exist, which currently means the vagus, and spinal afferent and enteric routes may be underrepresented for methodological rather than biological reasons. Consider that the enteric nervous system contains more neurons than the spinal cord and operates with substantial autonomy, yet it features far less in gut-to-brain circuit work than its size would predict, largely because genetic access to its subtypes has lagged.</w:t>
      </w:r>
    </w:p>
    <w:p>
      <w:r>
        <w:t>One harder objection deserves stating in its strongest form. One might argue that specificity is being purchased with relevance: that neuropod circuits regulate feeding over seconds, while the clinical questions concern mood over months, and that a millisecond synapse is simply the wrong timescale for depression. We take this seriously. Our answer is that sustained states are built from repeated transient signalling, that the same objection would have ruled out studying synapses in order to understand memory, and that nobody has yet looked for slow consequences of repeated channel activation because the channels were only recently identified. The objection is nonetheless unresolved, and it marks the largest gap between what the circuit literature has shown and what the field wants to know.</w:t>
      </w:r>
    </w:p>
    <w:p>
      <w:pPr>
        <w:pStyle w:val="Heading2"/>
      </w:pPr>
      <w:r>
        <w:t>9. A research agenda</w:t>
      </w:r>
    </w:p>
    <w:p>
      <w:r>
        <w:t>Four lines follow, in rough order of tractability.</w:t>
      </w:r>
    </w:p>
    <w:p>
      <w:r>
        <w:t>Microbial molecular patterns beyond flagellin should be screened against epithelial sensory cells directly. Flagellin was a reasonable first candidate because TLR5 is well characterised; peptidoglycan fragments, lipopolysaccharide variants and quorum-sensing molecules are open, and the assay is the one already used [6].</w:t>
      </w:r>
    </w:p>
    <w:p>
      <w:r>
        <w:t xml:space="preserve">Human tissue work is the binding constraint. Organoid and </w:t>
      </w:r>
      <w:r>
        <w:rPr>
          <w:i/>
        </w:rPr>
        <w:t>ex vivo</w:t>
      </w:r>
      <w:r>
        <w:t xml:space="preserve"> preparations from human intestinal biopsy, combined with human nodose tissue where obtainable, would establish whether the cell types and connections identified in mice exist in people, and that question is prior to any clinical inference.</w:t>
      </w:r>
    </w:p>
    <w:p>
      <w:r>
        <w:t>Reanalysis of existing intervention trials by ligand rather than by taxon is cheap where samples were banked. Trials that measured community composition and found nothing may contain a signal at the molecular level, and that is a testable proposition rather than a hopeful one.</w:t>
      </w:r>
    </w:p>
    <w:p>
      <w:r>
        <w:t>Registered, instrument-strength-reported Mendelian randomisation would improve the causal-inference literature at low cost. We would go further: given the instrument weakness documented above [8], the field would lose little by declaring a moratorium on relaxed-threshold two-sample MR of 16S data until better-powered GWAS exist.</w:t>
      </w:r>
    </w:p>
    <w:p>
      <w:r>
        <w:t>Beyond those four, one experiment would test our central contention directly. Take an intervention that works in rodents — a colonising organism that changes feeding or anxiety-like behaviour — and ask whether its effect survives selective silencing of the implicated afferent population while the organism remains present and the community unchanged. If behaviour tracks the nerve rather than the community, the channel account is doing the explanatory work. If the effect persists with the line silenced, a humoral route is carrying it, and we would be wrong in an informative way.</w:t>
      </w:r>
    </w:p>
    <w:p>
      <w:r>
        <w:t>We would also encourage reporting that keeps the two accounts distinguishable. A paper that establishes a compositional association and then speculates about vagal mediation in its discussion, without testing it, should say so in those terms. Much of the apparent mechanistic depth in this literature lives in discussion sections rather than in results.</w:t>
      </w:r>
    </w:p>
    <w:p>
      <w:pPr>
        <w:pStyle w:val="Heading3"/>
      </w:pPr>
      <w:r>
        <w:t>9.1 What would change clinically</w:t>
      </w:r>
    </w:p>
    <w:p>
      <w:r>
        <w:t>Clinical translation is further off than the enthusiasm suggests, and worth stating concretely.</w:t>
      </w:r>
    </w:p>
    <w:p>
      <w:r>
        <w:t>Near term, the realistic gain is stratification rather than new therapy. If ligand presentation at the mucosal surface predicts who responds to a microbial intervention, then existing trials could be rescued by re-analysis, and future trials could enrol on a mechanistic variable instead of a diagnosis. Trials in this field have been enrolling syndromes and measuring communities, with no variable in between.</w:t>
      </w:r>
    </w:p>
    <w:p>
      <w:r>
        <w:t>Medium term, the targets in Table 4 are approachable with conventional pharmacology, and gut-restricted agents are an established formulation strategy.</w:t>
      </w:r>
    </w:p>
    <w:p>
      <w:r>
        <w:t>Long term, the interesting possibility is diagnostic rather than therapeutic. A sensory channel that fires in response to a defined microbial molecule is, in principle, a readout of luminal state. Whether that readout carries clinically useful information about anything beyond feeding is unknown, and we would caution against assuming it does.</w:t>
      </w:r>
    </w:p>
    <w:p>
      <w:pPr>
        <w:pStyle w:val="Heading2"/>
      </w:pPr>
      <w:r>
        <w:t>10. Limitations</w:t>
      </w:r>
    </w:p>
    <w:p>
      <w:r>
        <w:t>This review is interpretive, its search was not exhaustive, and we read only English-language sources. Our reference list is weighted toward the circuit literature relative to its size in the field, which reflects our argument and should be read as a position rather than a survey. We have treated the compositional literature at the level of its meta-analytic summaries rather than evaluating individual trials, so our characterisation of its heterogeneity is coarse. Our proposal that sensory-channel specification should organise the field is an argument about research strategy, and we offer no evidence that adopting it produces better clinical outcomes, since that evidence cannot exist yet.</w:t>
      </w:r>
    </w:p>
    <w:p>
      <w:pPr>
        <w:pStyle w:val="Heading2"/>
      </w:pPr>
      <w:r>
        <w:t>11. Conclusions</w:t>
      </w:r>
    </w:p>
    <w:p>
      <w:r>
        <w:t>Microbiota–gut–brain research has an unusual shape for a mature discipline: thousands of papers, a reference physiology review running past two thousand pages [7], considerable clinical enthusiasm, and almost no mechanism established end-to-end in humans.</w:t>
      </w:r>
    </w:p>
    <w:p>
      <w:r>
        <w:t>We think the explanation is partly methodological and partly conceptual. Correlate a community-level exposure with a syndrome-level outcome, specify no path between them, and you have a claim that resists refutation; a field that cannot refute its claims cannot consolidate them either. Contradictory Mendelian randomisation results, and meta-analyses disagreeing about whether faecal transplantation helps depression, are what that looks like from the outside.</w:t>
      </w:r>
    </w:p>
    <w:p>
      <w:r>
        <w:t>Neuroepithelial work points the other way. Flagellin, TLR5, a PYY-labelled colonic cell, NPY2R vagal neurons, feeding behaviour [6]: each element is nameable, deletable and therefore falsifiable. That is a narrower claim than anything the compositional literature makes, and narrower is why it will travel further.</w:t>
      </w:r>
    </w:p>
    <w:p>
      <w:pPr>
        <w:pStyle w:val="Heading2"/>
      </w:pPr>
      <w:r>
        <w:t>Declarations</w:t>
      </w:r>
    </w:p>
    <w:p>
      <w:r>
        <w:rPr>
          <w:b/>
        </w:rPr>
        <w:t>Funding:</w:t>
      </w:r>
      <w:r>
        <w:t xml:space="preserve"> [None / specify].</w:t>
      </w:r>
    </w:p>
    <w:p>
      <w:r>
        <w:rPr>
          <w:b/>
        </w:rPr>
        <w:t>Conflicts of interest:</w:t>
      </w:r>
      <w:r>
        <w:t xml:space="preserve"> [The authors declare no conflicts of interest / specify].</w:t>
      </w:r>
    </w:p>
    <w:p>
      <w:r>
        <w:rPr>
          <w:b/>
        </w:rPr>
        <w:t>Author contributions (CRediT):</w:t>
      </w:r>
      <w:r>
        <w:t xml:space="preserve"> [Conceptualisation; investigation; writing — original draft; writing — review and editing].</w:t>
      </w:r>
    </w:p>
    <w:p>
      <w:r>
        <w:rPr>
          <w:b/>
        </w:rPr>
        <w:t>Data availability:</w:t>
      </w:r>
      <w:r>
        <w:t xml:space="preserve"> Not applicable; no new data were generated.</w:t>
      </w:r>
    </w:p>
    <w:p>
      <w:r>
        <w:rPr>
          <w:b/>
        </w:rPr>
        <w:t>Use of artificial intelligence:</w:t>
      </w:r>
      <w:r>
        <w:t xml:space="preserve"> [State the tool, version and purpose, per journal and COPE policy; confirm that the authors verified all content and references and accept full responsibility. AI tools must not be listed as authors.]</w:t>
      </w:r>
    </w:p>
    <w:p>
      <w:r>
        <w:rPr>
          <w:b/>
        </w:rPr>
        <w:t>Ethics approval:</w:t>
      </w:r>
      <w:r>
        <w:t xml:space="preserve"> Not applicable; this review used only published sources.</w:t>
      </w:r>
    </w:p>
    <w:p>
      <w:pPr>
        <w:pStyle w:val="Heading2"/>
      </w:pPr>
      <w:r>
        <w:t>References</w:t>
      </w:r>
    </w:p>
    <w:p>
      <w:pPr>
        <w:ind w:hanging="360" w:left="360"/>
      </w:pPr>
      <w:r>
        <w:t>1. Sudo N, Chida Y, Aiba Y, Sonoda J, Oyama N, Yu XN, et al. Postnatal microbial colonization programs the hypothalamic–pituitary–adrenal system for stress response in mice. J Physiol. 2004;558(Pt 1):263–75.</w:t>
      </w:r>
    </w:p>
    <w:p>
      <w:pPr>
        <w:ind w:hanging="360" w:left="360"/>
      </w:pPr>
      <w:r>
        <w:t>2. Valles-Colomer M, Falony G, Darzi Y, Tigchelaar EF, Wang J, Tito RY, et al. The neuroactive potential of the human gut microbiota in quality of life and depression. Nat Microbiol. 2019;4(4):623–32.</w:t>
      </w:r>
    </w:p>
    <w:p>
      <w:pPr>
        <w:ind w:hanging="360" w:left="360"/>
      </w:pPr>
      <w:r>
        <w:t>3. Kaelberer MM, Buchanan KL, Klein ME, Barth BB, Montoya MM, Shen X, Bohórquez DV. A gut-brain neural circuit for nutrient sensory transduction. Science. 2018;361(6408):eaat5236.</w:t>
      </w:r>
    </w:p>
    <w:p>
      <w:pPr>
        <w:ind w:hanging="360" w:left="360"/>
      </w:pPr>
      <w:r>
        <w:t>4. Bellono NW, Bayrer JR, Leitch DB, Castro J, Zhang C, O'Donnell TA, et al. Enterochromaffin cells are gut chemosensors that couple to sensory neural pathways. Cell. 2017;170(1):185–98.</w:t>
      </w:r>
    </w:p>
    <w:p>
      <w:pPr>
        <w:ind w:hanging="360" w:left="360"/>
      </w:pPr>
      <w:r>
        <w:t>5. Bai L, Mesgarzadeh S, Ramesh KS, Huey EL, Liu Y, Gray LA, et al. Genetic identification of vagal sensory neurons that control feeding. Cell. 2019;179(5):1129–43.</w:t>
      </w:r>
    </w:p>
    <w:p>
      <w:pPr>
        <w:ind w:hanging="360" w:left="360"/>
      </w:pPr>
      <w:r>
        <w:t>6. Liu WW, Reicher N, Alway E, Rupprecht LE, Weng P, Schaefgen C, et al. A gut sense for a microbial pattern regulates feeding. Nature. 2025;645(8081). doi:10.1038/s41586-025-09301-7</w:t>
      </w:r>
    </w:p>
    <w:p>
      <w:pPr>
        <w:ind w:hanging="360" w:left="360"/>
      </w:pPr>
      <w:r>
        <w:t>7. Cryan JF, O'Riordan KJ, Cowan CSM, Sandhu KV, Bastiaanssen TFS, Boehme M, et al. The microbiota-gut-brain axis. Physiol Rev. 2019;99(4):1877–2013.</w:t>
      </w:r>
    </w:p>
    <w:p>
      <w:pPr>
        <w:ind w:hanging="360" w:left="360"/>
      </w:pPr>
      <w:r>
        <w:t>8. Kurilshikov A, Medina-Gomez C, Bacigalupe R, Radjabzadeh D, Wang J, Demirkan A, et al. Large-scale association analyses identify host factors influencing human gut microbiome composition. Nat Genet. 2021;53(2):156–65.</w:t>
      </w:r>
    </w:p>
    <w:p>
      <w:pPr>
        <w:ind w:hanging="360" w:left="360"/>
      </w:pPr>
      <w:r>
        <w:t>9. Kim S, Kwon SH, Kam TI, Panicker N, Karuppagounder SS, Lee S, et al. Transneuronal propagation of pathologic α-synuclein from the gut to the brain models Parkinson's disease. Neuron. 2019;103(4):627–41.</w:t>
      </w:r>
    </w:p>
    <w:p>
      <w:pPr>
        <w:ind w:hanging="360" w:left="360"/>
      </w:pPr>
      <w:r>
        <w:t>10. Svensson E, Horváth-Puhó E, Thomsen RW, Djurhuus JC, Pedersen L, Borghammer P, Sørensen HT. Vagotomy and subsequent risk of Parkinson's disease. Ann Neurol. 2015;78(4):522–9.</w:t>
      </w:r>
    </w:p>
    <w:p>
      <w:pPr>
        <w:ind w:hanging="360" w:left="360"/>
      </w:pPr>
      <w:r>
        <w:t>11. Neufeld KM, Kang N, Bienenstock J, Foster JA. Reduced anxiety-like behavior and central neurochemical change in germ-free mice. Neurogastroenterol Motil. 2011;23(3):255–64.</w:t>
      </w:r>
    </w:p>
    <w:p>
      <w:r>
        <w:rPr>
          <w:b/>
          <w:color w:val="C00000"/>
        </w:rPr>
        <w:t>[REFERENCE LIST IS INCOMPLETE — CLOSE OUT BEFORE SUBMISSION]</w:t>
      </w:r>
      <w:r>
        <w:rPr>
          <w:color w:val="C00000"/>
        </w:rPr>
        <w:t xml:space="preserve"> Eleven sources are listed and every one was verified against the published record. A </w:t>
      </w:r>
      <w:r>
        <w:rPr>
          <w:i/>
          <w:color w:val="C00000"/>
        </w:rPr>
        <w:t>Gut Microbes</w:t>
      </w:r>
      <w:r>
        <w:rPr>
          <w:color w:val="C00000"/>
        </w:rPr>
        <w:t xml:space="preserve"> review carries 80–150. The claims currently uncited are identified individually in `SOURCES.md`, and they are not minor: the Mendelian randomisation studies described in §3.4, every meta-analytic figure in §3.5 and Table 1, the second Danish vagotomy registry study in §7, and the </w:t>
      </w:r>
      <w:r>
        <w:rPr>
          <w:i/>
          <w:color w:val="C00000"/>
        </w:rPr>
        <w:t>Nature Reviews Gastroenterology &amp; Hepatology</w:t>
      </w:r>
      <w:r>
        <w:rPr>
          <w:color w:val="C00000"/>
        </w:rPr>
        <w:t xml:space="preserve"> commentary on the neurobiotic sense. Those numbers were verified in the course of writing but their full bibliographic records were not captured, and quoting a pooled effect size without its citation is exactly the failure this manuscript criticises in §3.5. Attach them before this leaves your desk.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