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cs="Times New Roman" w:eastAsia="Times New Roman"/>
          <w:b/>
          <w:color w:val="000000"/>
          <w:sz w:val="28"/>
        </w:rPr>
        <w:t>Verified reference library</w:t>
      </w:r>
    </w:p>
    <w:p>
      <w:pPr>
        <w:spacing w:line="480" w:lineRule="auto"/>
      </w:pPr>
      <w:r>
        <w:rPr>
          <w:rFonts w:ascii="Times New Roman" w:hAnsi="Times New Roman" w:cs="Times New Roman" w:eastAsia="Times New Roman"/>
          <w:color w:val="000000"/>
        </w:rPr>
        <w:t>Every entry below was checked against the published record before being admitted. None was written from memory. Entries are grouped by the section of `MANUSCRIPT.md` they support.</w:t>
      </w:r>
    </w:p>
    <w:p>
      <w:pPr>
        <w:spacing w:line="480" w:lineRule="auto"/>
      </w:pPr>
      <w:r>
        <w:rPr>
          <w:rFonts w:ascii="Times New Roman" w:hAnsi="Times New Roman" w:cs="Times New Roman" w:eastAsia="Times New Roman"/>
          <w:color w:val="000000"/>
        </w:rPr>
        <w:t>Verification ran through web search, because this container's network policy denies `pubmed.ncbi.nlm.nih.gov`, `pmc.ncbi.nlm.nih.gov`, `sciencedirect.com`, `api.crossref.org` and `doi.org`. Titles, journals, years and principal findings are confirmed throughout. Where a volume or page range is marked `~`, the field was not displayed in a verified result and needs a spot-check at the journal page before submission.</w:t>
      </w:r>
    </w:p>
    <w:p>
      <w:pPr>
        <w:spacing w:line="480" w:lineRule="auto"/>
      </w:pPr>
      <w:r>
        <w:rPr>
          <w:rFonts w:ascii="Times New Roman" w:hAnsi="Times New Roman" w:cs="Times New Roman" w:eastAsia="Times New Roman"/>
          <w:b/>
          <w:color w:val="000000"/>
          <w:sz w:val="24"/>
        </w:rPr>
        <w:t>A. Germ-free and gnotobiotic foundations</w:t>
      </w:r>
    </w:p>
    <w:p>
      <w:pPr>
        <w:spacing w:line="480" w:lineRule="auto"/>
        <w:ind w:hanging="360" w:left="360"/>
      </w:pPr>
      <w:r>
        <w:rPr>
          <w:rFonts w:ascii="Times New Roman" w:hAnsi="Times New Roman" w:cs="Times New Roman" w:eastAsia="Times New Roman"/>
          <w:color w:val="000000"/>
        </w:rPr>
        <w:t>1. Sudo N, Chida Y, Aiba Y, Sonoda J, Oyama N, Yu XN, et al. Postnatal microbial colonization programs the hypothalamic–pituitary–adrenal system for stress response in mice. J Physiol. 2004;558(Pt 1):263–75.</w:t>
      </w:r>
    </w:p>
    <w:p>
      <w:pPr>
        <w:spacing w:line="480" w:lineRule="auto"/>
        <w:ind w:hanging="360" w:left="360"/>
      </w:pPr>
      <w:r>
        <w:rPr>
          <w:rFonts w:ascii="Times New Roman" w:hAnsi="Times New Roman" w:cs="Times New Roman" w:eastAsia="Times New Roman"/>
          <w:color w:val="000000"/>
        </w:rPr>
        <w:t>2. Diaz Heijtz R, Wang S, Anuar F, Qian Y, Björkholm B, Samuelsson A, et al. Normal gut microbiota modulates brain development and behavior. Proc Natl Acad Sci U S A. 2011;108(7):3047–52.</w:t>
      </w:r>
    </w:p>
    <w:p>
      <w:pPr>
        <w:spacing w:line="480" w:lineRule="auto"/>
        <w:ind w:hanging="360" w:left="360"/>
      </w:pPr>
      <w:r>
        <w:rPr>
          <w:rFonts w:ascii="Times New Roman" w:hAnsi="Times New Roman" w:cs="Times New Roman" w:eastAsia="Times New Roman"/>
          <w:color w:val="000000"/>
        </w:rPr>
        <w:t>3. Neufeld KM, Kang N, Bienenstock J, Foster JA. Reduced anxiety-like behavior and central neurochemical change in germ-free mice. Neurogastroenterol Motil. 2011;23(3):255–64.</w:t>
      </w:r>
    </w:p>
    <w:p>
      <w:pPr>
        <w:spacing w:line="480" w:lineRule="auto"/>
        <w:ind w:hanging="360" w:left="360"/>
      </w:pPr>
      <w:r>
        <w:rPr>
          <w:rFonts w:ascii="Times New Roman" w:hAnsi="Times New Roman" w:cs="Times New Roman" w:eastAsia="Times New Roman"/>
          <w:color w:val="000000"/>
        </w:rPr>
        <w:t>4. Bercik P, Denou E, Collins J, Jackson W, Lu J, Jury J, et al. The intestinal microbiota affect central levels of brain-derived neurotropic factor and behavior in mice. Gastroenterology. 2011;141(2):599–609.</w:t>
      </w:r>
    </w:p>
    <w:p>
      <w:pPr>
        <w:spacing w:line="480" w:lineRule="auto"/>
        <w:ind w:hanging="360" w:left="360"/>
      </w:pPr>
      <w:r>
        <w:rPr>
          <w:rFonts w:ascii="Times New Roman" w:hAnsi="Times New Roman" w:cs="Times New Roman" w:eastAsia="Times New Roman"/>
          <w:color w:val="000000"/>
        </w:rPr>
        <w:t>5. Desbonnet L, Clarke G, Traplin A, O'Sullivan O, Crispie F, Moloney RD, et al. Gut microbiota depletion from early adolescence in mice: implications for brain and behaviour. Brain Behav Immun. 2015;48:165–73.</w:t>
      </w:r>
    </w:p>
    <w:p>
      <w:pPr>
        <w:spacing w:line="480" w:lineRule="auto"/>
        <w:ind w:hanging="360" w:left="360"/>
      </w:pPr>
      <w:r>
        <w:rPr>
          <w:rFonts w:ascii="Times New Roman" w:hAnsi="Times New Roman" w:cs="Times New Roman" w:eastAsia="Times New Roman"/>
          <w:color w:val="000000"/>
        </w:rPr>
        <w:t>6. Boehme M, Guzzetta KE, Bastiaanssen TFS, van de Wouw M, Moloney GM, Gual-Grau A, et al. Microbiota from young mice counteracts selective age-associated behavioral deficits. Nat Aging. 2021;1(8):666–76.</w:t>
      </w:r>
    </w:p>
    <w:p>
      <w:pPr>
        <w:spacing w:line="480" w:lineRule="auto"/>
        <w:ind w:hanging="360" w:left="360"/>
      </w:pPr>
      <w:r>
        <w:rPr>
          <w:rFonts w:ascii="Times New Roman" w:hAnsi="Times New Roman" w:cs="Times New Roman" w:eastAsia="Times New Roman"/>
          <w:color w:val="000000"/>
        </w:rPr>
        <w:t>7. Franklin CL, Ericsson AC. Microbiota and reproducibility of rodent models. Lab Anim (NY). 2017;46(4):114–22.</w:t>
      </w:r>
    </w:p>
    <w:p>
      <w:pPr>
        <w:spacing w:line="480" w:lineRule="auto"/>
      </w:pPr>
      <w:r>
        <w:rPr>
          <w:rFonts w:ascii="Times New Roman" w:hAnsi="Times New Roman" w:cs="Times New Roman" w:eastAsia="Times New Roman"/>
          <w:b/>
          <w:color w:val="000000"/>
          <w:sz w:val="24"/>
        </w:rPr>
        <w:t>B. Transfer and colonisation experiments</w:t>
      </w:r>
    </w:p>
    <w:p>
      <w:pPr>
        <w:spacing w:line="480" w:lineRule="auto"/>
        <w:ind w:hanging="360" w:left="360"/>
      </w:pPr>
      <w:r>
        <w:rPr>
          <w:rFonts w:ascii="Times New Roman" w:hAnsi="Times New Roman" w:cs="Times New Roman" w:eastAsia="Times New Roman"/>
          <w:color w:val="000000"/>
        </w:rPr>
        <w:t>8. Zheng P, Zeng B, Zhou C, Liu M, Fang Z, Xu X, et al. Gut microbiome remodeling induces depressive-like behaviors through a pathway mediated by the host's metabolism. Mol Psychiatry. 2016;21(6):786–96.</w:t>
      </w:r>
    </w:p>
    <w:p>
      <w:pPr>
        <w:spacing w:line="480" w:lineRule="auto"/>
        <w:ind w:hanging="360" w:left="360"/>
      </w:pPr>
      <w:r>
        <w:rPr>
          <w:rFonts w:ascii="Times New Roman" w:hAnsi="Times New Roman" w:cs="Times New Roman" w:eastAsia="Times New Roman"/>
          <w:color w:val="000000"/>
        </w:rPr>
        <w:t>9. Kelly JR, Borre Y, O'Brien C, Patterson E, El Aidy S, Deane J, et al. Transferring the blues: depression-associated gut microbiota induces neurobehavioural changes in the rat. J Psychiatr Res. 2016;82:109–18.</w:t>
      </w:r>
    </w:p>
    <w:p>
      <w:pPr>
        <w:spacing w:line="480" w:lineRule="auto"/>
        <w:ind w:hanging="360" w:left="360"/>
      </w:pPr>
      <w:r>
        <w:rPr>
          <w:rFonts w:ascii="Times New Roman" w:hAnsi="Times New Roman" w:cs="Times New Roman" w:eastAsia="Times New Roman"/>
          <w:color w:val="000000"/>
        </w:rPr>
        <w:t>10. Hsiao EY, McBride SW, Hsien S, Sharon G, Hyde ER, McCue T, et al. Microbiota modulate behavioral and physiological abnormalities associated with neurodevelopmental disorders. Cell. 2013;155(7):1451–63.</w:t>
      </w:r>
    </w:p>
    <w:p>
      <w:pPr>
        <w:spacing w:line="480" w:lineRule="auto"/>
        <w:ind w:hanging="360" w:left="360"/>
      </w:pPr>
      <w:r>
        <w:rPr>
          <w:rFonts w:ascii="Times New Roman" w:hAnsi="Times New Roman" w:cs="Times New Roman" w:eastAsia="Times New Roman"/>
          <w:color w:val="000000"/>
        </w:rPr>
        <w:t>11. Sharon G, Cruz NJ, Kang DW, Gandal MJ, Wang B, Kim YM, et al. Human gut microbiota from autism spectrum disorder promote behavioral symptoms in mice. Cell. 2019;177(6):1600–18.</w:t>
      </w:r>
    </w:p>
    <w:p>
      <w:pPr>
        <w:spacing w:line="480" w:lineRule="auto"/>
        <w:ind w:hanging="360" w:left="360"/>
      </w:pPr>
      <w:r>
        <w:rPr>
          <w:rFonts w:ascii="Times New Roman" w:hAnsi="Times New Roman" w:cs="Times New Roman" w:eastAsia="Times New Roman"/>
          <w:color w:val="000000"/>
        </w:rPr>
        <w:t>12. Sampson TR, Debelius JW, Thron T, Janssen S, Shastri GG, Ilhan ZE, et al. Gut microbiota regulate motor deficits and neuroinflammation in a model of Parkinson's disease. Cell. 2016;167(6):1469–80.</w:t>
      </w:r>
    </w:p>
    <w:p>
      <w:pPr>
        <w:spacing w:line="480" w:lineRule="auto"/>
        <w:ind w:hanging="360" w:left="360"/>
      </w:pPr>
      <w:r>
        <w:rPr>
          <w:rFonts w:ascii="Times New Roman" w:hAnsi="Times New Roman" w:cs="Times New Roman" w:eastAsia="Times New Roman"/>
          <w:color w:val="000000"/>
        </w:rPr>
        <w:t>13. Zheng P, Zeng B, Liu M, Chen J, Pan J, Han Y, et al. The gut microbiome from patients with schizophrenia modulates the glutamate–glutamine–GABA cycle and schizophrenia-relevant behaviors in mice. Sci Adv. 2019;5(2):eaau8317.</w:t>
      </w:r>
    </w:p>
    <w:p>
      <w:pPr>
        <w:spacing w:line="480" w:lineRule="auto"/>
      </w:pPr>
      <w:r>
        <w:rPr>
          <w:rFonts w:ascii="Times New Roman" w:hAnsi="Times New Roman" w:cs="Times New Roman" w:eastAsia="Times New Roman"/>
          <w:b/>
          <w:color w:val="000000"/>
          <w:sz w:val="24"/>
        </w:rPr>
        <w:t>C. Human observational evidence</w:t>
      </w:r>
    </w:p>
    <w:p>
      <w:pPr>
        <w:spacing w:line="480" w:lineRule="auto"/>
        <w:ind w:hanging="360" w:left="360"/>
      </w:pPr>
      <w:r>
        <w:rPr>
          <w:rFonts w:ascii="Times New Roman" w:hAnsi="Times New Roman" w:cs="Times New Roman" w:eastAsia="Times New Roman"/>
          <w:color w:val="000000"/>
        </w:rPr>
        <w:t>14. Valles-Colomer M, Falony G, Darzi Y, Tigchelaar EF, Wang J, Tito RY, et al. The neuroactive potential of the human gut microbiota in quality of life and depression. Nat Microbiol. 2019;4(4):623–32.</w:t>
      </w:r>
    </w:p>
    <w:p>
      <w:pPr>
        <w:spacing w:line="480" w:lineRule="auto"/>
        <w:ind w:hanging="360" w:left="360"/>
      </w:pPr>
      <w:r>
        <w:rPr>
          <w:rFonts w:ascii="Times New Roman" w:hAnsi="Times New Roman" w:cs="Times New Roman" w:eastAsia="Times New Roman"/>
          <w:color w:val="000000"/>
        </w:rPr>
        <w:t>15. Nikolova VL, Smith MRB, Hall LJ, Cleare AJ, Stone JM, Young AH. Perturbations in gut microbiota composition in psychiatric disorders: a review and meta-analysis. JAMA Psychiatry. 2021;78(12):1343–54. ~</w:t>
      </w:r>
    </w:p>
    <w:p>
      <w:pPr>
        <w:spacing w:line="480" w:lineRule="auto"/>
        <w:ind w:hanging="360" w:left="360"/>
      </w:pPr>
      <w:r>
        <w:rPr>
          <w:rFonts w:ascii="Times New Roman" w:hAnsi="Times New Roman" w:cs="Times New Roman" w:eastAsia="Times New Roman"/>
          <w:color w:val="000000"/>
        </w:rPr>
        <w:t>16. McGuinness AJ, Davis JA, Dawson SL, Loughman A, Collier F, O'Hely M, et al. A systematic review of gut microbiota composition in observational studies of major depressive disorder, bipolar disorder and schizophrenia. Mol Psychiatry. 2022;27(4):1920–35.</w:t>
      </w:r>
    </w:p>
    <w:p>
      <w:pPr>
        <w:spacing w:line="480" w:lineRule="auto"/>
        <w:ind w:hanging="360" w:left="360"/>
      </w:pPr>
      <w:r>
        <w:rPr>
          <w:rFonts w:ascii="Times New Roman" w:hAnsi="Times New Roman" w:cs="Times New Roman" w:eastAsia="Times New Roman"/>
          <w:color w:val="000000"/>
        </w:rPr>
        <w:t>17. Carlson AL, Xia K, Azcarate-Peril MA, Goldman BD, Ahn M, Styner MA, et al. Infant gut microbiome associated with cognitive development. Biol Psychiatry. 2018;83(2):148–59.</w:t>
      </w:r>
    </w:p>
    <w:p>
      <w:pPr>
        <w:spacing w:line="480" w:lineRule="auto"/>
      </w:pPr>
      <w:r>
        <w:rPr>
          <w:rFonts w:ascii="Times New Roman" w:hAnsi="Times New Roman" w:cs="Times New Roman" w:eastAsia="Times New Roman"/>
          <w:b/>
          <w:color w:val="000000"/>
          <w:sz w:val="24"/>
        </w:rPr>
        <w:t>D. Confounding: diet, drugs, host genetics</w:t>
      </w:r>
    </w:p>
    <w:p>
      <w:pPr>
        <w:spacing w:line="480" w:lineRule="auto"/>
        <w:ind w:hanging="360" w:left="360"/>
      </w:pPr>
      <w:r>
        <w:rPr>
          <w:rFonts w:ascii="Times New Roman" w:hAnsi="Times New Roman" w:cs="Times New Roman" w:eastAsia="Times New Roman"/>
          <w:color w:val="000000"/>
        </w:rPr>
        <w:t>18. Falony G, Joossens M, Vieira-Silva S, Wang J, Darzi Y, Faust K, et al. Population-level analysis of gut microbiome variation. Science. 2016;352(6285):560–4.</w:t>
      </w:r>
    </w:p>
    <w:p>
      <w:pPr>
        <w:spacing w:line="480" w:lineRule="auto"/>
        <w:ind w:hanging="360" w:left="360"/>
      </w:pPr>
      <w:r>
        <w:rPr>
          <w:rFonts w:ascii="Times New Roman" w:hAnsi="Times New Roman" w:cs="Times New Roman" w:eastAsia="Times New Roman"/>
          <w:color w:val="000000"/>
        </w:rPr>
        <w:t>19. Zhernakova A, Kurilshikov A, Bonder MJ, Tigchelaar EF, Schirmer M, Vatanen T, et al. Population-based metagenomics analysis reveals markers for gut microbiome composition and diversity. Science. 2016;352(6285):565–9.</w:t>
      </w:r>
    </w:p>
    <w:p>
      <w:pPr>
        <w:spacing w:line="480" w:lineRule="auto"/>
        <w:ind w:hanging="360" w:left="360"/>
      </w:pPr>
      <w:r>
        <w:rPr>
          <w:rFonts w:ascii="Times New Roman" w:hAnsi="Times New Roman" w:cs="Times New Roman" w:eastAsia="Times New Roman"/>
          <w:color w:val="000000"/>
        </w:rPr>
        <w:t>20. Johnson AJ, Vangay P, Al-Ghalith GA, Hillmann BM, Ward TL, Shields-Cutler RR, et al. Daily sampling reveals personalized diet–microbiome associations in humans. Cell Host Microbe. 2019;25(6):789–802.</w:t>
      </w:r>
    </w:p>
    <w:p>
      <w:pPr>
        <w:spacing w:line="480" w:lineRule="auto"/>
        <w:ind w:hanging="360" w:left="360"/>
      </w:pPr>
      <w:r>
        <w:rPr>
          <w:rFonts w:ascii="Times New Roman" w:hAnsi="Times New Roman" w:cs="Times New Roman" w:eastAsia="Times New Roman"/>
          <w:color w:val="000000"/>
        </w:rPr>
        <w:t>21. Maier L, Pruteanu M, Kuhn M, Zeller G, Telzerow A, Anderson EE, et al. Extensive impact of non-antibiotic drugs on human gut bacteria. Nature. 2018;555(7698):623–8.</w:t>
      </w:r>
    </w:p>
    <w:p>
      <w:pPr>
        <w:spacing w:line="480" w:lineRule="auto"/>
        <w:ind w:hanging="360" w:left="360"/>
      </w:pPr>
      <w:r>
        <w:rPr>
          <w:rFonts w:ascii="Times New Roman" w:hAnsi="Times New Roman" w:cs="Times New Roman" w:eastAsia="Times New Roman"/>
          <w:color w:val="000000"/>
        </w:rPr>
        <w:t>22. Vich Vila A, Collij V, Sanna S, Sinha T, Imhann F, Bourgonje AR, et al. Impact of commonly used drugs on the composition and metabolic function of the gut microbiota. Nat Commun. 2020;11:362.</w:t>
      </w:r>
    </w:p>
    <w:p>
      <w:pPr>
        <w:spacing w:line="480" w:lineRule="auto"/>
        <w:ind w:hanging="360" w:left="360"/>
      </w:pPr>
      <w:r>
        <w:rPr>
          <w:rFonts w:ascii="Times New Roman" w:hAnsi="Times New Roman" w:cs="Times New Roman" w:eastAsia="Times New Roman"/>
          <w:color w:val="000000"/>
        </w:rPr>
        <w:t xml:space="preserve">23. Lukić I, Getselter D, Ziv O, Oron O, Reuveni E, Koren O, Elliott E. Antidepressants affect gut microbiota and </w:t>
      </w:r>
      <w:r>
        <w:rPr>
          <w:rFonts w:ascii="Times New Roman" w:hAnsi="Times New Roman" w:cs="Times New Roman" w:eastAsia="Times New Roman"/>
          <w:i/>
          <w:color w:val="000000"/>
        </w:rPr>
        <w:t>Ruminococcus flavefaciens</w:t>
      </w:r>
      <w:r>
        <w:rPr>
          <w:rFonts w:ascii="Times New Roman" w:hAnsi="Times New Roman" w:cs="Times New Roman" w:eastAsia="Times New Roman"/>
          <w:color w:val="000000"/>
        </w:rPr>
        <w:t xml:space="preserve"> is able to abolish their effects on depressive-like behavior. Transl Psychiatry. 2019;9:133.</w:t>
      </w:r>
    </w:p>
    <w:p>
      <w:pPr>
        <w:spacing w:line="480" w:lineRule="auto"/>
        <w:ind w:hanging="360" w:left="360"/>
      </w:pPr>
      <w:r>
        <w:rPr>
          <w:rFonts w:ascii="Times New Roman" w:hAnsi="Times New Roman" w:cs="Times New Roman" w:eastAsia="Times New Roman"/>
          <w:color w:val="000000"/>
        </w:rPr>
        <w:t>24. Zimmermann M, Zimmermann-Kogadeeva M, Wegmann R, Goodman AL. Mapping human microbiome drug metabolism by gut bacteria and their genes. Nature. 2019;570(7762):462–7.</w:t>
      </w:r>
    </w:p>
    <w:p>
      <w:pPr>
        <w:spacing w:line="480" w:lineRule="auto"/>
        <w:ind w:hanging="360" w:left="360"/>
      </w:pPr>
      <w:r>
        <w:rPr>
          <w:rFonts w:ascii="Times New Roman" w:hAnsi="Times New Roman" w:cs="Times New Roman" w:eastAsia="Times New Roman"/>
          <w:color w:val="000000"/>
        </w:rPr>
        <w:t>25. Kurilshikov A, Medina-Gomez C, Bacigalupe R, Radjabzadeh D, Wang J, Demirkan A, et al. Large-scale association analyses identify host factors influencing human gut microbiome composition. Nat Genet. 2021;53(2):156–65.</w:t>
      </w:r>
    </w:p>
    <w:p>
      <w:pPr>
        <w:spacing w:line="480" w:lineRule="auto"/>
        <w:ind w:hanging="360" w:left="360"/>
      </w:pPr>
      <w:r>
        <w:rPr>
          <w:rFonts w:ascii="Times New Roman" w:hAnsi="Times New Roman" w:cs="Times New Roman" w:eastAsia="Times New Roman"/>
          <w:color w:val="000000"/>
        </w:rPr>
        <w:t>26. Lopera-Maya EA, Kurilshikov A, van der Graaf A, Hu S, Andreu-Sánchez S, Chen L, et al. Effect of host genetics on the gut microbiome in 7,738 participants of the Dutch Microbiome Project. Nat Genet. 2022;54(2):143–51.</w:t>
      </w:r>
    </w:p>
    <w:p>
      <w:pPr>
        <w:spacing w:line="480" w:lineRule="auto"/>
        <w:ind w:hanging="360" w:left="360"/>
      </w:pPr>
      <w:r>
        <w:rPr>
          <w:rFonts w:ascii="Times New Roman" w:hAnsi="Times New Roman" w:cs="Times New Roman" w:eastAsia="Times New Roman"/>
          <w:color w:val="000000"/>
        </w:rPr>
        <w:t>27. Rühlemann MC, Hermes BM, Bang C, Doms S, Moitinho-Silva L, Thingholm LB, et al. Genome-wide association study in 8,956 German individuals identifies influence of ABO histo-blood groups on gut microbiome. Nat Genet. 2021;53(2):147–55.</w:t>
      </w:r>
    </w:p>
    <w:p>
      <w:pPr>
        <w:spacing w:line="480" w:lineRule="auto"/>
      </w:pPr>
      <w:r>
        <w:rPr>
          <w:rFonts w:ascii="Times New Roman" w:hAnsi="Times New Roman" w:cs="Times New Roman" w:eastAsia="Times New Roman"/>
          <w:b/>
          <w:color w:val="000000"/>
          <w:sz w:val="24"/>
        </w:rPr>
        <w:t>E. Causal inference and methodology</w:t>
      </w:r>
    </w:p>
    <w:p>
      <w:pPr>
        <w:spacing w:line="480" w:lineRule="auto"/>
        <w:ind w:hanging="360" w:left="360"/>
      </w:pPr>
      <w:r>
        <w:rPr>
          <w:rFonts w:ascii="Times New Roman" w:hAnsi="Times New Roman" w:cs="Times New Roman" w:eastAsia="Times New Roman"/>
          <w:color w:val="000000"/>
        </w:rPr>
        <w:t>28. Davies NM, von Hinke Kessler Scholder S, Farbmacher H, Burgess S, Windmeijer F, Davey Smith G. The many weak instruments problem and Mendelian randomization. Stat Med. 2015;34(3):454–68.</w:t>
      </w:r>
    </w:p>
    <w:p>
      <w:pPr>
        <w:spacing w:line="480" w:lineRule="auto"/>
        <w:ind w:hanging="360" w:left="360"/>
      </w:pPr>
      <w:r>
        <w:rPr>
          <w:rFonts w:ascii="Times New Roman" w:hAnsi="Times New Roman" w:cs="Times New Roman" w:eastAsia="Times New Roman"/>
          <w:color w:val="000000"/>
        </w:rPr>
        <w:t>29. Burgess S, Davey Smith G, Davies NM, Dudbridge F, Gill D, Glymour MM, et al. Guidelines for performing Mendelian randomization investigations. Wellcome Open Res. 2019;4:186.</w:t>
      </w:r>
    </w:p>
    <w:p>
      <w:pPr>
        <w:spacing w:line="480" w:lineRule="auto"/>
        <w:ind w:hanging="360" w:left="360"/>
      </w:pPr>
      <w:r>
        <w:rPr>
          <w:rFonts w:ascii="Times New Roman" w:hAnsi="Times New Roman" w:cs="Times New Roman" w:eastAsia="Times New Roman"/>
          <w:color w:val="000000"/>
        </w:rPr>
        <w:t>30. Bowden J, Davey Smith G, Burgess S. Mendelian randomization with invalid instruments: effect estimation and bias detection through Egger regression. Int J Epidemiol. 2015;44(2):512–25.</w:t>
      </w:r>
    </w:p>
    <w:p>
      <w:pPr>
        <w:spacing w:line="480" w:lineRule="auto"/>
        <w:ind w:hanging="360" w:left="360"/>
      </w:pPr>
      <w:r>
        <w:rPr>
          <w:rFonts w:ascii="Times New Roman" w:hAnsi="Times New Roman" w:cs="Times New Roman" w:eastAsia="Times New Roman"/>
          <w:color w:val="000000"/>
        </w:rPr>
        <w:t>31. Gloor GB, Macklaim JM, Pawlowsky-Glahn V, Egozcue JJ. Microbiome datasets are compositional: and this is not optional. Front Microbiol. 2017;8:2224.</w:t>
      </w:r>
    </w:p>
    <w:p>
      <w:pPr>
        <w:spacing w:line="480" w:lineRule="auto"/>
        <w:ind w:hanging="360" w:left="360"/>
      </w:pPr>
      <w:r>
        <w:rPr>
          <w:rFonts w:ascii="Times New Roman" w:hAnsi="Times New Roman" w:cs="Times New Roman" w:eastAsia="Times New Roman"/>
          <w:color w:val="000000"/>
        </w:rPr>
        <w:t>32. Button KS, Ioannidis JPA, Mokrysz C, Nosek BA, Flint J, Robinson ESJ, Munafò MR. Power failure: why small sample size undermines the reliability of neuroscience. Nat Rev Neurosci. 2013;14(5):365–76.</w:t>
      </w:r>
    </w:p>
    <w:p>
      <w:pPr>
        <w:spacing w:line="480" w:lineRule="auto"/>
        <w:ind w:hanging="360" w:left="360"/>
      </w:pPr>
      <w:r>
        <w:rPr>
          <w:rFonts w:ascii="Times New Roman" w:hAnsi="Times New Roman" w:cs="Times New Roman" w:eastAsia="Times New Roman"/>
          <w:color w:val="000000"/>
        </w:rPr>
        <w:t>33. Ioannidis JPA. Why most published research findings are false. PLoS Med. 2005;2(8):e124.</w:t>
      </w:r>
    </w:p>
    <w:p>
      <w:pPr>
        <w:spacing w:line="480" w:lineRule="auto"/>
        <w:ind w:hanging="360" w:left="360"/>
      </w:pPr>
      <w:r>
        <w:rPr>
          <w:rFonts w:ascii="Times New Roman" w:hAnsi="Times New Roman" w:cs="Times New Roman" w:eastAsia="Times New Roman"/>
          <w:color w:val="000000"/>
        </w:rPr>
        <w:t>34. Mitchell KJ, Dahly D, Bishop DVM, et al. Conceptual and methodological flaws undermine claims of a link between the gut microbiome and autism. Neuron. 2025. ~</w:t>
      </w:r>
    </w:p>
    <w:p>
      <w:pPr>
        <w:spacing w:line="480" w:lineRule="auto"/>
      </w:pPr>
      <w:r>
        <w:rPr>
          <w:rFonts w:ascii="Times New Roman" w:hAnsi="Times New Roman" w:cs="Times New Roman" w:eastAsia="Times New Roman"/>
          <w:b/>
          <w:color w:val="000000"/>
          <w:sz w:val="24"/>
        </w:rPr>
        <w:t>F. Intervention trials and syntheses</w:t>
      </w:r>
    </w:p>
    <w:p>
      <w:pPr>
        <w:spacing w:line="480" w:lineRule="auto"/>
        <w:ind w:hanging="360" w:left="360"/>
      </w:pPr>
      <w:r>
        <w:rPr>
          <w:rFonts w:ascii="Times New Roman" w:hAnsi="Times New Roman" w:cs="Times New Roman" w:eastAsia="Times New Roman"/>
          <w:color w:val="000000"/>
        </w:rPr>
        <w:t>35. Messaoudi M, Lalonde R, Violle N, Javelot H, Desor D, Nejdi A, et al. Assessment of psychotropic-like properties of a probiotic formulation (</w:t>
      </w:r>
      <w:r>
        <w:rPr>
          <w:rFonts w:ascii="Times New Roman" w:hAnsi="Times New Roman" w:cs="Times New Roman" w:eastAsia="Times New Roman"/>
          <w:i/>
          <w:color w:val="000000"/>
        </w:rPr>
        <w:t>Lactobacillus helveticus</w:t>
      </w:r>
      <w:r>
        <w:rPr>
          <w:rFonts w:ascii="Times New Roman" w:hAnsi="Times New Roman" w:cs="Times New Roman" w:eastAsia="Times New Roman"/>
          <w:color w:val="000000"/>
        </w:rPr>
        <w:t xml:space="preserve"> R0052 and </w:t>
      </w:r>
      <w:r>
        <w:rPr>
          <w:rFonts w:ascii="Times New Roman" w:hAnsi="Times New Roman" w:cs="Times New Roman" w:eastAsia="Times New Roman"/>
          <w:i/>
          <w:color w:val="000000"/>
        </w:rPr>
        <w:t>Bifidobacterium longum</w:t>
      </w:r>
      <w:r>
        <w:rPr>
          <w:rFonts w:ascii="Times New Roman" w:hAnsi="Times New Roman" w:cs="Times New Roman" w:eastAsia="Times New Roman"/>
          <w:color w:val="000000"/>
        </w:rPr>
        <w:t xml:space="preserve"> R0175) in rats and human subjects. Br J Nutr. 2011;105(5):755–64.</w:t>
      </w:r>
    </w:p>
    <w:p>
      <w:pPr>
        <w:spacing w:line="480" w:lineRule="auto"/>
        <w:ind w:hanging="360" w:left="360"/>
      </w:pPr>
      <w:r>
        <w:rPr>
          <w:rFonts w:ascii="Times New Roman" w:hAnsi="Times New Roman" w:cs="Times New Roman" w:eastAsia="Times New Roman"/>
          <w:color w:val="000000"/>
        </w:rPr>
        <w:t>36. Steenbergen L, Sellaro R, van Hemert S, Bosch JA, Colzato LS. A randomized controlled trial to test the effect of multispecies probiotics on cognitive reactivity to sad mood. Brain Behav Immun. 2015;48:258–64.</w:t>
      </w:r>
    </w:p>
    <w:p>
      <w:pPr>
        <w:spacing w:line="480" w:lineRule="auto"/>
        <w:ind w:hanging="360" w:left="360"/>
      </w:pPr>
      <w:r>
        <w:rPr>
          <w:rFonts w:ascii="Times New Roman" w:hAnsi="Times New Roman" w:cs="Times New Roman" w:eastAsia="Times New Roman"/>
          <w:color w:val="000000"/>
        </w:rPr>
        <w:t>37. Kazemi A, Noorbala AA, Azam K, Eskandari MH, Djafarian K. Effect of probiotic and prebiotic vs placebo on psychological outcomes in patients with major depressive disorder: a randomized clinical trial. Clin Nutr. 2019;38(2):522–8.</w:t>
      </w:r>
    </w:p>
    <w:p>
      <w:pPr>
        <w:spacing w:line="480" w:lineRule="auto"/>
        <w:ind w:hanging="360" w:left="360"/>
      </w:pPr>
      <w:r>
        <w:rPr>
          <w:rFonts w:ascii="Times New Roman" w:hAnsi="Times New Roman" w:cs="Times New Roman" w:eastAsia="Times New Roman"/>
          <w:color w:val="000000"/>
        </w:rPr>
        <w:t xml:space="preserve">38. Effects of prebiotics and probiotics on symptoms of depression and anxiety in clinically diagnosed samples: systematic review and meta-analysis of randomized controlled trials. Nutr Rev. 2025;83(7):e1504. ~ </w:t>
      </w:r>
      <w:r>
        <w:rPr>
          <w:rFonts w:ascii="Times New Roman" w:hAnsi="Times New Roman" w:cs="Times New Roman" w:eastAsia="Times New Roman"/>
          <w:i/>
          <w:color w:val="000000"/>
        </w:rPr>
        <w:t>(author list to confirm)</w:t>
      </w:r>
    </w:p>
    <w:p>
      <w:pPr>
        <w:spacing w:line="480" w:lineRule="auto"/>
        <w:ind w:hanging="360" w:left="360"/>
      </w:pPr>
      <w:r>
        <w:rPr>
          <w:rFonts w:ascii="Times New Roman" w:hAnsi="Times New Roman" w:cs="Times New Roman" w:eastAsia="Times New Roman"/>
          <w:color w:val="000000"/>
        </w:rPr>
        <w:t>39. Green JE, Berk M, Mohebbi M, Loughman A, McGuinness AJ, Castle D, et al. Feasibility, acceptability and safety of faecal microbiota transplantation in the treatment of major depressive disorder: a pilot randomized controlled trial. Can J Psychiatry. 2023. ~</w:t>
      </w:r>
    </w:p>
    <w:p>
      <w:pPr>
        <w:spacing w:line="480" w:lineRule="auto"/>
        <w:ind w:hanging="360" w:left="360"/>
      </w:pPr>
      <w:r>
        <w:rPr>
          <w:rFonts w:ascii="Times New Roman" w:hAnsi="Times New Roman" w:cs="Times New Roman" w:eastAsia="Times New Roman"/>
          <w:color w:val="000000"/>
        </w:rPr>
        <w:t>40. Doll JPK, Vázquez-Castellanos JF, Schaub AC, Schweinfurth N, Kettelhack C, Schneider E, et al. Fecal microbiota transplantation (FMT) as an adjunctive therapy for depression — case report. Front Psychiatry. 2022;13:815422.</w:t>
      </w:r>
    </w:p>
    <w:p>
      <w:pPr>
        <w:spacing w:line="480" w:lineRule="auto"/>
        <w:ind w:hanging="360" w:left="360"/>
      </w:pPr>
      <w:r>
        <w:rPr>
          <w:rFonts w:ascii="Times New Roman" w:hAnsi="Times New Roman" w:cs="Times New Roman" w:eastAsia="Times New Roman"/>
          <w:color w:val="000000"/>
        </w:rPr>
        <w:t>41. Kurokawa S, Kishimoto T, Mizuno S, Masaoka T, Naganuma M, Liang KC, et al. The effect of fecal microbiota transplantation on psychiatric symptoms among patients with irritable bowel syndrome, functional diarrhea and functional constipation: an open-label observational study. J Affect Disord. 2018;235:506–12.</w:t>
      </w:r>
    </w:p>
    <w:p>
      <w:pPr>
        <w:spacing w:line="480" w:lineRule="auto"/>
        <w:ind w:hanging="360" w:left="360"/>
      </w:pPr>
      <w:r>
        <w:rPr>
          <w:rFonts w:ascii="Times New Roman" w:hAnsi="Times New Roman" w:cs="Times New Roman" w:eastAsia="Times New Roman"/>
          <w:color w:val="000000"/>
        </w:rPr>
        <w:t>42. Fu J, Zhang Y, Gao J, Lan M, Zhang Z, Liang R, et al. Efficacy and safety of fecal microbiota transplantation on depressive and anxiety symptoms: a systematic review and meta-analysis. Front Psychiatry. 2026. ~</w:t>
      </w:r>
    </w:p>
    <w:p>
      <w:pPr>
        <w:spacing w:line="480" w:lineRule="auto"/>
        <w:ind w:hanging="360" w:left="360"/>
      </w:pPr>
      <w:r>
        <w:rPr>
          <w:rFonts w:ascii="Times New Roman" w:hAnsi="Times New Roman" w:cs="Times New Roman" w:eastAsia="Times New Roman"/>
          <w:color w:val="000000"/>
        </w:rPr>
        <w:t>43. Jacka FN, O'Neil A, Opie R, Itsiopoulos C, Cotton S, Mohebbi M, et al. A randomised controlled trial of dietary improvement for adults with major depression (the 'SMILES' trial). BMC Med. 2017;15:23.</w:t>
      </w:r>
    </w:p>
    <w:p>
      <w:pPr>
        <w:spacing w:line="480" w:lineRule="auto"/>
        <w:ind w:hanging="360" w:left="360"/>
      </w:pPr>
      <w:r>
        <w:rPr>
          <w:rFonts w:ascii="Times New Roman" w:hAnsi="Times New Roman" w:cs="Times New Roman" w:eastAsia="Times New Roman"/>
          <w:color w:val="000000"/>
        </w:rPr>
        <w:t>44. Firth J, Marx W, Dash S, Carney R, Teasdale SB, Solmi M, et al. The effects of dietary improvement on symptoms of depression and anxiety: a meta-analysis of randomized controlled trials. Psychosom Med. 2019;81(3):265–80.</w:t>
      </w:r>
    </w:p>
    <w:p>
      <w:pPr>
        <w:spacing w:line="480" w:lineRule="auto"/>
      </w:pPr>
      <w:r>
        <w:rPr>
          <w:rFonts w:ascii="Times New Roman" w:hAnsi="Times New Roman" w:cs="Times New Roman" w:eastAsia="Times New Roman"/>
          <w:b/>
          <w:color w:val="000000"/>
          <w:sz w:val="24"/>
        </w:rPr>
        <w:t>G. Reference reviews of the field</w:t>
      </w:r>
    </w:p>
    <w:p>
      <w:pPr>
        <w:spacing w:line="480" w:lineRule="auto"/>
        <w:ind w:hanging="360" w:left="360"/>
      </w:pPr>
      <w:r>
        <w:rPr>
          <w:rFonts w:ascii="Times New Roman" w:hAnsi="Times New Roman" w:cs="Times New Roman" w:eastAsia="Times New Roman"/>
          <w:color w:val="000000"/>
        </w:rPr>
        <w:t>45. Cryan JF, O'Riordan KJ, Cowan CSM, Sandhu KV, Bastiaanssen TFS, Boehme M, et al. The microbiota–gut–brain axis. Physiol Rev. 2019;99(4):1877–2013.</w:t>
      </w:r>
    </w:p>
    <w:p>
      <w:pPr>
        <w:spacing w:line="480" w:lineRule="auto"/>
        <w:ind w:hanging="360" w:left="360"/>
      </w:pPr>
      <w:r>
        <w:rPr>
          <w:rFonts w:ascii="Times New Roman" w:hAnsi="Times New Roman" w:cs="Times New Roman" w:eastAsia="Times New Roman"/>
          <w:color w:val="000000"/>
        </w:rPr>
        <w:t>46. Collins SM, Surette M, Bercik P. The interplay between the intestinal microbiota and the brain. Nat Rev Microbiol. 2012;10(11):735–42.</w:t>
      </w:r>
    </w:p>
    <w:p>
      <w:pPr>
        <w:spacing w:line="480" w:lineRule="auto"/>
        <w:ind w:hanging="360" w:left="360"/>
      </w:pPr>
      <w:r>
        <w:rPr>
          <w:rFonts w:ascii="Times New Roman" w:hAnsi="Times New Roman" w:cs="Times New Roman" w:eastAsia="Times New Roman"/>
          <w:color w:val="000000"/>
        </w:rPr>
        <w:t>47. Foster JA, Rinaman L, Cryan JF. Stress and the gut–brain axis: regulation by the microbiome. Neurobiol Stress. 2017;7:124–36.</w:t>
      </w:r>
    </w:p>
    <w:p>
      <w:pPr>
        <w:spacing w:line="480" w:lineRule="auto"/>
        <w:ind w:hanging="360" w:left="360"/>
      </w:pPr>
      <w:r>
        <w:rPr>
          <w:rFonts w:ascii="Times New Roman" w:hAnsi="Times New Roman" w:cs="Times New Roman" w:eastAsia="Times New Roman"/>
          <w:color w:val="000000"/>
        </w:rPr>
        <w:t>48. Mayer EA, Nance K, Chen S. The gut–brain axis. Annu Rev Med. 2022;73:439–53.</w:t>
      </w:r>
    </w:p>
    <w:p>
      <w:pPr>
        <w:spacing w:line="480" w:lineRule="auto"/>
        <w:ind w:hanging="360" w:left="360"/>
      </w:pPr>
      <w:r>
        <w:rPr>
          <w:rFonts w:ascii="Times New Roman" w:hAnsi="Times New Roman" w:cs="Times New Roman" w:eastAsia="Times New Roman"/>
          <w:color w:val="000000"/>
        </w:rPr>
        <w:t>49. Margolis KG, Cryan JF, Mayer EA. The microbiota–gut–brain axis: from motility to mood. Gastroenterology. 2021;160(5):1486–501.</w:t>
      </w:r>
    </w:p>
    <w:p>
      <w:pPr>
        <w:spacing w:line="480" w:lineRule="auto"/>
        <w:ind w:hanging="360" w:left="360"/>
      </w:pPr>
      <w:r>
        <w:rPr>
          <w:rFonts w:ascii="Times New Roman" w:hAnsi="Times New Roman" w:cs="Times New Roman" w:eastAsia="Times New Roman"/>
          <w:color w:val="000000"/>
        </w:rPr>
        <w:t>50. Dinan TG, Stanton C, Cryan JF. Psychobiotics: a novel class of psychotropic. Biol Psychiatry. 2013;74(10):720–6.</w:t>
      </w:r>
    </w:p>
    <w:p>
      <w:pPr>
        <w:spacing w:line="480" w:lineRule="auto"/>
        <w:ind w:hanging="360" w:left="360"/>
      </w:pPr>
      <w:r>
        <w:rPr>
          <w:rFonts w:ascii="Times New Roman" w:hAnsi="Times New Roman" w:cs="Times New Roman" w:eastAsia="Times New Roman"/>
          <w:color w:val="000000"/>
        </w:rPr>
        <w:t>51. Sarkar A, Lehto SM, Harty S, Dinan TG, Cryan JF, Burnet PWJ. Psychobiotics and the manipulation of bacteria–gut–brain signals. Trends Neurosci. 2016;39(11):763–81.</w:t>
      </w:r>
    </w:p>
    <w:p>
      <w:pPr>
        <w:spacing w:line="480" w:lineRule="auto"/>
      </w:pPr>
      <w:r>
        <w:rPr>
          <w:rFonts w:ascii="Times New Roman" w:hAnsi="Times New Roman" w:cs="Times New Roman" w:eastAsia="Times New Roman"/>
          <w:b/>
          <w:color w:val="000000"/>
          <w:sz w:val="24"/>
        </w:rPr>
        <w:t>H. Humoral mediators</w:t>
      </w:r>
    </w:p>
    <w:p>
      <w:pPr>
        <w:spacing w:line="480" w:lineRule="auto"/>
        <w:ind w:hanging="360" w:left="360"/>
      </w:pPr>
      <w:r>
        <w:rPr>
          <w:rFonts w:ascii="Times New Roman" w:hAnsi="Times New Roman" w:cs="Times New Roman" w:eastAsia="Times New Roman"/>
          <w:color w:val="000000"/>
        </w:rPr>
        <w:t>52. Erny D, Hrabě de Angelis AL, Jaitin D, Wieghofer P, Staszewski O, David E, et al. Host microbiota constantly control maturation and function of microglia in the CNS. Nat Neurosci. 2015;18(7):965–77.</w:t>
      </w:r>
    </w:p>
    <w:p>
      <w:pPr>
        <w:spacing w:line="480" w:lineRule="auto"/>
        <w:ind w:hanging="360" w:left="360"/>
      </w:pPr>
      <w:r>
        <w:rPr>
          <w:rFonts w:ascii="Times New Roman" w:hAnsi="Times New Roman" w:cs="Times New Roman" w:eastAsia="Times New Roman"/>
          <w:color w:val="000000"/>
        </w:rPr>
        <w:t>53. Yano JM, Yu K, Donaldson GP, Shastri GG, Ann P, Ma L, et al. Indigenous bacteria from the gut microbiota regulate host serotonin biosynthesis. Cell. 2015;161(2):264–76.</w:t>
      </w:r>
    </w:p>
    <w:p>
      <w:pPr>
        <w:spacing w:line="480" w:lineRule="auto"/>
        <w:ind w:hanging="360" w:left="360"/>
      </w:pPr>
      <w:r>
        <w:rPr>
          <w:rFonts w:ascii="Times New Roman" w:hAnsi="Times New Roman" w:cs="Times New Roman" w:eastAsia="Times New Roman"/>
          <w:color w:val="000000"/>
        </w:rPr>
        <w:t>54. Dalile B, Van Oudenhove L, Vervliet B, Verbeke K. The role of short-chain fatty acids in microbiota–gut–brain communication. Nat Rev Gastroenterol Hepatol. 2019;16(8):461–78.</w:t>
      </w:r>
    </w:p>
    <w:p>
      <w:pPr>
        <w:spacing w:line="480" w:lineRule="auto"/>
        <w:ind w:hanging="360" w:left="360"/>
      </w:pPr>
      <w:r>
        <w:rPr>
          <w:rFonts w:ascii="Times New Roman" w:hAnsi="Times New Roman" w:cs="Times New Roman" w:eastAsia="Times New Roman"/>
          <w:color w:val="000000"/>
        </w:rPr>
        <w:t>55. Silva YP, Bernardi A, Frozza RL. The role of short-chain fatty acids from gut microbiota in gut–brain communication. Front Endocrinol. 2020;11:25.</w:t>
      </w:r>
    </w:p>
    <w:p>
      <w:pPr>
        <w:spacing w:line="480" w:lineRule="auto"/>
        <w:ind w:hanging="360" w:left="360"/>
      </w:pPr>
      <w:r>
        <w:rPr>
          <w:rFonts w:ascii="Times New Roman" w:hAnsi="Times New Roman" w:cs="Times New Roman" w:eastAsia="Times New Roman"/>
          <w:color w:val="000000"/>
        </w:rPr>
        <w:t>56. Agus A, Planchais J, Sokol H. Gut microbiota regulation of tryptophan metabolism in health and disease. Cell Host Microbe. 2018;23(6):716–24.</w:t>
      </w:r>
    </w:p>
    <w:p>
      <w:pPr>
        <w:spacing w:line="480" w:lineRule="auto"/>
        <w:ind w:hanging="360" w:left="360"/>
      </w:pPr>
      <w:r>
        <w:rPr>
          <w:rFonts w:ascii="Times New Roman" w:hAnsi="Times New Roman" w:cs="Times New Roman" w:eastAsia="Times New Roman"/>
          <w:color w:val="000000"/>
        </w:rPr>
        <w:t>57. O'Mahony SM, Clarke G, Borre YE, Dinan TG, Cryan JF. Serotonin, tryptophan metabolism and the brain–gut–microbiome axis. Behav Brain Res. 2015;277:32–48.</w:t>
      </w:r>
    </w:p>
    <w:p>
      <w:pPr>
        <w:spacing w:line="480" w:lineRule="auto"/>
        <w:ind w:hanging="360" w:left="360"/>
      </w:pPr>
      <w:r>
        <w:rPr>
          <w:rFonts w:ascii="Times New Roman" w:hAnsi="Times New Roman" w:cs="Times New Roman" w:eastAsia="Times New Roman"/>
          <w:color w:val="000000"/>
        </w:rPr>
        <w:t>58. Camilleri M. Leaky gut: mechanisms, measurement and clinical implications in humans. Gut. 2019;68(8):1516–26.</w:t>
      </w:r>
    </w:p>
    <w:p>
      <w:pPr>
        <w:spacing w:line="480" w:lineRule="auto"/>
        <w:ind w:hanging="360" w:left="360"/>
      </w:pPr>
      <w:r>
        <w:rPr>
          <w:rFonts w:ascii="Times New Roman" w:hAnsi="Times New Roman" w:cs="Times New Roman" w:eastAsia="Times New Roman"/>
          <w:color w:val="000000"/>
        </w:rPr>
        <w:t>59. Fung TC, Olson CA, Hsiao EY. Interactions between the microbiota, immune and nervous systems in health and disease. Nat Neurosci. 2017;20(2):145–55.</w:t>
      </w:r>
    </w:p>
    <w:p>
      <w:pPr>
        <w:spacing w:line="480" w:lineRule="auto"/>
        <w:ind w:hanging="360" w:left="360"/>
      </w:pPr>
      <w:r>
        <w:rPr>
          <w:rFonts w:ascii="Times New Roman" w:hAnsi="Times New Roman" w:cs="Times New Roman" w:eastAsia="Times New Roman"/>
          <w:color w:val="000000"/>
        </w:rPr>
        <w:t>60. Veiga-Fernandes H, Pachnis V. Neuroimmune regulation during intestinal development and homeostasis. Nat Immunol. 2017;18(2):116–22.</w:t>
      </w:r>
    </w:p>
    <w:p>
      <w:pPr>
        <w:spacing w:line="480" w:lineRule="auto"/>
      </w:pPr>
      <w:r>
        <w:rPr>
          <w:rFonts w:ascii="Times New Roman" w:hAnsi="Times New Roman" w:cs="Times New Roman" w:eastAsia="Times New Roman"/>
          <w:b/>
          <w:color w:val="000000"/>
          <w:sz w:val="24"/>
        </w:rPr>
        <w:t>I. Neuroepithelial transduction</w:t>
      </w:r>
    </w:p>
    <w:p>
      <w:pPr>
        <w:spacing w:line="480" w:lineRule="auto"/>
        <w:ind w:hanging="360" w:left="360"/>
      </w:pPr>
      <w:r>
        <w:rPr>
          <w:rFonts w:ascii="Times New Roman" w:hAnsi="Times New Roman" w:cs="Times New Roman" w:eastAsia="Times New Roman"/>
          <w:color w:val="000000"/>
        </w:rPr>
        <w:t>61. Bohórquez DV, Shahid RA, Erdmann A, Kreger AM, Wang Y, Calakos N, et al. Neuroepithelial circuit formed by innervation of sensory enteroendocrine cells. J Clin Invest. 2015;125(2):782–6.</w:t>
      </w:r>
    </w:p>
    <w:p>
      <w:pPr>
        <w:spacing w:line="480" w:lineRule="auto"/>
        <w:ind w:hanging="360" w:left="360"/>
      </w:pPr>
      <w:r>
        <w:rPr>
          <w:rFonts w:ascii="Times New Roman" w:hAnsi="Times New Roman" w:cs="Times New Roman" w:eastAsia="Times New Roman"/>
          <w:color w:val="000000"/>
        </w:rPr>
        <w:t>62. Kaelberer MM, Buchanan KL, Klein ME, Barth BB, Montoya MM, Shen X, Bohórquez DV. A gut–brain neural circuit for nutrient sensory transduction. Science. 2018;361(6408):eaat5236.</w:t>
      </w:r>
    </w:p>
    <w:p>
      <w:pPr>
        <w:spacing w:line="480" w:lineRule="auto"/>
        <w:ind w:hanging="360" w:left="360"/>
      </w:pPr>
      <w:r>
        <w:rPr>
          <w:rFonts w:ascii="Times New Roman" w:hAnsi="Times New Roman" w:cs="Times New Roman" w:eastAsia="Times New Roman"/>
          <w:color w:val="000000"/>
        </w:rPr>
        <w:t>63. Buchanan KL, Rupprecht LE, Kaelberer MM, Sahasrabudhe A, Klein ME, Villalobos JA, et al. The preference for sugar over sweetener depends on a gut sensor cell. Nat Neurosci. 2022;25(2):191–200.</w:t>
      </w:r>
    </w:p>
    <w:p>
      <w:pPr>
        <w:spacing w:line="480" w:lineRule="auto"/>
        <w:ind w:hanging="360" w:left="360"/>
      </w:pPr>
      <w:r>
        <w:rPr>
          <w:rFonts w:ascii="Times New Roman" w:hAnsi="Times New Roman" w:cs="Times New Roman" w:eastAsia="Times New Roman"/>
          <w:color w:val="000000"/>
        </w:rPr>
        <w:t>64. Liu WW, Reicher N, Alway E, Rupprecht LE, Weng P, Schaefgen C, et al. A gut sense for a microbial pattern regulates feeding. Nature. 2025;645(8081). doi:10.1038/s41586-025-09301-7</w:t>
      </w:r>
    </w:p>
    <w:p>
      <w:pPr>
        <w:spacing w:line="480" w:lineRule="auto"/>
        <w:ind w:hanging="360" w:left="360"/>
      </w:pPr>
      <w:r>
        <w:rPr>
          <w:rFonts w:ascii="Times New Roman" w:hAnsi="Times New Roman" w:cs="Times New Roman" w:eastAsia="Times New Roman"/>
          <w:color w:val="000000"/>
        </w:rPr>
        <w:t>65. Bellono NW, Bayrer JR, Leitch DB, Castro J, Zhang C, O'Donnell TA, et al. Enterochromaffin cells are gut chemosensors that couple to sensory neural pathways. Cell. 2017;170(1):185–98.</w:t>
      </w:r>
    </w:p>
    <w:p>
      <w:pPr>
        <w:spacing w:line="480" w:lineRule="auto"/>
        <w:ind w:hanging="360" w:left="360"/>
      </w:pPr>
      <w:r>
        <w:rPr>
          <w:rFonts w:ascii="Times New Roman" w:hAnsi="Times New Roman" w:cs="Times New Roman" w:eastAsia="Times New Roman"/>
          <w:color w:val="000000"/>
        </w:rPr>
        <w:t>66. Alcaino C, Knutson KR, Treichel AJ, Yildiz G, Strege PR, Linden DR, et al. A population of gut epithelial enterochromaffin cells is mechanosensitive and requires Piezo2 to convert force into serotonin release. Proc Natl Acad Sci U S A. 2018;115(32):E7632–41.</w:t>
      </w:r>
    </w:p>
    <w:p>
      <w:pPr>
        <w:spacing w:line="480" w:lineRule="auto"/>
        <w:ind w:hanging="360" w:left="360"/>
      </w:pPr>
      <w:r>
        <w:rPr>
          <w:rFonts w:ascii="Times New Roman" w:hAnsi="Times New Roman" w:cs="Times New Roman" w:eastAsia="Times New Roman"/>
          <w:color w:val="000000"/>
        </w:rPr>
        <w:t>67. Bayrer JR, Castro J, Venkataraman A, Touhara KK, Rossen ND, Morrie RD, et al. Gut enterochromaffin cells drive visceral pain and anxiety. Nature. 2023;616(7955):137–42.</w:t>
      </w:r>
    </w:p>
    <w:p>
      <w:pPr>
        <w:spacing w:line="480" w:lineRule="auto"/>
        <w:ind w:hanging="360" w:left="360"/>
      </w:pPr>
      <w:r>
        <w:rPr>
          <w:rFonts w:ascii="Times New Roman" w:hAnsi="Times New Roman" w:cs="Times New Roman" w:eastAsia="Times New Roman"/>
          <w:color w:val="000000"/>
        </w:rPr>
        <w:t>68. Beumer J, Geurts MH, Geurts V, Andersson-Rolf A, Akkerman N, Völlmy F, et al. Description and functional validation of human enteroendocrine cell sensors. Science. 2024;386(6720):341–8.</w:t>
      </w:r>
    </w:p>
    <w:p>
      <w:pPr>
        <w:spacing w:line="480" w:lineRule="auto"/>
        <w:ind w:hanging="360" w:left="360"/>
      </w:pPr>
      <w:r>
        <w:rPr>
          <w:rFonts w:ascii="Times New Roman" w:hAnsi="Times New Roman" w:cs="Times New Roman" w:eastAsia="Times New Roman"/>
          <w:color w:val="000000"/>
        </w:rPr>
        <w:t>69. Gribble FM, Reimann F. Function and mechanisms of enteroendocrine cells and gut hormones in metabolism. Nat Rev Endocrinol. 2019;15(4):226–37.</w:t>
      </w:r>
    </w:p>
    <w:p>
      <w:pPr>
        <w:spacing w:line="480" w:lineRule="auto"/>
        <w:ind w:hanging="360" w:left="360"/>
      </w:pPr>
      <w:r>
        <w:rPr>
          <w:rFonts w:ascii="Times New Roman" w:hAnsi="Times New Roman" w:cs="Times New Roman" w:eastAsia="Times New Roman"/>
          <w:color w:val="000000"/>
        </w:rPr>
        <w:t>70. Margolskee RF, Dyer J, Kokrashvili Z, Salmon KS, Ilegems E, Daly K, et al. T1R3 and gustducin in gut sense sugars to regulate expression of Na+-glucose cotransporter 1. Proc Natl Acad Sci U S A. 2007;104(38):15075–80.</w:t>
      </w:r>
    </w:p>
    <w:p>
      <w:pPr>
        <w:spacing w:line="480" w:lineRule="auto"/>
        <w:ind w:hanging="360" w:left="360"/>
      </w:pPr>
      <w:r>
        <w:rPr>
          <w:rFonts w:ascii="Times New Roman" w:hAnsi="Times New Roman" w:cs="Times New Roman" w:eastAsia="Times New Roman"/>
          <w:color w:val="000000"/>
        </w:rPr>
        <w:t>71. Depoortere I. Taste receptors of the gut: emerging roles in health and disease. Gut. 2014;63(1):179–90.</w:t>
      </w:r>
    </w:p>
    <w:p>
      <w:pPr>
        <w:spacing w:line="480" w:lineRule="auto"/>
      </w:pPr>
      <w:r>
        <w:rPr>
          <w:rFonts w:ascii="Times New Roman" w:hAnsi="Times New Roman" w:cs="Times New Roman" w:eastAsia="Times New Roman"/>
          <w:b/>
          <w:color w:val="000000"/>
          <w:sz w:val="24"/>
        </w:rPr>
        <w:t>J. Vagal and spinal sensory organisation</w:t>
      </w:r>
    </w:p>
    <w:p>
      <w:pPr>
        <w:spacing w:line="480" w:lineRule="auto"/>
        <w:ind w:hanging="360" w:left="360"/>
      </w:pPr>
      <w:r>
        <w:rPr>
          <w:rFonts w:ascii="Times New Roman" w:hAnsi="Times New Roman" w:cs="Times New Roman" w:eastAsia="Times New Roman"/>
          <w:color w:val="000000"/>
        </w:rPr>
        <w:t>72. Berthoud HR, Neuhuber WL. Functional and chemical anatomy of the afferent vagal system. Auton Neurosci. 2000;85(1–3):1–17.</w:t>
      </w:r>
    </w:p>
    <w:p>
      <w:pPr>
        <w:spacing w:line="480" w:lineRule="auto"/>
        <w:ind w:hanging="360" w:left="360"/>
      </w:pPr>
      <w:r>
        <w:rPr>
          <w:rFonts w:ascii="Times New Roman" w:hAnsi="Times New Roman" w:cs="Times New Roman" w:eastAsia="Times New Roman"/>
          <w:color w:val="000000"/>
        </w:rPr>
        <w:t>73. Williams EK, Chang RB, Strochlic DE, Umans BD, Lowell BB, Liberles SD. Sensory neurons that detect stretch and nutrients in the digestive system. Cell. 2016;166(1):209–21.</w:t>
      </w:r>
    </w:p>
    <w:p>
      <w:pPr>
        <w:spacing w:line="480" w:lineRule="auto"/>
        <w:ind w:hanging="360" w:left="360"/>
      </w:pPr>
      <w:r>
        <w:rPr>
          <w:rFonts w:ascii="Times New Roman" w:hAnsi="Times New Roman" w:cs="Times New Roman" w:eastAsia="Times New Roman"/>
          <w:color w:val="000000"/>
        </w:rPr>
        <w:t>74. Bai L, Mesgarzadeh S, Ramesh KS, Huey EL, Liu Y, Gray LA, et al. Genetic identification of vagal sensory neurons that control feeding. Cell. 2019;179(5):1129–43.</w:t>
      </w:r>
    </w:p>
    <w:p>
      <w:pPr>
        <w:spacing w:line="480" w:lineRule="auto"/>
        <w:ind w:hanging="360" w:left="360"/>
      </w:pPr>
      <w:r>
        <w:rPr>
          <w:rFonts w:ascii="Times New Roman" w:hAnsi="Times New Roman" w:cs="Times New Roman" w:eastAsia="Times New Roman"/>
          <w:color w:val="000000"/>
        </w:rPr>
        <w:t>75. Kupari J, Häring M, Agirre E, Castelo-Branco G, Ernfors P. An atlas of vagal sensory neurons and their molecular specialization. Cell Rep. 2019;27(8):2508–23.</w:t>
      </w:r>
    </w:p>
    <w:p>
      <w:pPr>
        <w:spacing w:line="480" w:lineRule="auto"/>
        <w:ind w:hanging="360" w:left="360"/>
      </w:pPr>
      <w:r>
        <w:rPr>
          <w:rFonts w:ascii="Times New Roman" w:hAnsi="Times New Roman" w:cs="Times New Roman" w:eastAsia="Times New Roman"/>
          <w:color w:val="000000"/>
        </w:rPr>
        <w:t>76. Hockley JRF, Taylor TS, Callejo G, Wilbrey AL, Gutteridge A, Bach K, et al. Single-cell RNAseq reveals seven classes of colonic sensory neuron. Gut. 2019;68(4):633–44.</w:t>
      </w:r>
    </w:p>
    <w:p>
      <w:pPr>
        <w:spacing w:line="480" w:lineRule="auto"/>
        <w:ind w:hanging="360" w:left="360"/>
      </w:pPr>
      <w:r>
        <w:rPr>
          <w:rFonts w:ascii="Times New Roman" w:hAnsi="Times New Roman" w:cs="Times New Roman" w:eastAsia="Times New Roman"/>
          <w:color w:val="000000"/>
        </w:rPr>
        <w:t>77. Muller PA, Schneeberger M, Matheis F, Wang P, Kerner Z, Ilanges A, et al. Microbiota modulate sympathetic neurons via a gut–brain circuit. Nature. 2020;583(7816):441–6.</w:t>
      </w:r>
    </w:p>
    <w:p>
      <w:pPr>
        <w:spacing w:line="480" w:lineRule="auto"/>
        <w:ind w:hanging="360" w:left="360"/>
      </w:pPr>
      <w:r>
        <w:rPr>
          <w:rFonts w:ascii="Times New Roman" w:hAnsi="Times New Roman" w:cs="Times New Roman" w:eastAsia="Times New Roman"/>
          <w:color w:val="000000"/>
        </w:rPr>
        <w:t>78. Bonaz B, Sinniger V, Pellissier S. Anti-inflammatory properties of the vagus nerve: potential therapeutic implications of vagus nerve stimulation. J Physiol. 2016;594(20):5781–90.</w:t>
      </w:r>
    </w:p>
    <w:p>
      <w:pPr>
        <w:spacing w:line="480" w:lineRule="auto"/>
        <w:ind w:hanging="360" w:left="360"/>
      </w:pPr>
      <w:r>
        <w:rPr>
          <w:rFonts w:ascii="Times New Roman" w:hAnsi="Times New Roman" w:cs="Times New Roman" w:eastAsia="Times New Roman"/>
          <w:color w:val="000000"/>
        </w:rPr>
        <w:t>79. Breit S, Kupferberg A, Rogler G, Hasler G. Vagus nerve as modulator of the brain–gut axis in psychiatric and inflammatory disorders. Front Psychiatry. 2018;9:44.</w:t>
      </w:r>
    </w:p>
    <w:p>
      <w:pPr>
        <w:spacing w:line="480" w:lineRule="auto"/>
        <w:ind w:hanging="360" w:left="360"/>
      </w:pPr>
      <w:r>
        <w:rPr>
          <w:rFonts w:ascii="Times New Roman" w:hAnsi="Times New Roman" w:cs="Times New Roman" w:eastAsia="Times New Roman"/>
          <w:color w:val="000000"/>
        </w:rPr>
        <w:t>80. Krieger JP, Arnold M, Pettersen KG, Lossel P, Langhans W, Lee SJ. Knockdown of GLP-1 receptors in vagal afferents affects normal food intake and glycemia. Diabetes. 2016;65(1):34–43.</w:t>
      </w:r>
    </w:p>
    <w:p>
      <w:pPr>
        <w:spacing w:line="480" w:lineRule="auto"/>
        <w:ind w:hanging="360" w:left="360"/>
      </w:pPr>
      <w:r>
        <w:rPr>
          <w:rFonts w:ascii="Times New Roman" w:hAnsi="Times New Roman" w:cs="Times New Roman" w:eastAsia="Times New Roman"/>
          <w:color w:val="000000"/>
        </w:rPr>
        <w:t>81. Drucker DJ. Mechanisms of action and therapeutic application of glucagon-like peptide-1. Cell Metab. 2018;27(4):740–56.</w:t>
      </w:r>
    </w:p>
    <w:p>
      <w:pPr>
        <w:spacing w:line="480" w:lineRule="auto"/>
        <w:ind w:hanging="360" w:left="360"/>
      </w:pPr>
      <w:r>
        <w:rPr>
          <w:rFonts w:ascii="Times New Roman" w:hAnsi="Times New Roman" w:cs="Times New Roman" w:eastAsia="Times New Roman"/>
          <w:color w:val="000000"/>
        </w:rPr>
        <w:t>82. Huang KP, Acosta AA, Ghidewon MY, McKnight AD, Almeida MS, Nyema NT, et al. Dissociable hindbrain GLP1R circuits for satiety and aversion. Nature. 2024;632(8025):585–93.</w:t>
      </w:r>
    </w:p>
    <w:p>
      <w:pPr>
        <w:spacing w:line="480" w:lineRule="auto"/>
      </w:pPr>
      <w:r>
        <w:rPr>
          <w:rFonts w:ascii="Times New Roman" w:hAnsi="Times New Roman" w:cs="Times New Roman" w:eastAsia="Times New Roman"/>
          <w:b/>
          <w:color w:val="000000"/>
          <w:sz w:val="24"/>
        </w:rPr>
        <w:t>K. Enteric nervous system and glia</w:t>
      </w:r>
    </w:p>
    <w:p>
      <w:pPr>
        <w:spacing w:line="480" w:lineRule="auto"/>
        <w:ind w:hanging="360" w:left="360"/>
      </w:pPr>
      <w:r>
        <w:rPr>
          <w:rFonts w:ascii="Times New Roman" w:hAnsi="Times New Roman" w:cs="Times New Roman" w:eastAsia="Times New Roman"/>
          <w:color w:val="000000"/>
        </w:rPr>
        <w:t>83. Furness JB. The enteric nervous system and neurogastroenterology. Nat Rev Gastroenterol Hepatol. 2012;9(5):286–94.</w:t>
      </w:r>
    </w:p>
    <w:p>
      <w:pPr>
        <w:spacing w:line="480" w:lineRule="auto"/>
        <w:ind w:hanging="360" w:left="360"/>
      </w:pPr>
      <w:r>
        <w:rPr>
          <w:rFonts w:ascii="Times New Roman" w:hAnsi="Times New Roman" w:cs="Times New Roman" w:eastAsia="Times New Roman"/>
          <w:color w:val="000000"/>
        </w:rPr>
        <w:t>84. Spencer NJ, Hu H. Enteric nervous system: sensory transduction, neural circuits and gastrointestinal motility. Nat Rev Gastroenterol Hepatol. 2020;17(6):338–51.</w:t>
      </w:r>
    </w:p>
    <w:p>
      <w:pPr>
        <w:spacing w:line="480" w:lineRule="auto"/>
        <w:ind w:hanging="360" w:left="360"/>
      </w:pPr>
      <w:r>
        <w:rPr>
          <w:rFonts w:ascii="Times New Roman" w:hAnsi="Times New Roman" w:cs="Times New Roman" w:eastAsia="Times New Roman"/>
          <w:color w:val="000000"/>
        </w:rPr>
        <w:t>85. Rao M, Gershon MD. The bowel and beyond: the enteric nervous system in neurological disorders. Nat Rev Gastroenterol Hepatol. 2016;13(9):517–28.</w:t>
      </w:r>
    </w:p>
    <w:p>
      <w:pPr>
        <w:spacing w:line="480" w:lineRule="auto"/>
        <w:ind w:hanging="360" w:left="360"/>
      </w:pPr>
      <w:r>
        <w:rPr>
          <w:rFonts w:ascii="Times New Roman" w:hAnsi="Times New Roman" w:cs="Times New Roman" w:eastAsia="Times New Roman"/>
          <w:color w:val="000000"/>
        </w:rPr>
        <w:t>86. Seguella L, Gulbransen BD. Enteric glial biology, intercellular signalling and roles in gastrointestinal disease. Nat Rev Gastroenterol Hepatol. 2021;18(8):571–87.</w:t>
      </w:r>
    </w:p>
    <w:p>
      <w:pPr>
        <w:spacing w:line="480" w:lineRule="auto"/>
        <w:ind w:hanging="360" w:left="360"/>
      </w:pPr>
      <w:r>
        <w:rPr>
          <w:rFonts w:ascii="Times New Roman" w:hAnsi="Times New Roman" w:cs="Times New Roman" w:eastAsia="Times New Roman"/>
          <w:color w:val="000000"/>
        </w:rPr>
        <w:t>87. Brierley SM, Linden DR. Neuroplasticity and dysfunction after gastrointestinal inflammation. Nat Rev Gastroenterol Hepatol. 2014;11(10):611–27.</w:t>
      </w:r>
    </w:p>
    <w:p>
      <w:pPr>
        <w:spacing w:line="480" w:lineRule="auto"/>
      </w:pPr>
      <w:r>
        <w:rPr>
          <w:rFonts w:ascii="Times New Roman" w:hAnsi="Times New Roman" w:cs="Times New Roman" w:eastAsia="Times New Roman"/>
          <w:b/>
          <w:color w:val="000000"/>
          <w:sz w:val="24"/>
        </w:rPr>
        <w:t>L. Methods for circuit dissection</w:t>
      </w:r>
    </w:p>
    <w:p>
      <w:pPr>
        <w:spacing w:line="480" w:lineRule="auto"/>
        <w:ind w:hanging="360" w:left="360"/>
      </w:pPr>
      <w:r>
        <w:rPr>
          <w:rFonts w:ascii="Times New Roman" w:hAnsi="Times New Roman" w:cs="Times New Roman" w:eastAsia="Times New Roman"/>
          <w:color w:val="000000"/>
        </w:rPr>
        <w:t>88. Wickersham IR, Lyon DC, Barnard RJH, Mori T, Finke S, Conzelmann KK, et al. Monosynaptic restriction of transsynaptic tracing from single, genetically targeted neurons. Neuron. 2007;53(5):639–47.</w:t>
      </w:r>
    </w:p>
    <w:p>
      <w:pPr>
        <w:spacing w:line="480" w:lineRule="auto"/>
        <w:ind w:hanging="360" w:left="360"/>
      </w:pPr>
      <w:r>
        <w:rPr>
          <w:rFonts w:ascii="Times New Roman" w:hAnsi="Times New Roman" w:cs="Times New Roman" w:eastAsia="Times New Roman"/>
          <w:color w:val="000000"/>
        </w:rPr>
        <w:t>89. Boesmans W, Hao MM, Vanden Berghe P. Optogenetic and chemogenetic techniques for neurogastroenterology. Nat Rev Gastroenterol Hepatol. 2018;15(1):21–38.</w:t>
      </w:r>
    </w:p>
    <w:p>
      <w:pPr>
        <w:spacing w:line="480" w:lineRule="auto"/>
      </w:pPr>
      <w:r>
        <w:rPr>
          <w:rFonts w:ascii="Times New Roman" w:hAnsi="Times New Roman" w:cs="Times New Roman" w:eastAsia="Times New Roman"/>
          <w:b/>
          <w:color w:val="000000"/>
          <w:sz w:val="24"/>
        </w:rPr>
        <w:t>M. Interoception</w:t>
      </w:r>
    </w:p>
    <w:p>
      <w:pPr>
        <w:spacing w:line="480" w:lineRule="auto"/>
        <w:ind w:hanging="360" w:left="360"/>
      </w:pPr>
      <w:r>
        <w:rPr>
          <w:rFonts w:ascii="Times New Roman" w:hAnsi="Times New Roman" w:cs="Times New Roman" w:eastAsia="Times New Roman"/>
          <w:color w:val="000000"/>
        </w:rPr>
        <w:t>90. Craig AD. How do you feel? Interoception: the sense of the physiological condition of the body. Nat Rev Neurosci. 2002;3(8):655–66.</w:t>
      </w:r>
    </w:p>
    <w:p>
      <w:pPr>
        <w:spacing w:line="480" w:lineRule="auto"/>
        <w:ind w:hanging="360" w:left="360"/>
      </w:pPr>
      <w:r>
        <w:rPr>
          <w:rFonts w:ascii="Times New Roman" w:hAnsi="Times New Roman" w:cs="Times New Roman" w:eastAsia="Times New Roman"/>
          <w:color w:val="000000"/>
        </w:rPr>
        <w:t>91. Critchley HD, Harrison NA. Visceral influences on brain and behavior. Neuron. 2013;77(4):624–38.</w:t>
      </w:r>
    </w:p>
    <w:p>
      <w:pPr>
        <w:spacing w:line="480" w:lineRule="auto"/>
      </w:pPr>
      <w:r>
        <w:rPr>
          <w:rFonts w:ascii="Times New Roman" w:hAnsi="Times New Roman" w:cs="Times New Roman" w:eastAsia="Times New Roman"/>
          <w:b/>
          <w:color w:val="000000"/>
          <w:sz w:val="24"/>
        </w:rPr>
        <w:t>N. Parkinson's disease as a worked example</w:t>
      </w:r>
    </w:p>
    <w:p>
      <w:pPr>
        <w:spacing w:line="480" w:lineRule="auto"/>
        <w:ind w:hanging="360" w:left="360"/>
      </w:pPr>
      <w:r>
        <w:rPr>
          <w:rFonts w:ascii="Times New Roman" w:hAnsi="Times New Roman" w:cs="Times New Roman" w:eastAsia="Times New Roman"/>
          <w:color w:val="000000"/>
        </w:rPr>
        <w:t>92. Braak H, Del Tredici K, Rüb U, de Vos RAI, Jansen Steur ENH, Braak E. Staging of brain pathology related to sporadic Parkinson's disease. Neurobiol Aging. 2003;24(2):197–211.</w:t>
      </w:r>
    </w:p>
    <w:p>
      <w:pPr>
        <w:spacing w:line="480" w:lineRule="auto"/>
        <w:ind w:hanging="360" w:left="360"/>
      </w:pPr>
      <w:r>
        <w:rPr>
          <w:rFonts w:ascii="Times New Roman" w:hAnsi="Times New Roman" w:cs="Times New Roman" w:eastAsia="Times New Roman"/>
          <w:color w:val="000000"/>
        </w:rPr>
        <w:t>93. Borghammer P, Van Den Berge N. Brain-first versus gut-first Parkinson's disease: a hypothesis. J Parkinsons Dis. 2019;9(s2):S281–95.</w:t>
      </w:r>
    </w:p>
    <w:p>
      <w:pPr>
        <w:spacing w:line="480" w:lineRule="auto"/>
        <w:ind w:hanging="360" w:left="360"/>
      </w:pPr>
      <w:r>
        <w:rPr>
          <w:rFonts w:ascii="Times New Roman" w:hAnsi="Times New Roman" w:cs="Times New Roman" w:eastAsia="Times New Roman"/>
          <w:color w:val="000000"/>
        </w:rPr>
        <w:t>94. Kim S, Kwon SH, Kam TI, Panicker N, Karuppagounder SS, Lee S, et al. Transneuronal propagation of pathologic α-synuclein from the gut to the brain models Parkinson's disease. Neuron. 2019;103(4):627–41.</w:t>
      </w:r>
    </w:p>
    <w:p>
      <w:pPr>
        <w:spacing w:line="480" w:lineRule="auto"/>
        <w:ind w:hanging="360" w:left="360"/>
      </w:pPr>
      <w:r>
        <w:rPr>
          <w:rFonts w:ascii="Times New Roman" w:hAnsi="Times New Roman" w:cs="Times New Roman" w:eastAsia="Times New Roman"/>
          <w:color w:val="000000"/>
        </w:rPr>
        <w:t>95. Challis C, Hori A, Sampson TR, Yoo BB, Challis RC, Hamilton AM, et al. Gut-seeded α-synuclein fibrils promote gut dysfunction and brain pathology specifically in aged mice. Nat Neurosci. 2020;23(3):327–36.</w:t>
      </w:r>
    </w:p>
    <w:p>
      <w:pPr>
        <w:spacing w:line="480" w:lineRule="auto"/>
        <w:ind w:hanging="360" w:left="360"/>
      </w:pPr>
      <w:r>
        <w:rPr>
          <w:rFonts w:ascii="Times New Roman" w:hAnsi="Times New Roman" w:cs="Times New Roman" w:eastAsia="Times New Roman"/>
          <w:color w:val="000000"/>
        </w:rPr>
        <w:t>96. Svensson E, Horváth-Puhó E, Thomsen RW, Djurhuus JC, Pedersen L, Borghammer P, Sørensen HT. Vagotomy and subsequent risk of Parkinson's disease. Ann Neurol. 2015;78(4):522–9.</w:t>
      </w:r>
    </w:p>
    <w:p>
      <w:pPr>
        <w:spacing w:line="480" w:lineRule="auto"/>
        <w:ind w:hanging="360" w:left="360"/>
      </w:pPr>
      <w:r>
        <w:rPr>
          <w:rFonts w:ascii="Times New Roman" w:hAnsi="Times New Roman" w:cs="Times New Roman" w:eastAsia="Times New Roman"/>
          <w:color w:val="000000"/>
        </w:rPr>
        <w:t>97. Tysnes OB, Kenborg L, Herlofson K, Steding-Jessen M, Horn A, Olsen JH, Reichmann H. Does vagotomy reduce the risk of Parkinson's disease? Ann Neurol. 2015;78(6):1011–2. ~</w:t>
      </w:r>
    </w:p>
    <w:p>
      <w:pPr>
        <w:spacing w:line="480" w:lineRule="auto"/>
        <w:ind w:hanging="360" w:left="360"/>
      </w:pPr>
      <w:r>
        <w:rPr>
          <w:rFonts w:ascii="Times New Roman" w:hAnsi="Times New Roman" w:cs="Times New Roman" w:eastAsia="Times New Roman"/>
          <w:color w:val="000000"/>
        </w:rPr>
        <w:t>98. Liu B, Fang F, Pedersen NL, Tillander A, Ludvigsson JF, Ekbom A, et al. Vagotomy and Parkinson disease: a Swedish register-based matched-cohort study. Neurology. 2017;88(21):1996–2002.</w:t>
      </w:r>
    </w:p>
    <w:p>
      <w:pPr>
        <w:spacing w:line="480" w:lineRule="auto"/>
        <w:ind w:hanging="360" w:left="360"/>
      </w:pPr>
      <w:r>
        <w:rPr>
          <w:rFonts w:ascii="Times New Roman" w:hAnsi="Times New Roman" w:cs="Times New Roman" w:eastAsia="Times New Roman"/>
          <w:color w:val="000000"/>
        </w:rPr>
        <w:t>99. Scheperjans F, Aho V, Pereira PAB, Koskinen K, Paulin L, Pekkonen E, et al. Gut microbiota are related to Parkinson's disease and clinical phenotype. Mov Disord. 2015;30(3):350–8.</w:t>
      </w:r>
    </w:p>
    <w:p>
      <w:pPr>
        <w:spacing w:line="480" w:lineRule="auto"/>
      </w:pPr>
      <w:r>
        <w:rPr>
          <w:rFonts w:ascii="Times New Roman" w:hAnsi="Times New Roman" w:cs="Times New Roman" w:eastAsia="Times New Roman"/>
          <w:b/>
          <w:color w:val="000000"/>
          <w:sz w:val="24"/>
        </w:rPr>
        <w:t>O. The olfactory precedent</w:t>
      </w:r>
    </w:p>
    <w:p>
      <w:pPr>
        <w:spacing w:line="480" w:lineRule="auto"/>
        <w:ind w:hanging="360" w:left="360"/>
      </w:pPr>
      <w:r>
        <w:rPr>
          <w:rFonts w:ascii="Times New Roman" w:hAnsi="Times New Roman" w:cs="Times New Roman" w:eastAsia="Times New Roman"/>
          <w:color w:val="000000"/>
        </w:rPr>
        <w:t>100. Buck L, Axel R. A novel multigene family may encode odorant receptors: a molecular basis for odor recognition. Cell. 1991;65(1):175–87.</w:t>
      </w:r>
    </w:p>
    <w:p>
      <w:pPr>
        <w:spacing w:line="480" w:lineRule="auto"/>
        <w:ind w:hanging="360" w:left="360"/>
      </w:pPr>
      <w:r>
        <w:rPr>
          <w:rFonts w:ascii="Times New Roman" w:hAnsi="Times New Roman" w:cs="Times New Roman" w:eastAsia="Times New Roman"/>
          <w:color w:val="000000"/>
        </w:rPr>
        <w:t>101. Mombaerts P, Wang F, Dulac C, Chao SK, Nemes A, Mendelsohn M, et al. Visualizing an olfactory sensory map. Cell. 1996;87(4):675–86.</w:t>
      </w:r>
    </w:p>
    <w:p>
      <w:pPr>
        <w:spacing w:line="480" w:lineRule="auto"/>
      </w:pPr>
      <w:r>
        <w:rPr>
          <w:rFonts w:ascii="Times New Roman" w:hAnsi="Times New Roman" w:cs="Times New Roman" w:eastAsia="Times New Roman"/>
          <w:b/>
          <w:color w:val="000000"/>
          <w:sz w:val="24"/>
        </w:rPr>
        <w:t>P. Clinical and epidemiological context</w:t>
      </w:r>
    </w:p>
    <w:p>
      <w:pPr>
        <w:spacing w:line="480" w:lineRule="auto"/>
        <w:ind w:hanging="360" w:left="360"/>
      </w:pPr>
      <w:r>
        <w:rPr>
          <w:rFonts w:ascii="Times New Roman" w:hAnsi="Times New Roman" w:cs="Times New Roman" w:eastAsia="Times New Roman"/>
          <w:color w:val="000000"/>
        </w:rPr>
        <w:t>102. Santomauro DF, Mantilla Herrera AM, Shadid J, Zheng P, Ashbaugh C, Pigott DM, et al. Global prevalence and burden of depressive and anxiety disorders in 204 countries and territories in 2020 due to the COVID-19 pandemic. Lancet. 2021;398(10312):1700–12.</w:t>
      </w:r>
    </w:p>
    <w:p>
      <w:pPr>
        <w:spacing w:line="480" w:lineRule="auto"/>
        <w:ind w:hanging="360" w:left="360"/>
      </w:pPr>
      <w:r>
        <w:rPr>
          <w:rFonts w:ascii="Times New Roman" w:hAnsi="Times New Roman" w:cs="Times New Roman" w:eastAsia="Times New Roman"/>
          <w:color w:val="000000"/>
        </w:rPr>
        <w:t>103. GBD 2021 Mental Disorders Collaborators. Global Burden of Disease 2021: mental health messages. Lancet Psychiatry. 2024. ~</w:t>
      </w:r>
    </w:p>
    <w:p>
      <w:pPr>
        <w:spacing w:line="480" w:lineRule="auto"/>
        <w:ind w:hanging="360" w:left="360"/>
      </w:pPr>
      <w:r>
        <w:rPr>
          <w:rFonts w:ascii="Times New Roman" w:hAnsi="Times New Roman" w:cs="Times New Roman" w:eastAsia="Times New Roman"/>
          <w:color w:val="000000"/>
        </w:rPr>
        <w:t>104. Mayer EA, Ryu HJ, Bhatt RR. The neurobiology of irritable bowel syndrome. Mol Psychiatry. 2023;28(4):1451–65. ~</w:t>
      </w:r>
    </w:p>
    <w:p>
      <w:pPr>
        <w:spacing w:line="480" w:lineRule="auto"/>
        <w:ind w:hanging="360" w:left="360"/>
      </w:pPr>
      <w:r>
        <w:rPr>
          <w:rFonts w:ascii="Times New Roman" w:hAnsi="Times New Roman" w:cs="Times New Roman" w:eastAsia="Times New Roman"/>
          <w:color w:val="000000"/>
        </w:rPr>
        <w:t>105. Ford AC, Sperber AD, Corsetti M, Camilleri M. Irritable bowel syndrome. Lancet. 2020;396(10263):1675–88. ~</w:t>
      </w:r>
    </w:p>
    <w:p>
      <w:pPr>
        <w:spacing w:line="480" w:lineRule="auto"/>
        <w:ind w:hanging="360" w:left="360"/>
      </w:pPr>
      <w:r>
        <w:rPr>
          <w:rFonts w:ascii="Times New Roman" w:hAnsi="Times New Roman" w:cs="Times New Roman" w:eastAsia="Times New Roman"/>
          <w:color w:val="000000"/>
        </w:rPr>
        <w:t>106. Allen JM, Mailing LJ, Niemiro GM, Moore R, Cook MD, White BA, et al. Exercise alters gut microbiota composition and function in lean and obese humans. Med Sci Sports Exerc. 2018;50(4):747–57. ~</w:t>
      </w:r>
    </w:p>
    <w:p>
      <w:pPr>
        <w:spacing w:line="480" w:lineRule="auto"/>
      </w:pPr>
      <w:r>
        <w:rPr>
          <w:rFonts w:ascii="Times New Roman" w:hAnsi="Times New Roman" w:cs="Times New Roman" w:eastAsia="Times New Roman"/>
          <w:b/>
          <w:color w:val="000000"/>
          <w:sz w:val="24"/>
        </w:rPr>
        <w:t>Count and status</w:t>
      </w:r>
    </w:p>
    <w:p>
      <w:pPr>
        <w:spacing w:line="480" w:lineRule="auto"/>
      </w:pPr>
      <w:r>
        <w:rPr>
          <w:rFonts w:ascii="Times New Roman" w:hAnsi="Times New Roman" w:cs="Times New Roman" w:eastAsia="Times New Roman"/>
          <w:b/>
          <w:color w:val="000000"/>
        </w:rPr>
        <w:t>106 verified entries.</w:t>
      </w:r>
      <w:r>
        <w:rPr>
          <w:rFonts w:ascii="Times New Roman" w:hAnsi="Times New Roman" w:cs="Times New Roman" w:eastAsia="Times New Roman"/>
          <w:color w:val="000000"/>
        </w:rPr>
        <w:t xml:space="preserve"> The user's target was up to 140; this is the number that survived individual checking within the session, and padding it to 140 with unverified entries would defeat the purpose of the exercise.</w:t>
      </w:r>
    </w:p>
    <w:p>
      <w:pPr>
        <w:spacing w:line="480" w:lineRule="auto"/>
      </w:pPr>
      <w:r>
        <w:rPr>
          <w:rFonts w:ascii="Times New Roman" w:hAnsi="Times New Roman" w:cs="Times New Roman" w:eastAsia="Times New Roman"/>
          <w:color w:val="000000"/>
        </w:rPr>
        <w:t>Fourteen entries carry a `~` on one or more bibliographic fields (volume, pages, or full author list). Those fields were not displayed in a verified search result and must be confirmed at the journal page before submission. The paper exists and the finding is confirmed in every case; it is the citation detail that is open.</w:t>
      </w:r>
    </w:p>
    <w:p>
      <w:pPr>
        <w:spacing w:line="480" w:lineRule="auto"/>
      </w:pPr>
      <w:r>
        <w:rPr>
          <w:rFonts w:ascii="Times New Roman" w:hAnsi="Times New Roman" w:cs="Times New Roman" w:eastAsia="Times New Roman"/>
          <w:color w:val="000000"/>
        </w:rPr>
        <w:t>To close the remaining gap and lift the list toward 140 with exact author strings, volumes, pages, PMIDs and DOIs throughout, add `pubmed.ncbi.nlm.nih.gov`, `api.crossref.org` and `doi.org` under Allowed domains in the environment's Network access settings. With direct database access the whole list can be pulled and checked in a handful of queries rather than one search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