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center"/>
      </w:pPr>
      <w:r>
        <w:rPr>
          <w:rFonts w:ascii="Times New Roman" w:hAnsi="Times New Roman" w:cs="Times New Roman" w:eastAsia="Times New Roman"/>
          <w:b/>
          <w:color w:val="000000"/>
          <w:sz w:val="28"/>
        </w:rPr>
        <w:t>Causality without identity: botanical authentication as the missing axis in herb-induced liver injury assessment</w:t>
      </w:r>
    </w:p>
    <w:p>
      <w:pPr>
        <w:spacing w:line="480" w:lineRule="auto"/>
      </w:pPr>
      <w:r>
        <w:rPr>
          <w:rFonts w:ascii="Times New Roman" w:hAnsi="Times New Roman" w:cs="Times New Roman" w:eastAsia="Times New Roman"/>
          <w:b/>
          <w:color w:val="000000"/>
        </w:rPr>
        <w:t>Article type:</w:t>
      </w:r>
      <w:r>
        <w:rPr>
          <w:rFonts w:ascii="Times New Roman" w:hAnsi="Times New Roman" w:cs="Times New Roman" w:eastAsia="Times New Roman"/>
          <w:color w:val="000000"/>
        </w:rPr>
        <w:t xml:space="preserve"> Review</w:t>
      </w:r>
    </w:p>
    <w:p>
      <w:pPr>
        <w:spacing w:line="480" w:lineRule="auto"/>
      </w:pPr>
      <w:r>
        <w:rPr>
          <w:rFonts w:ascii="Times New Roman" w:hAnsi="Times New Roman" w:cs="Times New Roman" w:eastAsia="Times New Roman"/>
          <w:b/>
          <w:color w:val="000000"/>
        </w:rPr>
        <w:t>Running title:</w:t>
      </w:r>
      <w:r>
        <w:rPr>
          <w:rFonts w:ascii="Times New Roman" w:hAnsi="Times New Roman" w:cs="Times New Roman" w:eastAsia="Times New Roman"/>
          <w:color w:val="000000"/>
        </w:rPr>
        <w:t xml:space="preserve"> Causality without identity in herb-induced liver injury</w:t>
      </w:r>
    </w:p>
    <w:p>
      <w:pPr>
        <w:spacing w:line="480" w:lineRule="auto"/>
      </w:pPr>
      <w:r>
        <w:rPr>
          <w:rFonts w:ascii="Times New Roman" w:hAnsi="Times New Roman" w:cs="Times New Roman" w:eastAsia="Times New Roman"/>
          <w:b/>
          <w:color w:val="000000"/>
        </w:rPr>
        <w:t>Authors:</w:t>
      </w:r>
      <w:r>
        <w:rPr>
          <w:rFonts w:ascii="Times New Roman" w:hAnsi="Times New Roman" w:cs="Times New Roman" w:eastAsia="Times New Roman"/>
          <w:color w:val="000000"/>
        </w:rPr>
        <w:t xml:space="preserve"> [Author 1]</w:t>
      </w:r>
      <w:r>
        <w:rPr>
          <w:rFonts w:ascii="Times New Roman" w:hAnsi="Times New Roman" w:cs="Times New Roman" w:eastAsia="Times New Roman"/>
          <w:color w:val="000000"/>
          <w:vertAlign w:val="superscript"/>
        </w:rPr>
        <w:t>1</w:t>
      </w:r>
      <w:r>
        <w:rPr>
          <w:rFonts w:ascii="Times New Roman" w:hAnsi="Times New Roman" w:cs="Times New Roman" w:eastAsia="Times New Roman"/>
          <w:color w:val="000000"/>
        </w:rPr>
        <w:t>, [Author 2]</w:t>
      </w:r>
      <w:r>
        <w:rPr>
          <w:rFonts w:ascii="Times New Roman" w:hAnsi="Times New Roman" w:cs="Times New Roman" w:eastAsia="Times New Roman"/>
          <w:color w:val="000000"/>
          <w:vertAlign w:val="superscript"/>
        </w:rPr>
        <w:t>2</w:t>
      </w:r>
    </w:p>
    <w:p>
      <w:pPr>
        <w:spacing w:line="480" w:lineRule="auto"/>
      </w:pPr>
      <w:r>
        <w:rPr>
          <w:rFonts w:ascii="Times New Roman" w:hAnsi="Times New Roman" w:cs="Times New Roman" w:eastAsia="Times New Roman"/>
          <w:color w:val="000000"/>
          <w:vertAlign w:val="superscript"/>
        </w:rPr>
        <w:t>1</w:t>
      </w:r>
      <w:r>
        <w:rPr>
          <w:rFonts w:ascii="Times New Roman" w:hAnsi="Times New Roman" w:cs="Times New Roman" w:eastAsia="Times New Roman"/>
          <w:color w:val="000000"/>
        </w:rPr>
        <w:t xml:space="preserve">[Department of Agadtantra Evum Vidhivaidyak, Institution, City, State, PIN, India] </w:t>
      </w:r>
      <w:r>
        <w:rPr>
          <w:rFonts w:ascii="Times New Roman" w:hAnsi="Times New Roman" w:cs="Times New Roman" w:eastAsia="Times New Roman"/>
          <w:color w:val="000000"/>
          <w:vertAlign w:val="superscript"/>
        </w:rPr>
        <w:t>2</w:t>
      </w:r>
      <w:r>
        <w:rPr>
          <w:rFonts w:ascii="Times New Roman" w:hAnsi="Times New Roman" w:cs="Times New Roman" w:eastAsia="Times New Roman"/>
          <w:color w:val="000000"/>
        </w:rPr>
        <w:t>[Department, Institution, City, State, PIN, India]</w:t>
      </w:r>
    </w:p>
    <w:p>
      <w:pPr>
        <w:spacing w:line="480" w:lineRule="auto"/>
      </w:pPr>
      <w:r>
        <w:rPr>
          <w:rFonts w:ascii="Times New Roman" w:hAnsi="Times New Roman" w:cs="Times New Roman" w:eastAsia="Times New Roman"/>
          <w:b/>
          <w:color w:val="000000"/>
        </w:rPr>
        <w:t>Corresponding author:</w:t>
      </w:r>
      <w:r>
        <w:rPr>
          <w:rFonts w:ascii="Times New Roman" w:hAnsi="Times New Roman" w:cs="Times New Roman" w:eastAsia="Times New Roman"/>
          <w:color w:val="000000"/>
        </w:rPr>
        <w:t xml:space="preserve"> [Name, postal address, e-mail, ORCID]</w:t>
      </w:r>
    </w:p>
    <w:p>
      <w:pPr>
        <w:spacing w:line="480" w:lineRule="auto"/>
      </w:pPr>
      <w:r>
        <w:rPr>
          <w:rFonts w:ascii="Times New Roman" w:hAnsi="Times New Roman" w:cs="Times New Roman" w:eastAsia="Times New Roman"/>
          <w:b/>
          <w:color w:val="000000"/>
        </w:rPr>
        <w:t>Word count:</w:t>
      </w:r>
      <w:r>
        <w:rPr>
          <w:rFonts w:ascii="Times New Roman" w:hAnsi="Times New Roman" w:cs="Times New Roman" w:eastAsia="Times New Roman"/>
          <w:color w:val="000000"/>
        </w:rPr>
        <w:t xml:space="preserve"> abstract 249 words; main text 5,140 words (excluding title page, abstract, headings, tables, figure legends, citation numbers and references). Tables: 4. Figures: 2. References: 18.</w:t>
      </w:r>
    </w:p>
    <w:p>
      <w:pPr>
        <w:spacing w:line="480" w:lineRule="auto"/>
      </w:pPr>
      <w:r>
        <w:rPr>
          <w:rFonts w:ascii="Times New Roman" w:hAnsi="Times New Roman" w:cs="Times New Roman" w:eastAsia="Times New Roman"/>
          <w:b/>
          <w:color w:val="000000"/>
          <w:sz w:val="24"/>
        </w:rPr>
        <w:t>Highlights</w:t>
      </w:r>
    </w:p>
    <w:p>
      <w:pPr>
        <w:spacing w:line="480" w:lineRule="auto"/>
      </w:pPr>
      <w:r>
        <w:rPr>
          <w:rFonts w:ascii="Times New Roman" w:hAnsi="Times New Roman" w:cs="Times New Roman" w:eastAsia="Times New Roman"/>
          <w:color w:val="000000"/>
        </w:rPr>
        <w:t>- RUCAM scores the timing of an exposure, then assumes the implicated herb is known. - Polyherbal matrices defeat DNA barcoding and phytochemical authentication alike. - In the Giloy series, four of four raw samples were identified; neither product was. - Identity certainty belongs on its own axis, reported separately from causality. - Retained product samples are the precondition for an interpretable HILI report.</w:t>
      </w:r>
    </w:p>
    <w:p>
      <w:pPr>
        <w:spacing w:line="480" w:lineRule="auto"/>
      </w:pPr>
      <w:r>
        <w:rPr>
          <w:rFonts w:ascii="Times New Roman" w:hAnsi="Times New Roman" w:cs="Times New Roman" w:eastAsia="Times New Roman"/>
          <w:b/>
          <w:color w:val="000000"/>
          <w:sz w:val="24"/>
        </w:rPr>
        <w:t>Abstract</w:t>
      </w:r>
    </w:p>
    <w:p>
      <w:pPr>
        <w:spacing w:line="480" w:lineRule="auto"/>
      </w:pPr>
      <w:r>
        <w:rPr>
          <w:rFonts w:ascii="Times New Roman" w:hAnsi="Times New Roman" w:cs="Times New Roman" w:eastAsia="Times New Roman"/>
          <w:b/>
          <w:color w:val="000000"/>
        </w:rPr>
        <w:t>Ethnopharmacological relevance:</w:t>
      </w:r>
      <w:r>
        <w:rPr>
          <w:rFonts w:ascii="Times New Roman" w:hAnsi="Times New Roman" w:cs="Times New Roman" w:eastAsia="Times New Roman"/>
          <w:color w:val="000000"/>
        </w:rPr>
        <w:t xml:space="preserve"> Traditional polyherbal medicines reach a large share of the world's population, and liver injury is the adverse event that most often carries them into hospital practice. Causality in those cases gets adjudicated with instruments designed for single-molecule pharmaceuticals, whose identity is never in question.</w:t>
      </w:r>
    </w:p>
    <w:p>
      <w:pPr>
        <w:spacing w:line="480" w:lineRule="auto"/>
      </w:pPr>
      <w:r>
        <w:rPr>
          <w:rFonts w:ascii="Times New Roman" w:hAnsi="Times New Roman" w:cs="Times New Roman" w:eastAsia="Times New Roman"/>
          <w:b/>
          <w:color w:val="000000"/>
        </w:rPr>
        <w:t>Aim of the study:</w:t>
      </w:r>
      <w:r>
        <w:rPr>
          <w:rFonts w:ascii="Times New Roman" w:hAnsi="Times New Roman" w:cs="Times New Roman" w:eastAsia="Times New Roman"/>
          <w:color w:val="000000"/>
        </w:rPr>
        <w:t xml:space="preserve"> To test whether current causality instruments can carry the inferences drawn from them when the implicated exposure is a polyherbal product of uncertain botanical identity, and to specify what would repair the gap.</w:t>
      </w:r>
    </w:p>
    <w:p>
      <w:pPr>
        <w:spacing w:line="480" w:lineRule="auto"/>
      </w:pPr>
      <w:r>
        <w:rPr>
          <w:rFonts w:ascii="Times New Roman" w:hAnsi="Times New Roman" w:cs="Times New Roman" w:eastAsia="Times New Roman"/>
          <w:b/>
          <w:color w:val="000000"/>
        </w:rPr>
        <w:t>Materials and methods:</w:t>
      </w:r>
      <w:r>
        <w:rPr>
          <w:rFonts w:ascii="Times New Roman" w:hAnsi="Times New Roman" w:cs="Times New Roman" w:eastAsia="Times New Roman"/>
          <w:color w:val="000000"/>
        </w:rPr>
        <w:t xml:space="preserve"> Critical review of the causality assessment literature, the botanical authentication literature and the published herb-induced liver injury (HILI) case record, with the 2021–2023 </w:t>
      </w:r>
      <w:r>
        <w:rPr>
          <w:rFonts w:ascii="Times New Roman" w:hAnsi="Times New Roman" w:cs="Times New Roman" w:eastAsia="Times New Roman"/>
          <w:i/>
          <w:color w:val="000000"/>
        </w:rPr>
        <w:t>Tinospora cordifolia</w:t>
      </w:r>
      <w:r>
        <w:rPr>
          <w:rFonts w:ascii="Times New Roman" w:hAnsi="Times New Roman" w:cs="Times New Roman" w:eastAsia="Times New Roman"/>
          <w:color w:val="000000"/>
        </w:rPr>
        <w:t xml:space="preserve"> controversy examined as a worked example in which identity was contested openly.</w:t>
      </w:r>
    </w:p>
    <w:p>
      <w:pPr>
        <w:spacing w:line="480" w:lineRule="auto"/>
      </w:pPr>
      <w:r>
        <w:rPr>
          <w:rFonts w:ascii="Times New Roman" w:hAnsi="Times New Roman" w:cs="Times New Roman" w:eastAsia="Times New Roman"/>
          <w:b/>
          <w:color w:val="000000"/>
        </w:rPr>
        <w:t>Results:</w:t>
      </w:r>
      <w:r>
        <w:rPr>
          <w:rFonts w:ascii="Times New Roman" w:hAnsi="Times New Roman" w:cs="Times New Roman" w:eastAsia="Times New Roman"/>
          <w:color w:val="000000"/>
        </w:rPr>
        <w:t xml:space="preserve"> Causality instruments score temporal sequence, dechallenge, alternative causes and prior report. Every one of them presupposes a known agent. That presupposition fails across four axes in traditional practice: taxonomic substitution, polyherbal attributability, adulteration with metals or synthetic drugs, and intrinsic variability of plant material. Authentication can resolve the first axis in raw material, and largely cannot in finished products. When investigators in the </w:t>
      </w:r>
      <w:r>
        <w:rPr>
          <w:rFonts w:ascii="Times New Roman" w:hAnsi="Times New Roman" w:cs="Times New Roman" w:eastAsia="Times New Roman"/>
          <w:i/>
          <w:color w:val="000000"/>
        </w:rPr>
        <w:t>T. cordifolia</w:t>
      </w:r>
      <w:r>
        <w:rPr>
          <w:rFonts w:ascii="Times New Roman" w:hAnsi="Times New Roman" w:cs="Times New Roman" w:eastAsia="Times New Roman"/>
          <w:color w:val="000000"/>
        </w:rPr>
        <w:t xml:space="preserve"> series examined six retrieved samples, all four raw plant samples were identified morphologically, chemically and genetically; neither commercial preparation yielded to either method, because co-formulated ingredients interfered.</w:t>
      </w:r>
    </w:p>
    <w:p>
      <w:pPr>
        <w:spacing w:line="480" w:lineRule="auto"/>
      </w:pPr>
      <w:r>
        <w:rPr>
          <w:rFonts w:ascii="Times New Roman" w:hAnsi="Times New Roman" w:cs="Times New Roman" w:eastAsia="Times New Roman"/>
          <w:b/>
          <w:color w:val="000000"/>
        </w:rPr>
        <w:t>Conclusions:</w:t>
      </w:r>
      <w:r>
        <w:rPr>
          <w:rFonts w:ascii="Times New Roman" w:hAnsi="Times New Roman" w:cs="Times New Roman" w:eastAsia="Times New Roman"/>
          <w:color w:val="000000"/>
        </w:rPr>
        <w:t xml:space="preserve"> Causality and exposure identity are orthogonal. Reporting the second as though the first subsumes it has produced a HILI literature whose central disputes cannot be settled from the published record. We propose an identity-certainty axis, reported alongside causality, and sample retention as its precondition.</w:t>
      </w:r>
    </w:p>
    <w:p>
      <w:pPr>
        <w:spacing w:line="480" w:lineRule="auto"/>
      </w:pPr>
      <w:r>
        <w:rPr>
          <w:rFonts w:ascii="Times New Roman" w:hAnsi="Times New Roman" w:cs="Times New Roman" w:eastAsia="Times New Roman"/>
          <w:b/>
          <w:color w:val="000000"/>
        </w:rPr>
        <w:t>Keywords:</w:t>
      </w:r>
      <w:r>
        <w:rPr>
          <w:rFonts w:ascii="Times New Roman" w:hAnsi="Times New Roman" w:cs="Times New Roman" w:eastAsia="Times New Roman"/>
          <w:color w:val="000000"/>
        </w:rPr>
        <w:t xml:space="preserve"> herb-induced liver injury; RUCAM; botanical authentication; DNA barcoding; polyherbal formulations; pharmacovigilance</w:t>
      </w:r>
    </w:p>
    <w:p>
      <w:pPr>
        <w:spacing w:line="480" w:lineRule="auto"/>
      </w:pPr>
      <w:r>
        <w:rPr>
          <w:rFonts w:ascii="Times New Roman" w:hAnsi="Times New Roman" w:cs="Times New Roman" w:eastAsia="Times New Roman"/>
          <w:b/>
          <w:color w:val="000000"/>
          <w:sz w:val="24"/>
        </w:rPr>
        <w:t>1. Introduction</w:t>
      </w:r>
    </w:p>
    <w:p>
      <w:pPr>
        <w:spacing w:line="480" w:lineRule="auto"/>
      </w:pPr>
      <w:r>
        <w:rPr>
          <w:rFonts w:ascii="Times New Roman" w:hAnsi="Times New Roman" w:cs="Times New Roman" w:eastAsia="Times New Roman"/>
          <w:color w:val="000000"/>
        </w:rPr>
        <w:t>A patient stops a herbal product, and over six weeks the transaminases come down. Rechallenge is unthinkable. Working through the timing, the clinician excludes viral and autoimmune hepatitis, checks the concomitant drugs, and arrives at a causality score. Probable. That score answers a question about sequence. About what the patient swallowed it says nothing whatever.</w:t>
      </w:r>
    </w:p>
    <w:p>
      <w:pPr>
        <w:spacing w:line="480" w:lineRule="auto"/>
      </w:pPr>
      <w:r>
        <w:rPr>
          <w:rFonts w:ascii="Times New Roman" w:hAnsi="Times New Roman" w:cs="Times New Roman" w:eastAsia="Times New Roman"/>
          <w:color w:val="000000"/>
        </w:rPr>
        <w:t>That gap is the subject of this review.</w:t>
      </w:r>
    </w:p>
    <w:p>
      <w:pPr>
        <w:spacing w:line="480" w:lineRule="auto"/>
      </w:pPr>
      <w:r>
        <w:rPr>
          <w:rFonts w:ascii="Times New Roman" w:hAnsi="Times New Roman" w:cs="Times New Roman" w:eastAsia="Times New Roman"/>
          <w:color w:val="000000"/>
        </w:rPr>
        <w:t>Herbal and dietary supplements now account for roughly a fifth of the cases enrolled in the United States Drug-Induced Liver Injury Network — up from seven per cent when prospective enrolment began [1]. Injury from non-bodybuilding supplements in that cohort ran more severe than injury from conventional medicines (measured by death and transplantation) [1]. Investigators have applied the Roussel Uclaf Causality Assessment Method, RUCAM, to more than 14,000 published HILI cases [2], and its authors have revised it once to cover cholestatic and mixed patterns alongside hepatocellular injury [3]. On any reasonable accounting, the machinery for adjudicating these cases exists and gets used.</w:t>
      </w:r>
    </w:p>
    <w:p>
      <w:pPr>
        <w:spacing w:line="480" w:lineRule="auto"/>
      </w:pPr>
      <w:r>
        <w:rPr>
          <w:rFonts w:ascii="Times New Roman" w:hAnsi="Times New Roman" w:cs="Times New Roman" w:eastAsia="Times New Roman"/>
          <w:color w:val="000000"/>
        </w:rPr>
        <w:t>Those instruments were built for drugs. Pharmaceuticals carry a name, a molecular structure, a dose, a manufacturer and a batch number, and when a hepatologist writes "amoxicillin-clavulanate" in a case report, no reader doubts what entered the patient. Write "Giloy" instead, and the referent becomes a plant — one that may or may not have been the species on the label, harvested in an unknown season, processed by an undisclosed method, combined with ingredients the label may not list, and possibly carrying metals from the manufacturing tradition rather than from the plant at all.</w:t>
      </w:r>
    </w:p>
    <w:p>
      <w:pPr>
        <w:spacing w:line="480" w:lineRule="auto"/>
      </w:pPr>
      <w:r>
        <w:rPr>
          <w:rFonts w:ascii="Times New Roman" w:hAnsi="Times New Roman" w:cs="Times New Roman" w:eastAsia="Times New Roman"/>
          <w:color w:val="000000"/>
        </w:rPr>
        <w:t>RUCAM does not ask about any of this. Its own architects have said so: the method cannot substitute for herb authentication, and it carries no element at all for batch-to-batch variability, harvest conditions or plant stress [2,3]. Stated plainly, that limitation sits in the primary literature, and the field has built two decades of case reports on top of it without resolving it.</w:t>
      </w:r>
    </w:p>
    <w:p>
      <w:pPr>
        <w:spacing w:line="480" w:lineRule="auto"/>
      </w:pPr>
      <w:r>
        <w:rPr>
          <w:rFonts w:ascii="Times New Roman" w:hAnsi="Times New Roman" w:cs="Times New Roman" w:eastAsia="Times New Roman"/>
          <w:color w:val="000000"/>
        </w:rPr>
        <w:t xml:space="preserve">Between 2021 and 2023 that unresolved question produced a public argument in Indian hepatology. Clinicians reported acute hepatitis in patients who had taken </w:t>
      </w:r>
      <w:r>
        <w:rPr>
          <w:rFonts w:ascii="Times New Roman" w:hAnsi="Times New Roman" w:cs="Times New Roman" w:eastAsia="Times New Roman"/>
          <w:i/>
          <w:color w:val="000000"/>
        </w:rPr>
        <w:t>Tinospora cordifolia</w:t>
      </w:r>
      <w:r>
        <w:rPr>
          <w:rFonts w:ascii="Times New Roman" w:hAnsi="Times New Roman" w:cs="Times New Roman" w:eastAsia="Times New Roman"/>
          <w:color w:val="000000"/>
        </w:rPr>
        <w:t xml:space="preserve"> as a COVID-19 immune booster, several of them with autoimmune features [4]. Then came a multicentre study, assembling 43 patients across 13 centres in nine cities [5]. Critics responded that the implicated material had never been authenticated, and that the hepatotoxic congener </w:t>
      </w:r>
      <w:r>
        <w:rPr>
          <w:rFonts w:ascii="Times New Roman" w:hAnsi="Times New Roman" w:cs="Times New Roman" w:eastAsia="Times New Roman"/>
          <w:i/>
          <w:color w:val="000000"/>
        </w:rPr>
        <w:t>Tinospora crispa</w:t>
      </w:r>
      <w:r>
        <w:rPr>
          <w:rFonts w:ascii="Times New Roman" w:hAnsi="Times New Roman" w:cs="Times New Roman" w:eastAsia="Times New Roman"/>
          <w:color w:val="000000"/>
        </w:rPr>
        <w:t xml:space="preserve"> substitutes for </w:t>
      </w:r>
      <w:r>
        <w:rPr>
          <w:rFonts w:ascii="Times New Roman" w:hAnsi="Times New Roman" w:cs="Times New Roman" w:eastAsia="Times New Roman"/>
          <w:i/>
          <w:color w:val="000000"/>
        </w:rPr>
        <w:t>T. cordifolia</w:t>
      </w:r>
      <w:r>
        <w:rPr>
          <w:rFonts w:ascii="Times New Roman" w:hAnsi="Times New Roman" w:cs="Times New Roman" w:eastAsia="Times New Roman"/>
          <w:color w:val="000000"/>
        </w:rPr>
        <w:t xml:space="preserve"> in Indian markets often enough to explain the signal. India's Ministry of AYUSH called the association misleading. What settled nothing, through all of it, was the causality scoring: the multicentre study had computed it, reporting probable injury in 67.4 per cent of its patients [5], and the dispute continued regardless.</w:t>
      </w:r>
    </w:p>
    <w:p>
      <w:pPr>
        <w:spacing w:line="480" w:lineRule="auto"/>
      </w:pPr>
      <w:r>
        <w:rPr>
          <w:rFonts w:ascii="Times New Roman" w:hAnsi="Times New Roman" w:cs="Times New Roman" w:eastAsia="Times New Roman"/>
          <w:color w:val="000000"/>
        </w:rPr>
        <w:t>We take that episode as a worked example rather than a target. Our argument is methodological and runs in both directions: the published record cannot currently support the strong claims made by those who indict these herbs, nor the strong exculpations offered by those defending them, because the record does not establish what the patients took. Our aim is to separate two questions that the literature has merged: whether an exposure caused an injury, and what the exposure was. Reporting each properly turns out to require different things.</w:t>
      </w:r>
    </w:p>
    <w:p>
      <w:pPr>
        <w:spacing w:line="480" w:lineRule="auto"/>
      </w:pPr>
      <w:r>
        <w:rPr>
          <w:rFonts w:ascii="Times New Roman" w:hAnsi="Times New Roman" w:cs="Times New Roman" w:eastAsia="Times New Roman"/>
          <w:b/>
          <w:color w:val="000000"/>
          <w:sz w:val="24"/>
        </w:rPr>
        <w:t>2. Materials and methods</w:t>
      </w:r>
    </w:p>
    <w:p>
      <w:pPr>
        <w:spacing w:line="480" w:lineRule="auto"/>
      </w:pPr>
      <w:r>
        <w:rPr>
          <w:rFonts w:ascii="Times New Roman" w:hAnsi="Times New Roman" w:cs="Times New Roman" w:eastAsia="Times New Roman"/>
          <w:color w:val="000000"/>
        </w:rPr>
        <w:t>This is a critical narrative review. We did not register a protocol and make no claim to exhaustive retrieval; the synthesis is interpretive, and we have tried to be explicit about where the evidence is thin.</w:t>
      </w:r>
    </w:p>
    <w:p>
      <w:pPr>
        <w:spacing w:line="480" w:lineRule="auto"/>
      </w:pPr>
      <w:r>
        <w:rPr>
          <w:rFonts w:ascii="Times New Roman" w:hAnsi="Times New Roman" w:cs="Times New Roman" w:eastAsia="Times New Roman"/>
          <w:color w:val="000000"/>
        </w:rPr>
        <w:t xml:space="preserve">We searched PubMed/MEDLINE, Scopus and Google Scholar for the causality assessment literature (terms including </w:t>
      </w:r>
      <w:r>
        <w:rPr>
          <w:rFonts w:ascii="Times New Roman" w:hAnsi="Times New Roman" w:cs="Times New Roman" w:eastAsia="Times New Roman"/>
          <w:i/>
          <w:color w:val="000000"/>
        </w:rPr>
        <w:t>RUCAM</w:t>
      </w:r>
      <w:r>
        <w:rPr>
          <w:rFonts w:ascii="Times New Roman" w:hAnsi="Times New Roman" w:cs="Times New Roman" w:eastAsia="Times New Roman"/>
          <w:color w:val="000000"/>
        </w:rPr>
        <w:t xml:space="preserve">, </w:t>
      </w:r>
      <w:r>
        <w:rPr>
          <w:rFonts w:ascii="Times New Roman" w:hAnsi="Times New Roman" w:cs="Times New Roman" w:eastAsia="Times New Roman"/>
          <w:i/>
          <w:color w:val="000000"/>
        </w:rPr>
        <w:t>causality assessment</w:t>
      </w:r>
      <w:r>
        <w:rPr>
          <w:rFonts w:ascii="Times New Roman" w:hAnsi="Times New Roman" w:cs="Times New Roman" w:eastAsia="Times New Roman"/>
          <w:color w:val="000000"/>
        </w:rPr>
        <w:t xml:space="preserve">, </w:t>
      </w:r>
      <w:r>
        <w:rPr>
          <w:rFonts w:ascii="Times New Roman" w:hAnsi="Times New Roman" w:cs="Times New Roman" w:eastAsia="Times New Roman"/>
          <w:i/>
          <w:color w:val="000000"/>
        </w:rPr>
        <w:t>drug-induced liver injury</w:t>
      </w:r>
      <w:r>
        <w:rPr>
          <w:rFonts w:ascii="Times New Roman" w:hAnsi="Times New Roman" w:cs="Times New Roman" w:eastAsia="Times New Roman"/>
          <w:color w:val="000000"/>
        </w:rPr>
        <w:t xml:space="preserve">, </w:t>
      </w:r>
      <w:r>
        <w:rPr>
          <w:rFonts w:ascii="Times New Roman" w:hAnsi="Times New Roman" w:cs="Times New Roman" w:eastAsia="Times New Roman"/>
          <w:i/>
          <w:color w:val="000000"/>
        </w:rPr>
        <w:t>herb-induced liver injury</w:t>
      </w:r>
      <w:r>
        <w:rPr>
          <w:rFonts w:ascii="Times New Roman" w:hAnsi="Times New Roman" w:cs="Times New Roman" w:eastAsia="Times New Roman"/>
          <w:color w:val="000000"/>
        </w:rPr>
        <w:t>), the authentication literature (</w:t>
      </w:r>
      <w:r>
        <w:rPr>
          <w:rFonts w:ascii="Times New Roman" w:hAnsi="Times New Roman" w:cs="Times New Roman" w:eastAsia="Times New Roman"/>
          <w:i/>
          <w:color w:val="000000"/>
        </w:rPr>
        <w:t>DNA barcoding</w:t>
      </w:r>
      <w:r>
        <w:rPr>
          <w:rFonts w:ascii="Times New Roman" w:hAnsi="Times New Roman" w:cs="Times New Roman" w:eastAsia="Times New Roman"/>
          <w:color w:val="000000"/>
        </w:rPr>
        <w:t xml:space="preserve">, </w:t>
      </w:r>
      <w:r>
        <w:rPr>
          <w:rFonts w:ascii="Times New Roman" w:hAnsi="Times New Roman" w:cs="Times New Roman" w:eastAsia="Times New Roman"/>
          <w:i/>
          <w:color w:val="000000"/>
        </w:rPr>
        <w:t>DNA metabarcoding</w:t>
      </w:r>
      <w:r>
        <w:rPr>
          <w:rFonts w:ascii="Times New Roman" w:hAnsi="Times New Roman" w:cs="Times New Roman" w:eastAsia="Times New Roman"/>
          <w:color w:val="000000"/>
        </w:rPr>
        <w:t xml:space="preserve">, </w:t>
      </w:r>
      <w:r>
        <w:rPr>
          <w:rFonts w:ascii="Times New Roman" w:hAnsi="Times New Roman" w:cs="Times New Roman" w:eastAsia="Times New Roman"/>
          <w:i/>
          <w:color w:val="000000"/>
        </w:rPr>
        <w:t>HPTLC</w:t>
      </w:r>
      <w:r>
        <w:rPr>
          <w:rFonts w:ascii="Times New Roman" w:hAnsi="Times New Roman" w:cs="Times New Roman" w:eastAsia="Times New Roman"/>
          <w:color w:val="000000"/>
        </w:rPr>
        <w:t xml:space="preserve">, </w:t>
      </w:r>
      <w:r>
        <w:rPr>
          <w:rFonts w:ascii="Times New Roman" w:hAnsi="Times New Roman" w:cs="Times New Roman" w:eastAsia="Times New Roman"/>
          <w:i/>
          <w:color w:val="000000"/>
        </w:rPr>
        <w:t>botanical authentication</w:t>
      </w:r>
      <w:r>
        <w:rPr>
          <w:rFonts w:ascii="Times New Roman" w:hAnsi="Times New Roman" w:cs="Times New Roman" w:eastAsia="Times New Roman"/>
          <w:color w:val="000000"/>
        </w:rPr>
        <w:t xml:space="preserve">, </w:t>
      </w:r>
      <w:r>
        <w:rPr>
          <w:rFonts w:ascii="Times New Roman" w:hAnsi="Times New Roman" w:cs="Times New Roman" w:eastAsia="Times New Roman"/>
          <w:i/>
          <w:color w:val="000000"/>
        </w:rPr>
        <w:t>adulteration</w:t>
      </w:r>
      <w:r>
        <w:rPr>
          <w:rFonts w:ascii="Times New Roman" w:hAnsi="Times New Roman" w:cs="Times New Roman" w:eastAsia="Times New Roman"/>
          <w:color w:val="000000"/>
        </w:rPr>
        <w:t xml:space="preserve">, </w:t>
      </w:r>
      <w:r>
        <w:rPr>
          <w:rFonts w:ascii="Times New Roman" w:hAnsi="Times New Roman" w:cs="Times New Roman" w:eastAsia="Times New Roman"/>
          <w:i/>
          <w:color w:val="000000"/>
        </w:rPr>
        <w:t>substitution</w:t>
      </w:r>
      <w:r>
        <w:rPr>
          <w:rFonts w:ascii="Times New Roman" w:hAnsi="Times New Roman" w:cs="Times New Roman" w:eastAsia="Times New Roman"/>
          <w:color w:val="000000"/>
        </w:rPr>
        <w:t xml:space="preserve">) and the clinical record for traditional Asian medicines, with particular attention to </w:t>
      </w:r>
      <w:r>
        <w:rPr>
          <w:rFonts w:ascii="Times New Roman" w:hAnsi="Times New Roman" w:cs="Times New Roman" w:eastAsia="Times New Roman"/>
          <w:i/>
          <w:color w:val="000000"/>
        </w:rPr>
        <w:t>Tinospora</w:t>
      </w:r>
      <w:r>
        <w:rPr>
          <w:rFonts w:ascii="Times New Roman" w:hAnsi="Times New Roman" w:cs="Times New Roman" w:eastAsia="Times New Roman"/>
          <w:color w:val="000000"/>
        </w:rPr>
        <w:t xml:space="preserve">, </w:t>
      </w:r>
      <w:r>
        <w:rPr>
          <w:rFonts w:ascii="Times New Roman" w:hAnsi="Times New Roman" w:cs="Times New Roman" w:eastAsia="Times New Roman"/>
          <w:i/>
          <w:color w:val="000000"/>
        </w:rPr>
        <w:t>Withania</w:t>
      </w:r>
      <w:r>
        <w:rPr>
          <w:rFonts w:ascii="Times New Roman" w:hAnsi="Times New Roman" w:cs="Times New Roman" w:eastAsia="Times New Roman"/>
          <w:color w:val="000000"/>
        </w:rPr>
        <w:t xml:space="preserve">, </w:t>
      </w:r>
      <w:r>
        <w:rPr>
          <w:rFonts w:ascii="Times New Roman" w:hAnsi="Times New Roman" w:cs="Times New Roman" w:eastAsia="Times New Roman"/>
          <w:i/>
          <w:color w:val="000000"/>
        </w:rPr>
        <w:t>Curcuma</w:t>
      </w:r>
      <w:r>
        <w:rPr>
          <w:rFonts w:ascii="Times New Roman" w:hAnsi="Times New Roman" w:cs="Times New Roman" w:eastAsia="Times New Roman"/>
          <w:color w:val="000000"/>
        </w:rPr>
        <w:t xml:space="preserve"> and </w:t>
      </w:r>
      <w:r>
        <w:rPr>
          <w:rFonts w:ascii="Times New Roman" w:hAnsi="Times New Roman" w:cs="Times New Roman" w:eastAsia="Times New Roman"/>
          <w:i/>
          <w:color w:val="000000"/>
        </w:rPr>
        <w:t>Psoralea</w:t>
      </w:r>
      <w:r>
        <w:rPr>
          <w:rFonts w:ascii="Times New Roman" w:hAnsi="Times New Roman" w:cs="Times New Roman" w:eastAsia="Times New Roman"/>
          <w:color w:val="000000"/>
        </w:rPr>
        <w:t>. Reference lists of retrieved reviews were hand-searched. We prioritised primary reports, regulatory documents and methodological statements over secondary commentary.</w:t>
      </w:r>
    </w:p>
    <w:p>
      <w:pPr>
        <w:spacing w:line="480" w:lineRule="auto"/>
      </w:pPr>
      <w:r>
        <w:rPr>
          <w:rFonts w:ascii="Times New Roman" w:hAnsi="Times New Roman" w:cs="Times New Roman" w:eastAsia="Times New Roman"/>
          <w:b/>
          <w:color w:val="000000"/>
        </w:rPr>
        <w:t>[TO CONFIRM BEFORE SUBMISSION]</w:t>
      </w:r>
      <w:r>
        <w:rPr>
          <w:rFonts w:ascii="Times New Roman" w:hAnsi="Times New Roman" w:cs="Times New Roman" w:eastAsia="Times New Roman"/>
          <w:b/>
          <w:color w:val="000000"/>
        </w:rPr>
        <w:t xml:space="preserve"> Database names, the exact search strings and the final search date must be verified and recorded by the authors against their own executed search. These fields are left for completion rather than asserted, since an unverifiable methods statement would reproduce the very failure this review describes.</w:t>
      </w:r>
    </w:p>
    <w:p>
      <w:pPr>
        <w:spacing w:line="480" w:lineRule="auto"/>
      </w:pPr>
      <w:r>
        <w:rPr>
          <w:rFonts w:ascii="Times New Roman" w:hAnsi="Times New Roman" w:cs="Times New Roman" w:eastAsia="Times New Roman"/>
          <w:color w:val="000000"/>
        </w:rPr>
        <w:t xml:space="preserve">One decision about sources deserves stating up front. </w:t>
      </w:r>
      <w:r>
        <w:rPr>
          <w:rFonts w:ascii="Times New Roman" w:hAnsi="Times New Roman" w:cs="Times New Roman" w:eastAsia="Times New Roman"/>
          <w:i/>
          <w:color w:val="000000"/>
        </w:rPr>
        <w:t>BMC Medicine</w:t>
      </w:r>
      <w:r>
        <w:rPr>
          <w:rFonts w:ascii="Times New Roman" w:hAnsi="Times New Roman" w:cs="Times New Roman" w:eastAsia="Times New Roman"/>
          <w:color w:val="000000"/>
        </w:rPr>
        <w:t xml:space="preserve"> retracted the most frequently cited evidence for widespread substitution in herbal products (a 2013 DNA barcoding study reporting that 59 per cent of North American products contained undisclosed species) in July 2024, following a university investigation that found evidence of data fabrication [6]. We have not used it. It still circulates in reviews published after the retraction, which is itself a small illustration of how poorly the field tracks the provenance of its own claims.</w:t>
      </w:r>
    </w:p>
    <w:p>
      <w:pPr>
        <w:spacing w:line="480" w:lineRule="auto"/>
      </w:pPr>
      <w:r>
        <w:rPr>
          <w:rFonts w:ascii="Times New Roman" w:hAnsi="Times New Roman" w:cs="Times New Roman" w:eastAsia="Times New Roman"/>
          <w:b/>
          <w:color w:val="000000"/>
          <w:sz w:val="24"/>
        </w:rPr>
        <w:t>3. What causality instruments measure, and what they assume</w:t>
      </w:r>
    </w:p>
    <w:p>
      <w:pPr>
        <w:spacing w:line="480" w:lineRule="auto"/>
      </w:pPr>
      <w:r>
        <w:rPr>
          <w:rFonts w:ascii="Times New Roman" w:hAnsi="Times New Roman" w:cs="Times New Roman" w:eastAsia="Times New Roman"/>
          <w:b/>
          <w:i/>
          <w:color w:val="000000"/>
          <w:sz w:val="24"/>
        </w:rPr>
        <w:t>3.1 The architecture of RUCAM</w:t>
      </w:r>
    </w:p>
    <w:p>
      <w:pPr>
        <w:spacing w:line="480" w:lineRule="auto"/>
      </w:pPr>
      <w:r>
        <w:rPr>
          <w:rFonts w:ascii="Times New Roman" w:hAnsi="Times New Roman" w:cs="Times New Roman" w:eastAsia="Times New Roman"/>
          <w:color w:val="000000"/>
        </w:rPr>
        <w:t>RUCAM scores a suspected hepatotoxic exposure across seven weighted domains: the time from starting the agent to injury onset, the course after stopping it, the patient's risk factors, concomitant drugs, the exclusion of competing causes, whether the agent is already known to be hepatotoxic, and the response to any rechallenge. Injury pattern is fixed first from the R value, the ratio of alanine aminotransferase to its upper limit of normal divided by the same ratio for alkaline phosphatase, and the scoring table then differs for hepatocellular as against cholestatic or mixed injury [3]. Scores sort cases into excluded, unlikely, possible, probable and highly probable.</w:t>
      </w:r>
    </w:p>
    <w:p>
      <w:pPr>
        <w:spacing w:line="480" w:lineRule="auto"/>
      </w:pPr>
      <w:r>
        <w:rPr>
          <w:rFonts w:ascii="Times New Roman" w:hAnsi="Times New Roman" w:cs="Times New Roman" w:eastAsia="Times New Roman"/>
          <w:color w:val="000000"/>
        </w:rPr>
        <w:t>Its design logic is sound, and the instrument performs well when users do their part. Teschke and Danan's analysis of nearly 96,000 published cases found that the recurring problems lay in poor case data and in incorrect application by authors, not in the method itself [2].</w:t>
      </w:r>
    </w:p>
    <w:p>
      <w:pPr>
        <w:spacing w:line="480" w:lineRule="auto"/>
      </w:pPr>
      <w:r>
        <w:rPr>
          <w:rFonts w:ascii="Times New Roman" w:hAnsi="Times New Roman" w:cs="Times New Roman" w:eastAsia="Times New Roman"/>
          <w:color w:val="000000"/>
        </w:rPr>
        <w:t>Weighting carries most of the work. Latency inside a plausible window earns points, latency outside it loses them, and the windows differ between injury patterns because cholestatic injury declares itself more slowly than hepatocellular injury. Dechallenge is scored on the slope of the fall after withdrawal, again against pattern-specific expectations. Competing causes are scored by exclusion, with hepatitis A, B, C and E, biliary obstruction, alcohol and haemodynamic injury each carrying weight. Rechallenge, when it has happened inadvertently, dominates everything else, and for obvious reasons it is rarely available.</w:t>
      </w:r>
    </w:p>
    <w:p>
      <w:pPr>
        <w:spacing w:line="480" w:lineRule="auto"/>
      </w:pPr>
      <w:r>
        <w:rPr>
          <w:rFonts w:ascii="Times New Roman" w:hAnsi="Times New Roman" w:cs="Times New Roman" w:eastAsia="Times New Roman"/>
          <w:color w:val="000000"/>
        </w:rPr>
        <w:t>What the R value does at the start of all this deserves a moment, because it sets which table applies and therefore which thresholds the case is judged against. An R above 5 routes the case down the hepatocellular column, below 2 down the cholestatic column, and between the two into mixed. A misrouted case gets scored against the wrong latency expectations throughout. The ratio depends only on enzymes, so it is one of the few inputs the instrument derives from measurement rather than from history.</w:t>
      </w:r>
    </w:p>
    <w:p>
      <w:pPr>
        <w:spacing w:line="480" w:lineRule="auto"/>
      </w:pPr>
      <w:r>
        <w:rPr>
          <w:rFonts w:ascii="Times New Roman" w:hAnsi="Times New Roman" w:cs="Times New Roman" w:eastAsia="Times New Roman"/>
          <w:color w:val="000000"/>
        </w:rPr>
        <w:t>History supplies almost everything else. The clinician reconstructs a start date, a stop date, a dose and a product name from what the patient remembers and what the packaging says, and the instrument treats that reconstruction as data of the same quality as the serum chemistry. For a dispensed pharmaceutical the reconstruction is checkable against a prescription record. For a herbal product bought over a counter or online, nothing checks it.</w:t>
      </w:r>
    </w:p>
    <w:p>
      <w:pPr>
        <w:spacing w:line="480" w:lineRule="auto"/>
      </w:pPr>
      <w:r>
        <w:rPr>
          <w:rFonts w:ascii="Times New Roman" w:hAnsi="Times New Roman" w:cs="Times New Roman" w:eastAsia="Times New Roman"/>
          <w:b/>
          <w:i/>
          <w:color w:val="000000"/>
          <w:sz w:val="24"/>
        </w:rPr>
        <w:t>3.2 What every domain presupposes</w:t>
      </w:r>
    </w:p>
    <w:p>
      <w:pPr>
        <w:spacing w:line="480" w:lineRule="auto"/>
      </w:pPr>
      <w:r>
        <w:rPr>
          <w:rFonts w:ascii="Times New Roman" w:hAnsi="Times New Roman" w:cs="Times New Roman" w:eastAsia="Times New Roman"/>
          <w:color w:val="000000"/>
        </w:rPr>
        <w:t>Read those seven domains again with a polyherbal product in mind, and a pattern emerges. Latency requires a start date for a defined agent. Dechallenge requires that stopping removed that agent and not something else taken alongside it. Concomitant medication scoring requires that the implicated product be distinguishable from the other things the patient swallowed. Prior hepatotoxicity, the domain that often decides whether a case reaches "probable", requires a literature keyed to a species, and therefore requires that the species be known.</w:t>
      </w:r>
    </w:p>
    <w:p>
      <w:pPr>
        <w:spacing w:line="480" w:lineRule="auto"/>
      </w:pPr>
      <w:r>
        <w:rPr>
          <w:rFonts w:ascii="Times New Roman" w:hAnsi="Times New Roman" w:cs="Times New Roman" w:eastAsia="Times New Roman"/>
          <w:color w:val="000000"/>
        </w:rPr>
        <w:t>So what does the instrument do when the contents of the bottle are unknown? Nothing at all. Each domain, in other words, takes exposure identity as settled before the scoring begins. For a licensed pharmaceutical that assumption is so safe it goes unstated. For a market-bought polyherbal churna it is the entire question, and the instrument has no cell in which to record that the question is open.</w:t>
      </w:r>
    </w:p>
    <w:p>
      <w:pPr>
        <w:spacing w:line="480" w:lineRule="auto"/>
      </w:pPr>
      <w:r>
        <w:rPr>
          <w:rFonts w:ascii="Times New Roman" w:hAnsi="Times New Roman" w:cs="Times New Roman" w:eastAsia="Times New Roman"/>
          <w:b/>
          <w:i/>
          <w:color w:val="000000"/>
          <w:sz w:val="24"/>
        </w:rPr>
        <w:t>3.3 The alternatives share the assumption</w:t>
      </w:r>
    </w:p>
    <w:p>
      <w:pPr>
        <w:spacing w:line="480" w:lineRule="auto"/>
      </w:pPr>
      <w:r>
        <w:rPr>
          <w:rFonts w:ascii="Times New Roman" w:hAnsi="Times New Roman" w:cs="Times New Roman" w:eastAsia="Times New Roman"/>
          <w:color w:val="000000"/>
        </w:rPr>
        <w:t>Structured scoring is not the only approach. DILIN adjudicators assign likelihood by consensus rather than by score, and comparisons of the two approaches have generated their own literature. Expert opinion handles ambiguity more gracefully than a fixed table. What it cannot do is manufacture information the case record lacks. An adjudication panel told that a patient took "an Ayurvedic preparation for joint pain" is in the same evidential position as the scoring sheet: it can weigh timing and exclude hepatitis E, and it cannot determine what was in the bottle.</w:t>
      </w:r>
    </w:p>
    <w:p>
      <w:pPr>
        <w:spacing w:line="480" w:lineRule="auto"/>
      </w:pPr>
      <w:r>
        <w:rPr>
          <w:rFonts w:ascii="Times New Roman" w:hAnsi="Times New Roman" w:cs="Times New Roman" w:eastAsia="Times New Roman"/>
          <w:color w:val="000000"/>
        </w:rPr>
        <w:t>This is why we treat the problem as structural rather than as a defect of one instrument. No causality method, however sophisticated, recovers an exposure that was never characterised.</w:t>
      </w:r>
    </w:p>
    <w:p>
      <w:pPr>
        <w:spacing w:line="480" w:lineRule="auto"/>
      </w:pPr>
      <w:r>
        <w:rPr>
          <w:rFonts w:ascii="Times New Roman" w:hAnsi="Times New Roman" w:cs="Times New Roman" w:eastAsia="Times New Roman"/>
          <w:b/>
          <w:color w:val="000000"/>
        </w:rPr>
        <w:t>Table 1.</w:t>
      </w:r>
      <w:r>
        <w:rPr>
          <w:rFonts w:ascii="Times New Roman" w:hAnsi="Times New Roman" w:cs="Times New Roman" w:eastAsia="Times New Roman"/>
          <w:color w:val="000000"/>
        </w:rPr>
        <w:t xml:space="preserve"> What causality instruments score, and what each presupposes about the implicated agent.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b/>
                <w:color w:val="000000"/>
              </w:rPr>
              <w:t>Instrument</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b/>
                <w:color w:val="000000"/>
              </w:rPr>
              <w:t>What it scores</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b/>
                <w:color w:val="000000"/>
              </w:rPr>
              <w:t>Exposure assumption</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b/>
                <w:color w:val="000000"/>
              </w:rPr>
              <w:t>Behaviour when identity is unknown</w:t>
            </w:r>
          </w:p>
        </w:tc>
      </w:tr>
      <w:tr>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RUCAM, updated [3]</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Latency, dechallenge, risk factors, concomitant drugs, competing causes, prior hepatotoxicity, rechallenge; separate tables for hepatocellular as against cholestatic/mixed injury, fixed by the R value</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A single named agent of known identity, dose and duration</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Scores proceed unchanged; no element records that identity is open, so the output reads identically for an authenticated and an unauthenticated exposure</w:t>
            </w:r>
          </w:p>
        </w:tc>
      </w:tr>
      <w:tr>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DILIN expert opinion</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Consensus likelihood assigned by adjudicators reviewing the full case record</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Same, with ambiguity absorbed by expert judgement rather than by a table</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Adjudicators may note the uncertainty in discussion, but the assigned likelihood carries no structured record of it</w:t>
            </w:r>
          </w:p>
        </w:tc>
      </w:tr>
      <w:tr>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Prior-report domain (RUCAM item 6), considered alone</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Whether the agent is already a known hepatotoxin</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A literature indexed by species</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Draws on a literature assembled largely from cases that themselves lacked identification, so uncertainty compounds across reports</w:t>
            </w:r>
          </w:p>
        </w:tc>
      </w:tr>
    </w:tbl>
    <w:p>
      <w:pPr>
        <w:spacing w:line="480" w:lineRule="auto"/>
      </w:pPr>
    </w:p>
    <w:p>
      <w:pPr>
        <w:spacing w:line="480" w:lineRule="auto"/>
      </w:pPr>
      <w:r>
        <w:rPr>
          <w:rFonts w:ascii="Times New Roman" w:hAnsi="Times New Roman" w:cs="Times New Roman" w:eastAsia="Times New Roman"/>
          <w:color w:val="000000"/>
        </w:rPr>
        <w:t>The third row is the one that compounds. Each unauthenticated case that enters the literature raises the prior-report score available to the next case involving the same label, regardless of whether the two patients consumed the same plant.</w:t>
      </w:r>
    </w:p>
    <w:p>
      <w:pPr>
        <w:spacing w:line="480" w:lineRule="auto"/>
      </w:pPr>
      <w:r>
        <w:rPr>
          <w:rFonts w:ascii="Times New Roman" w:hAnsi="Times New Roman" w:cs="Times New Roman" w:eastAsia="Times New Roman"/>
          <w:b/>
          <w:color w:val="000000"/>
          <w:sz w:val="24"/>
        </w:rPr>
        <w:t>4. Four ways traditional exposures break the assumption</w:t>
      </w:r>
    </w:p>
    <w:p>
      <w:pPr>
        <w:spacing w:line="480" w:lineRule="auto"/>
      </w:pPr>
      <w:r>
        <w:rPr>
          <w:rFonts w:ascii="Times New Roman" w:hAnsi="Times New Roman" w:cs="Times New Roman" w:eastAsia="Times New Roman"/>
          <w:b/>
          <w:i/>
          <w:color w:val="000000"/>
          <w:sz w:val="24"/>
        </w:rPr>
        <w:t>4.1 Taxonomic substitution</w:t>
      </w:r>
    </w:p>
    <w:p>
      <w:pPr>
        <w:spacing w:line="480" w:lineRule="auto"/>
      </w:pPr>
      <w:r>
        <w:rPr>
          <w:rFonts w:ascii="Times New Roman" w:hAnsi="Times New Roman" w:cs="Times New Roman" w:eastAsia="Times New Roman"/>
          <w:color w:val="000000"/>
        </w:rPr>
        <w:t xml:space="preserve">Here the controlling precedent is renal, not hepatic. In 1993 Vanherweghem and colleagues described rapidly progressive interstitial renal fibrosis in young women attending a Brussels slimming clinic [7]. More than a hundred Belgian cases followed, all from one preparation. Substitution caused it: </w:t>
      </w:r>
      <w:r>
        <w:rPr>
          <w:rFonts w:ascii="Times New Roman" w:hAnsi="Times New Roman" w:cs="Times New Roman" w:eastAsia="Times New Roman"/>
          <w:i/>
          <w:color w:val="000000"/>
        </w:rPr>
        <w:t>Aristolochia fangchi</w:t>
      </w:r>
      <w:r>
        <w:rPr>
          <w:rFonts w:ascii="Times New Roman" w:hAnsi="Times New Roman" w:cs="Times New Roman" w:eastAsia="Times New Roman"/>
          <w:color w:val="000000"/>
        </w:rPr>
        <w:t xml:space="preserve">, which contains aristolochic acid, had replaced </w:t>
      </w:r>
      <w:r>
        <w:rPr>
          <w:rFonts w:ascii="Times New Roman" w:hAnsi="Times New Roman" w:cs="Times New Roman" w:eastAsia="Times New Roman"/>
          <w:i/>
          <w:color w:val="000000"/>
        </w:rPr>
        <w:t>Stephania tetrandra</w:t>
      </w:r>
      <w:r>
        <w:rPr>
          <w:rFonts w:ascii="Times New Roman" w:hAnsi="Times New Roman" w:cs="Times New Roman" w:eastAsia="Times New Roman"/>
          <w:color w:val="000000"/>
        </w:rPr>
        <w:t xml:space="preserve"> in the formulation. Seven years later, Nortier and colleagues reported urothelial carcinoma in that cohort, with aristolochic acid-DNA adducts in the resected tissue [8].</w:t>
      </w:r>
    </w:p>
    <w:p>
      <w:pPr>
        <w:spacing w:line="480" w:lineRule="auto"/>
      </w:pPr>
      <w:r>
        <w:rPr>
          <w:rFonts w:ascii="Times New Roman" w:hAnsi="Times New Roman" w:cs="Times New Roman" w:eastAsia="Times New Roman"/>
          <w:color w:val="000000"/>
        </w:rPr>
        <w:t>Consider what identified that outbreak. Not causality scoring. Epidemiology established that something in the clinic's pills was destroying kidneys; botanical and chemical analysis established what. Had the investigators stopped at "Chinese herbs, probable", the aristolochic acid story would not exist, and the nephropathy would still be attributed to a category rather than a compound.</w:t>
      </w:r>
    </w:p>
    <w:p>
      <w:pPr>
        <w:spacing w:line="480" w:lineRule="auto"/>
      </w:pPr>
      <w:r>
        <w:rPr>
          <w:rFonts w:ascii="Times New Roman" w:hAnsi="Times New Roman" w:cs="Times New Roman" w:eastAsia="Times New Roman"/>
          <w:color w:val="000000"/>
        </w:rPr>
        <w:t xml:space="preserve">Two structural features of that episode recur. Substitution there was systematic rather than sporadic, running through one supply chain and reaching everyone it served, which is why the cases clustered tightly enough to be noticed at all. And the substituted species was not a random error but a plausible one: </w:t>
      </w:r>
      <w:r>
        <w:rPr>
          <w:rFonts w:ascii="Times New Roman" w:hAnsi="Times New Roman" w:cs="Times New Roman" w:eastAsia="Times New Roman"/>
          <w:i/>
          <w:color w:val="000000"/>
        </w:rPr>
        <w:t>Aristolochia</w:t>
      </w:r>
      <w:r>
        <w:rPr>
          <w:rFonts w:ascii="Times New Roman" w:hAnsi="Times New Roman" w:cs="Times New Roman" w:eastAsia="Times New Roman"/>
          <w:color w:val="000000"/>
        </w:rPr>
        <w:t xml:space="preserve"> and </w:t>
      </w:r>
      <w:r>
        <w:rPr>
          <w:rFonts w:ascii="Times New Roman" w:hAnsi="Times New Roman" w:cs="Times New Roman" w:eastAsia="Times New Roman"/>
          <w:i/>
          <w:color w:val="000000"/>
        </w:rPr>
        <w:t>Stephania</w:t>
      </w:r>
      <w:r>
        <w:rPr>
          <w:rFonts w:ascii="Times New Roman" w:hAnsi="Times New Roman" w:cs="Times New Roman" w:eastAsia="Times New Roman"/>
          <w:color w:val="000000"/>
        </w:rPr>
        <w:t xml:space="preserve"> share a vernacular designation in the trade, so the swap passed through procurement without anyone needing to intend fraud. Sporadic substitution would have produced scattered cases across many clinics, and nobody would have assembled them.</w:t>
      </w:r>
    </w:p>
    <w:p>
      <w:pPr>
        <w:spacing w:line="480" w:lineRule="auto"/>
      </w:pPr>
      <w:r>
        <w:rPr>
          <w:rFonts w:ascii="Times New Roman" w:hAnsi="Times New Roman" w:cs="Times New Roman" w:eastAsia="Times New Roman"/>
          <w:color w:val="000000"/>
        </w:rPr>
        <w:t>That has an uncomfortable implication for pharmacovigilance. Outbreaks the current system detects are those concentrated enough to cluster. Diffuse substitution, spread across many manufacturers at low rates, generates exactly the pattern that spontaneous reporting handles worst: isolated cases, each individually unremarkable, attributed to whichever plant the label named.</w:t>
      </w:r>
    </w:p>
    <w:p>
      <w:pPr>
        <w:spacing w:line="480" w:lineRule="auto"/>
      </w:pPr>
      <w:r>
        <w:rPr>
          <w:rFonts w:ascii="Times New Roman" w:hAnsi="Times New Roman" w:cs="Times New Roman" w:eastAsia="Times New Roman"/>
          <w:i/>
          <w:color w:val="000000"/>
        </w:rPr>
        <w:t>Tinospora</w:t>
      </w:r>
      <w:r>
        <w:rPr>
          <w:rFonts w:ascii="Times New Roman" w:hAnsi="Times New Roman" w:cs="Times New Roman" w:eastAsia="Times New Roman"/>
          <w:color w:val="000000"/>
        </w:rPr>
        <w:t xml:space="preserve"> presents the same structure. </w:t>
      </w:r>
      <w:r>
        <w:rPr>
          <w:rFonts w:ascii="Times New Roman" w:hAnsi="Times New Roman" w:cs="Times New Roman" w:eastAsia="Times New Roman"/>
          <w:i/>
          <w:color w:val="000000"/>
        </w:rPr>
        <w:t>T. crispa</w:t>
      </w:r>
      <w:r>
        <w:rPr>
          <w:rFonts w:ascii="Times New Roman" w:hAnsi="Times New Roman" w:cs="Times New Roman" w:eastAsia="Times New Roman"/>
          <w:color w:val="000000"/>
        </w:rPr>
        <w:t xml:space="preserve"> and </w:t>
      </w:r>
      <w:r>
        <w:rPr>
          <w:rFonts w:ascii="Times New Roman" w:hAnsi="Times New Roman" w:cs="Times New Roman" w:eastAsia="Times New Roman"/>
          <w:i/>
          <w:color w:val="000000"/>
        </w:rPr>
        <w:t>T. cordifolia</w:t>
      </w:r>
      <w:r>
        <w:rPr>
          <w:rFonts w:ascii="Times New Roman" w:hAnsi="Times New Roman" w:cs="Times New Roman" w:eastAsia="Times New Roman"/>
          <w:color w:val="000000"/>
        </w:rPr>
        <w:t xml:space="preserve"> are morphologically similar, traded interchangeably in parts of South and Southeast Asia, and differ in their clerodane-type furanoditerpenoid content. A product label cannot say which of the two a given Indian HILI case involved.</w:t>
      </w:r>
    </w:p>
    <w:p>
      <w:pPr>
        <w:spacing w:line="480" w:lineRule="auto"/>
      </w:pPr>
      <w:r>
        <w:rPr>
          <w:rFonts w:ascii="Times New Roman" w:hAnsi="Times New Roman" w:cs="Times New Roman" w:eastAsia="Times New Roman"/>
          <w:b/>
          <w:i/>
          <w:color w:val="000000"/>
          <w:sz w:val="24"/>
        </w:rPr>
        <w:t>4.2 Polyherbal attributability</w:t>
      </w:r>
    </w:p>
    <w:p>
      <w:pPr>
        <w:spacing w:line="480" w:lineRule="auto"/>
      </w:pPr>
      <w:r>
        <w:rPr>
          <w:rFonts w:ascii="Times New Roman" w:hAnsi="Times New Roman" w:cs="Times New Roman" w:eastAsia="Times New Roman"/>
          <w:color w:val="000000"/>
        </w:rPr>
        <w:t>Classical Ayurvedic formulations may run to eight or forty botanicals, several minerals and a lipid or honey vehicle. Even granting perfect identification of every ingredient, the causal question does not decompose: the instrument scores "the product", while the hepatotoxic species (if there is one) remains an unknown subset of it.</w:t>
      </w:r>
    </w:p>
    <w:p>
      <w:pPr>
        <w:spacing w:line="480" w:lineRule="auto"/>
      </w:pPr>
      <w:r>
        <w:rPr>
          <w:rFonts w:ascii="Times New Roman" w:hAnsi="Times New Roman" w:cs="Times New Roman" w:eastAsia="Times New Roman"/>
          <w:color w:val="000000"/>
        </w:rPr>
        <w:t>Empirically, matters run worse than the theory predicts. Seethapathy and colleagues applied DNA metabarcoding to 79 Ayurvedic products on the European market and found ingredient fidelity of 67 per cent for single-ingredient products and 21 per cent for multi-ingredient products, 24 per cent across the whole sample [9]. Eight of 27 multi-ingredient products contained none of the species named on the label. Not some; none.</w:t>
      </w:r>
    </w:p>
    <w:p>
      <w:pPr>
        <w:spacing w:line="480" w:lineRule="auto"/>
      </w:pPr>
      <w:r>
        <w:rPr>
          <w:rFonts w:ascii="Times New Roman" w:hAnsi="Times New Roman" w:cs="Times New Roman" w:eastAsia="Times New Roman"/>
          <w:color w:val="000000"/>
        </w:rPr>
        <w:t>Across 5,957 commercial products sold in 37 countries, a global synthesis of DNA-based authentication put overall adulteration at 27 per cent, with continental figures from 23 per cent in Asia up to 79 per cent in Australia [10]. Market-level surveys of Indian raw drugs have returned substitution rates from 20 to 100 per cent depending on the species examined, and barcoding of single-drug powders found 46 per cent adulterant material [11].</w:t>
      </w:r>
    </w:p>
    <w:p>
      <w:pPr>
        <w:spacing w:line="480" w:lineRule="auto"/>
      </w:pPr>
      <w:r>
        <w:rPr>
          <w:rFonts w:ascii="Times New Roman" w:hAnsi="Times New Roman" w:cs="Times New Roman" w:eastAsia="Times New Roman"/>
          <w:color w:val="000000"/>
        </w:rPr>
        <w:t>How should a reader weigh those numbers against a case report that names a formulation and stops there? Labels are assertions by manufacturers, and roughly a quarter to three quarters of the time, depending on the market, they are wrong.</w:t>
      </w:r>
    </w:p>
    <w:p>
      <w:pPr>
        <w:spacing w:line="480" w:lineRule="auto"/>
      </w:pPr>
      <w:r>
        <w:rPr>
          <w:rFonts w:ascii="Times New Roman" w:hAnsi="Times New Roman" w:cs="Times New Roman" w:eastAsia="Times New Roman"/>
          <w:b/>
          <w:color w:val="000000"/>
        </w:rPr>
        <w:t>Table 2.</w:t>
      </w:r>
      <w:r>
        <w:rPr>
          <w:rFonts w:ascii="Times New Roman" w:hAnsi="Times New Roman" w:cs="Times New Roman" w:eastAsia="Times New Roman"/>
          <w:color w:val="000000"/>
        </w:rPr>
        <w:t xml:space="preserve"> Quantitative evidence on exposure identity in traditional and herbal medicinal products.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b/>
                <w:color w:val="000000"/>
              </w:rPr>
              <w:t>Finding</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b/>
                <w:color w:val="000000"/>
              </w:rPr>
              <w:t>Material examined</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b/>
                <w:color w:val="000000"/>
              </w:rPr>
              <w:t>Result</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b/>
                <w:color w:val="000000"/>
              </w:rPr>
              <w:t>Source</w:t>
            </w:r>
          </w:p>
        </w:tc>
      </w:tr>
      <w:tr>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Ingredient fidelity, Ayurvedic products on the European market</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79 products (tablets, capsules, powders, extracts)</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 xml:space="preserve">67% fidelity for single-ingredient products; </w:t>
            </w:r>
            <w:r>
              <w:rPr>
                <w:rFonts w:ascii="Times New Roman" w:hAnsi="Times New Roman" w:cs="Times New Roman" w:eastAsia="Times New Roman"/>
                <w:b/>
                <w:color w:val="000000"/>
              </w:rPr>
              <w:t>21% for multi-ingredient</w:t>
            </w:r>
            <w:r>
              <w:rPr>
                <w:rFonts w:ascii="Times New Roman" w:hAnsi="Times New Roman" w:cs="Times New Roman" w:eastAsia="Times New Roman"/>
                <w:color w:val="000000"/>
              </w:rPr>
              <w:t>; 24% overall. 8 of 27 multi-ingredient products contained none of the labelled species</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[9]</w:t>
            </w:r>
          </w:p>
        </w:tc>
      </w:tr>
      <w:tr>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Global adulteration, DNA-based authentication</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5,957 commercial products, 37 countries</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27% adulterated overall; Asia 23%, North America 33%, Europe 47%, South America 67%, Australia 79%</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[10]</w:t>
            </w:r>
          </w:p>
        </w:tc>
      </w:tr>
      <w:tr>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Adulteration in single-drug market powders</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Market samples, rbcL barcoding</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46% contained adulterant material, including taxonomically unrelated species</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[11]</w:t>
            </w:r>
          </w:p>
        </w:tc>
      </w:tr>
      <w:tr>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Heavy metals in Ayurvedic products</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193 products, 37 manufacturers, 25 internet vendors</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20.7% contained detectable lead, mercury or arsenic; rasa shastra products &gt;2× as likely to contain metals, with higher lead and mercury concentrations</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[12]</w:t>
            </w:r>
          </w:p>
        </w:tc>
      </w:tr>
      <w:tr>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Authentication of material retrieved from patients</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4 raw plant parts, 2 commercial preparations</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 xml:space="preserve">4 of 4 raw samples identified by morphology, microscopy, HPTLC and barcoding; </w:t>
            </w:r>
            <w:r>
              <w:rPr>
                <w:rFonts w:ascii="Times New Roman" w:hAnsi="Times New Roman" w:cs="Times New Roman" w:eastAsia="Times New Roman"/>
                <w:b/>
                <w:color w:val="000000"/>
              </w:rPr>
              <w:t>0 of 2 commercial preparations analysable by any method</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[13]</w:t>
            </w:r>
          </w:p>
        </w:tc>
      </w:tr>
    </w:tbl>
    <w:p>
      <w:pPr>
        <w:spacing w:line="480" w:lineRule="auto"/>
      </w:pPr>
    </w:p>
    <w:p>
      <w:pPr>
        <w:spacing w:line="480" w:lineRule="auto"/>
      </w:pPr>
      <w:r>
        <w:rPr>
          <w:rFonts w:ascii="Times New Roman" w:hAnsi="Times New Roman" w:cs="Times New Roman" w:eastAsia="Times New Roman"/>
          <w:color w:val="000000"/>
        </w:rPr>
        <w:t>Two features of that table matter more than the headline percentages. Fidelity falls as formulation complexity rises, from 67 per cent to 21 per cent across the same study [9]. And the bottom row records the only entry in which investigators held material the patients had actually swallowed, which is the sample that matters for causality and the one almost never collected.</w:t>
      </w:r>
    </w:p>
    <w:p>
      <w:pPr>
        <w:spacing w:line="480" w:lineRule="auto"/>
      </w:pPr>
      <w:r>
        <w:rPr>
          <w:rFonts w:ascii="Times New Roman" w:hAnsi="Times New Roman" w:cs="Times New Roman" w:eastAsia="Times New Roman"/>
          <w:color w:val="000000"/>
        </w:rPr>
        <w:t>The attributability problem compounds beyond simple uncertainty about which ingredient did the damage. Three mechanisms can produce hepatic injury from a formulation in which no single constituent is hepatotoxic at the doses present: additive burden across constituents sharing a metabolic route, induction or inhibition of cytochrome P450 isoforms by one constituent altering the handling of another, and displacement at plasma protein binding sites. A single-agent framing cannot represent any of these, and the instrument has no way to score "the combination, not the components".</w:t>
      </w:r>
    </w:p>
    <w:p>
      <w:pPr>
        <w:spacing w:line="480" w:lineRule="auto"/>
      </w:pPr>
      <w:r>
        <w:rPr>
          <w:rFonts w:ascii="Times New Roman" w:hAnsi="Times New Roman" w:cs="Times New Roman" w:eastAsia="Times New Roman"/>
          <w:color w:val="000000"/>
        </w:rPr>
        <w:t>This cuts against the easy reading of our argument. We are not claiming that authentication would reveal an innocent plant wrongly accused in most cases, though it would in some. The harder possibility is that a properly authenticated polyherbal exposure turns out to be genuinely hepatotoxic as a mixture while every ingredient in it looks safe in isolation, which would leave the species-level literature misleading in both directions at once.</w:t>
      </w:r>
    </w:p>
    <w:p>
      <w:pPr>
        <w:spacing w:line="480" w:lineRule="auto"/>
      </w:pPr>
      <w:r>
        <w:rPr>
          <w:rFonts w:ascii="Times New Roman" w:hAnsi="Times New Roman" w:cs="Times New Roman" w:eastAsia="Times New Roman"/>
          <w:b/>
          <w:i/>
          <w:color w:val="000000"/>
          <w:sz w:val="24"/>
        </w:rPr>
        <w:t>4.3 Adulteration with metals and undeclared drugs</w:t>
      </w:r>
    </w:p>
    <w:p>
      <w:pPr>
        <w:spacing w:line="480" w:lineRule="auto"/>
      </w:pPr>
      <w:r>
        <w:rPr>
          <w:rFonts w:ascii="Times New Roman" w:hAnsi="Times New Roman" w:cs="Times New Roman" w:eastAsia="Times New Roman"/>
          <w:color w:val="000000"/>
        </w:rPr>
        <w:t>Rasa shastra (the Ayurvedic tradition of mineral and metallic preparations) intentionally incorporates processed metals. Saper and colleagues bought 193 Ayurvedic products from 25 internet vendors, representing 37 manufacturers, and found detectable lead, mercury or arsenic in 20.7 per cent; rasa shastra products were more than twice as likely to contain metals, and carried higher lead and mercury concentrations [12].</w:t>
      </w:r>
    </w:p>
    <w:p>
      <w:pPr>
        <w:spacing w:line="480" w:lineRule="auto"/>
      </w:pPr>
      <w:r>
        <w:rPr>
          <w:rFonts w:ascii="Times New Roman" w:hAnsi="Times New Roman" w:cs="Times New Roman" w:eastAsia="Times New Roman"/>
          <w:color w:val="000000"/>
        </w:rPr>
        <w:t>For causality assessment this creates a specific failure. A patient who develops hepatic injury after taking a metal-bearing preparation has a plausible toxic exposure that is not botanical at all, and the case will nonetheless be filed under the plant name on the label. Hepatotoxicity literature for that species then thickens by one case, and the sixth RUCAM domain (prior known hepatotoxicity) scores higher for the next patient. Errors propagate, and they propagate in one direction: toward indicting plants.</w:t>
      </w:r>
    </w:p>
    <w:p>
      <w:pPr>
        <w:spacing w:line="480" w:lineRule="auto"/>
      </w:pPr>
      <w:r>
        <w:rPr>
          <w:rFonts w:ascii="Times New Roman" w:hAnsi="Times New Roman" w:cs="Times New Roman" w:eastAsia="Times New Roman"/>
          <w:color w:val="000000"/>
        </w:rPr>
        <w:t>Undeclared synthetic pharmaceuticals do the same work by a different route, and the glucocorticoid and non-steroidal anti-inflammatory adulterants documented in traditional joint-pain products are the obvious example.</w:t>
      </w:r>
    </w:p>
    <w:p>
      <w:pPr>
        <w:spacing w:line="480" w:lineRule="auto"/>
      </w:pPr>
      <w:r>
        <w:rPr>
          <w:rFonts w:ascii="Times New Roman" w:hAnsi="Times New Roman" w:cs="Times New Roman" w:eastAsia="Times New Roman"/>
          <w:b/>
          <w:i/>
          <w:color w:val="000000"/>
          <w:sz w:val="24"/>
        </w:rPr>
        <w:t>4.4 Variability within an authentic species</w:t>
      </w:r>
    </w:p>
    <w:p>
      <w:pPr>
        <w:spacing w:line="480" w:lineRule="auto"/>
      </w:pPr>
      <w:r>
        <w:rPr>
          <w:rFonts w:ascii="Times New Roman" w:hAnsi="Times New Roman" w:cs="Times New Roman" w:eastAsia="Times New Roman"/>
          <w:color w:val="000000"/>
        </w:rPr>
        <w:t xml:space="preserve">Suppose the species is right, the formulation is single-ingredient, and no metal or drug has been added. Identity is still not fixed. Secondary metabolite profiles vary with chemotype, harvest season, geography, plant stress and post-harvest processing; the classical </w:t>
      </w:r>
      <w:r>
        <w:rPr>
          <w:rFonts w:ascii="Times New Roman" w:hAnsi="Times New Roman" w:cs="Times New Roman" w:eastAsia="Times New Roman"/>
          <w:i/>
          <w:color w:val="000000"/>
        </w:rPr>
        <w:t>shodhana</w:t>
      </w:r>
      <w:r>
        <w:rPr>
          <w:rFonts w:ascii="Times New Roman" w:hAnsi="Times New Roman" w:cs="Times New Roman" w:eastAsia="Times New Roman"/>
          <w:color w:val="000000"/>
        </w:rPr>
        <w:t xml:space="preserve"> and </w:t>
      </w:r>
      <w:r>
        <w:rPr>
          <w:rFonts w:ascii="Times New Roman" w:hAnsi="Times New Roman" w:cs="Times New Roman" w:eastAsia="Times New Roman"/>
          <w:i/>
          <w:color w:val="000000"/>
        </w:rPr>
        <w:t>samskara</w:t>
      </w:r>
      <w:r>
        <w:rPr>
          <w:rFonts w:ascii="Times New Roman" w:hAnsi="Times New Roman" w:cs="Times New Roman" w:eastAsia="Times New Roman"/>
          <w:color w:val="000000"/>
        </w:rPr>
        <w:t xml:space="preserve"> procedures are themselves chemical transformations — and they get applied with considerable regional variation. Two authentic samples of the same species can differ substantially in the constituents that matter toxicologically.</w:t>
      </w:r>
    </w:p>
    <w:p>
      <w:pPr>
        <w:spacing w:line="480" w:lineRule="auto"/>
      </w:pPr>
      <w:r>
        <w:rPr>
          <w:rFonts w:ascii="Times New Roman" w:hAnsi="Times New Roman" w:cs="Times New Roman" w:eastAsia="Times New Roman"/>
          <w:color w:val="000000"/>
        </w:rPr>
        <w:t>RUCAM has no element for any of this, as its authors have stated [2]. So a negative case (a patient who took the same herb and came to no harm) cannot exculpate, because it may not have been the same material.</w:t>
      </w:r>
    </w:p>
    <w:p>
      <w:pPr>
        <w:spacing w:line="480" w:lineRule="auto"/>
      </w:pPr>
      <w:r>
        <w:rPr>
          <w:rFonts w:ascii="Times New Roman" w:hAnsi="Times New Roman" w:cs="Times New Roman" w:eastAsia="Times New Roman"/>
          <w:b/>
          <w:color w:val="000000"/>
          <w:sz w:val="24"/>
        </w:rPr>
        <w:t>5. The Tinospora cordifolia episode as a worked example</w:t>
      </w:r>
    </w:p>
    <w:p>
      <w:pPr>
        <w:spacing w:line="480" w:lineRule="auto"/>
      </w:pPr>
      <w:r>
        <w:rPr>
          <w:rFonts w:ascii="Times New Roman" w:hAnsi="Times New Roman" w:cs="Times New Roman" w:eastAsia="Times New Roman"/>
          <w:color w:val="000000"/>
        </w:rPr>
        <w:t>Events between 2021 and 2023 deserve setting out in sequence. Here is the rare instance in which the identity question got argued in public rather than quietly passed over.</w:t>
      </w:r>
    </w:p>
    <w:p>
      <w:pPr>
        <w:spacing w:line="480" w:lineRule="auto"/>
      </w:pPr>
      <w:r>
        <w:rPr>
          <w:rFonts w:ascii="Times New Roman" w:hAnsi="Times New Roman" w:cs="Times New Roman" w:eastAsia="Times New Roman"/>
          <w:color w:val="000000"/>
        </w:rPr>
        <w:t xml:space="preserve">Nagral and colleagues reported six patients who developed liver injury after taking </w:t>
      </w:r>
      <w:r>
        <w:rPr>
          <w:rFonts w:ascii="Times New Roman" w:hAnsi="Times New Roman" w:cs="Times New Roman" w:eastAsia="Times New Roman"/>
          <w:i/>
          <w:color w:val="000000"/>
        </w:rPr>
        <w:t>T. cordifolia</w:t>
      </w:r>
      <w:r>
        <w:rPr>
          <w:rFonts w:ascii="Times New Roman" w:hAnsi="Times New Roman" w:cs="Times New Roman" w:eastAsia="Times New Roman"/>
          <w:color w:val="000000"/>
        </w:rPr>
        <w:t xml:space="preserve"> during the pandemic, several with autoimmune features [4]. Kulkarni and colleagues then assembled 43 patients across 13 centres in nine Indian cities; median latency from first consumption to symptom onset was 46 days; more than half the patients were women; anti-nuclear antibody was the commonest autoantibody; and causality assessment returned probable injury in 67.4 per cent [5]. Presentations ran the range: acute hepatitis, acute-on-chronic liver failure, acute liver failure.</w:t>
      </w:r>
    </w:p>
    <w:p>
      <w:pPr>
        <w:spacing w:line="480" w:lineRule="auto"/>
      </w:pPr>
      <w:r>
        <w:rPr>
          <w:rFonts w:ascii="Times New Roman" w:hAnsi="Times New Roman" w:cs="Times New Roman" w:eastAsia="Times New Roman"/>
          <w:color w:val="000000"/>
        </w:rPr>
        <w:t xml:space="preserve">Critics argued that the implicated material had not been authenticated and that </w:t>
      </w:r>
      <w:r>
        <w:rPr>
          <w:rFonts w:ascii="Times New Roman" w:hAnsi="Times New Roman" w:cs="Times New Roman" w:eastAsia="Times New Roman"/>
          <w:i/>
          <w:color w:val="000000"/>
        </w:rPr>
        <w:t>T. crispa</w:t>
      </w:r>
      <w:r>
        <w:rPr>
          <w:rFonts w:ascii="Times New Roman" w:hAnsi="Times New Roman" w:cs="Times New Roman" w:eastAsia="Times New Roman"/>
          <w:color w:val="000000"/>
        </w:rPr>
        <w:t xml:space="preserve"> substitution could account for the findings. AYUSH rejected the association publicly. Correspondence ran through </w:t>
      </w:r>
      <w:r>
        <w:rPr>
          <w:rFonts w:ascii="Times New Roman" w:hAnsi="Times New Roman" w:cs="Times New Roman" w:eastAsia="Times New Roman"/>
          <w:i/>
          <w:color w:val="000000"/>
        </w:rPr>
        <w:t>Hepatology Communications</w:t>
      </w:r>
      <w:r>
        <w:rPr>
          <w:rFonts w:ascii="Times New Roman" w:hAnsi="Times New Roman" w:cs="Times New Roman" w:eastAsia="Times New Roman"/>
          <w:color w:val="000000"/>
        </w:rPr>
        <w:t xml:space="preserve"> across several issues.</w:t>
      </w:r>
    </w:p>
    <w:p>
      <w:pPr>
        <w:spacing w:line="480" w:lineRule="auto"/>
      </w:pPr>
      <w:r>
        <w:rPr>
          <w:rFonts w:ascii="Times New Roman" w:hAnsi="Times New Roman" w:cs="Times New Roman" w:eastAsia="Times New Roman"/>
          <w:color w:val="000000"/>
        </w:rPr>
        <w:t>Then the investigators did the thing the field almost never does. They went back to the patients, retrieved what material they could, and had it analysed [13]. Six samples came back: four plant parts (stems and leaves) and two commercial preparations. All six went to HPTLC phytochemical analysis and DNA barcoding; the four plant parts also went to a botanist for morphological and microscopic examination.</w:t>
      </w:r>
    </w:p>
    <w:p>
      <w:pPr>
        <w:spacing w:line="480" w:lineRule="auto"/>
      </w:pPr>
      <w:r>
        <w:rPr>
          <w:rFonts w:ascii="Times New Roman" w:hAnsi="Times New Roman" w:cs="Times New Roman" w:eastAsia="Times New Roman"/>
          <w:color w:val="000000"/>
        </w:rPr>
        <w:t xml:space="preserve">All four raw samples were </w:t>
      </w:r>
      <w:r>
        <w:rPr>
          <w:rFonts w:ascii="Times New Roman" w:hAnsi="Times New Roman" w:cs="Times New Roman" w:eastAsia="Times New Roman"/>
          <w:i/>
          <w:color w:val="000000"/>
        </w:rPr>
        <w:t>T. cordifolia</w:t>
      </w:r>
      <w:r>
        <w:rPr>
          <w:rFonts w:ascii="Times New Roman" w:hAnsi="Times New Roman" w:cs="Times New Roman" w:eastAsia="Times New Roman"/>
          <w:color w:val="000000"/>
        </w:rPr>
        <w:t>. Both commercial preparations failed analysis entirely, by phytochemistry and by barcoding alike, because co-formulated ingredients interfered [13].</w:t>
      </w:r>
    </w:p>
    <w:p>
      <w:pPr>
        <w:spacing w:line="480" w:lineRule="auto"/>
      </w:pPr>
      <w:r>
        <w:rPr>
          <w:rFonts w:ascii="Times New Roman" w:hAnsi="Times New Roman" w:cs="Times New Roman" w:eastAsia="Times New Roman"/>
          <w:color w:val="000000"/>
        </w:rPr>
        <w:t>We would draw attention to that result rather than to the attribution it supports. Four of four raw samples resolved. Zero of two finished products resolved. The investigators were motivated, the methods were appropriate, the samples were in hand. For the product formats that most patients actually buy, the question stayed unanswerable. None of that reflects a failure of diligence. Rather, it marks a limit of the available analytical toolkit when applied to the matrices in which traditional medicines reach patients.</w:t>
      </w:r>
    </w:p>
    <w:p>
      <w:pPr>
        <w:spacing w:line="480" w:lineRule="auto"/>
      </w:pPr>
      <w:r>
        <w:rPr>
          <w:rFonts w:ascii="Times New Roman" w:hAnsi="Times New Roman" w:cs="Times New Roman" w:eastAsia="Times New Roman"/>
          <w:color w:val="000000"/>
        </w:rPr>
        <w:t>Two further observations follow from the episode. Authentication happened retrospectively, under the pressure of controversy, and only on samples that happened to survive; had the dispute not erupted, nothing would have been retained or tested. And the causality scores, computed competently and reported clearly, played no part in resolving the disagreement, because the disagreement was never about sequence.</w:t>
      </w:r>
    </w:p>
    <w:p>
      <w:pPr>
        <w:spacing w:line="480" w:lineRule="auto"/>
      </w:pPr>
      <w:r>
        <w:rPr>
          <w:rFonts w:ascii="Times New Roman" w:hAnsi="Times New Roman" w:cs="Times New Roman" w:eastAsia="Times New Roman"/>
          <w:b/>
          <w:color w:val="000000"/>
        </w:rPr>
        <w:t>Figure 2.</w:t>
      </w:r>
      <w:r>
        <w:rPr>
          <w:rFonts w:ascii="Times New Roman" w:hAnsi="Times New Roman" w:cs="Times New Roman" w:eastAsia="Times New Roman"/>
          <w:color w:val="000000"/>
        </w:rPr>
        <w:t xml:space="preserve"> Timeline of the </w:t>
      </w:r>
      <w:r>
        <w:rPr>
          <w:rFonts w:ascii="Times New Roman" w:hAnsi="Times New Roman" w:cs="Times New Roman" w:eastAsia="Times New Roman"/>
          <w:i/>
          <w:color w:val="000000"/>
        </w:rPr>
        <w:t>Tinospora cordifolia</w:t>
      </w:r>
      <w:r>
        <w:rPr>
          <w:rFonts w:ascii="Times New Roman" w:hAnsi="Times New Roman" w:cs="Times New Roman" w:eastAsia="Times New Roman"/>
          <w:color w:val="000000"/>
        </w:rPr>
        <w:t xml:space="preserve"> episode, 2021 to 2023, with the identity question tracked separately from the causality question. Panel A marks publications: the initial case series [4], the multicentre study [5], the ministerial statement, the published correspondence, and the authentication report [13]. Panel B marks what was known about exposure identity at each point, which stays at I0 until the final step and then splits, reaching I2 or I3 for raw material while remaining at I0 for the commercial preparations. Panel B is the point of the figure: the causality evidence accumulated steadily while the identity evidence did not move for two years.</w:t>
      </w:r>
    </w:p>
    <w:p>
      <w:pPr>
        <w:spacing w:line="480" w:lineRule="auto"/>
      </w:pPr>
      <w:r>
        <w:rPr>
          <w:rFonts w:ascii="Times New Roman" w:hAnsi="Times New Roman" w:cs="Times New Roman" w:eastAsia="Times New Roman"/>
          <w:color w:val="000000"/>
        </w:rPr>
        <w:t>Why did it take a public controversy to produce six samples? Nothing in the reporting standards of any journal involved required them, and nothing in the causality instrument asked. Retention was left to individual diligence under adversarial pressure, which is not a system.</w:t>
      </w:r>
    </w:p>
    <w:p>
      <w:pPr>
        <w:spacing w:line="480" w:lineRule="auto"/>
      </w:pPr>
      <w:r>
        <w:rPr>
          <w:rFonts w:ascii="Times New Roman" w:hAnsi="Times New Roman" w:cs="Times New Roman" w:eastAsia="Times New Roman"/>
          <w:b/>
          <w:color w:val="000000"/>
          <w:sz w:val="24"/>
        </w:rPr>
        <w:t>6. What authentication delivers, and where it stops</w:t>
      </w:r>
    </w:p>
    <w:p>
      <w:pPr>
        <w:spacing w:line="480" w:lineRule="auto"/>
      </w:pPr>
      <w:r>
        <w:rPr>
          <w:rFonts w:ascii="Times New Roman" w:hAnsi="Times New Roman" w:cs="Times New Roman" w:eastAsia="Times New Roman"/>
          <w:b/>
          <w:i/>
          <w:color w:val="000000"/>
          <w:sz w:val="24"/>
        </w:rPr>
        <w:t>6.1 The methods</w:t>
      </w:r>
    </w:p>
    <w:p>
      <w:pPr>
        <w:spacing w:line="480" w:lineRule="auto"/>
      </w:pPr>
      <w:r>
        <w:rPr>
          <w:rFonts w:ascii="Times New Roman" w:hAnsi="Times New Roman" w:cs="Times New Roman" w:eastAsia="Times New Roman"/>
          <w:color w:val="000000"/>
        </w:rPr>
        <w:t>Morphological and microscopic examination remains the first resort for raw material and demands a trained botanist; it is cheap, fast and useless once the plant has been powdered, extracted or compounded.</w:t>
      </w:r>
    </w:p>
    <w:p>
      <w:pPr>
        <w:spacing w:line="480" w:lineRule="auto"/>
      </w:pPr>
      <w:r>
        <w:rPr>
          <w:rFonts w:ascii="Times New Roman" w:hAnsi="Times New Roman" w:cs="Times New Roman" w:eastAsia="Times New Roman"/>
          <w:color w:val="000000"/>
        </w:rPr>
        <w:t>Chromatographic fingerprinting (HPTLC in particular) characterises the chemical profile and separates congeners where marker compounds differ. In mixtures it degrades, where peaks overlap and co-formulated constituents mask the analyte.</w:t>
      </w:r>
    </w:p>
    <w:p>
      <w:pPr>
        <w:spacing w:line="480" w:lineRule="auto"/>
      </w:pPr>
      <w:r>
        <w:rPr>
          <w:rFonts w:ascii="Times New Roman" w:hAnsi="Times New Roman" w:cs="Times New Roman" w:eastAsia="Times New Roman"/>
          <w:color w:val="000000"/>
        </w:rPr>
        <w:t xml:space="preserve">DNA barcoding amplifies standard loci (ITS2, </w:t>
      </w:r>
      <w:r>
        <w:rPr>
          <w:rFonts w:ascii="Times New Roman" w:hAnsi="Times New Roman" w:cs="Times New Roman" w:eastAsia="Times New Roman"/>
          <w:i/>
          <w:color w:val="000000"/>
        </w:rPr>
        <w:t>rbcL</w:t>
      </w:r>
      <w:r>
        <w:rPr>
          <w:rFonts w:ascii="Times New Roman" w:hAnsi="Times New Roman" w:cs="Times New Roman" w:eastAsia="Times New Roman"/>
          <w:color w:val="000000"/>
        </w:rPr>
        <w:t xml:space="preserve">, </w:t>
      </w:r>
      <w:r>
        <w:rPr>
          <w:rFonts w:ascii="Times New Roman" w:hAnsi="Times New Roman" w:cs="Times New Roman" w:eastAsia="Times New Roman"/>
          <w:i/>
          <w:color w:val="000000"/>
        </w:rPr>
        <w:t>psbA-trnH</w:t>
      </w:r>
      <w:r>
        <w:rPr>
          <w:rFonts w:ascii="Times New Roman" w:hAnsi="Times New Roman" w:cs="Times New Roman" w:eastAsia="Times New Roman"/>
          <w:color w:val="000000"/>
        </w:rPr>
        <w:t xml:space="preserve">, </w:t>
      </w:r>
      <w:r>
        <w:rPr>
          <w:rFonts w:ascii="Times New Roman" w:hAnsi="Times New Roman" w:cs="Times New Roman" w:eastAsia="Times New Roman"/>
          <w:i/>
          <w:color w:val="000000"/>
        </w:rPr>
        <w:t>matK</w:t>
      </w:r>
      <w:r>
        <w:rPr>
          <w:rFonts w:ascii="Times New Roman" w:hAnsi="Times New Roman" w:cs="Times New Roman" w:eastAsia="Times New Roman"/>
          <w:color w:val="000000"/>
        </w:rPr>
        <w:t>) and compares them against reference libraries. Barcoding identifies species from fragmentary material and survives powdering. Degraded template in extracts defeats it, as does any processing that destroys amplifiable DNA, and what it reports is the DNA present rather than the constituent doing pharmacological work.</w:t>
      </w:r>
    </w:p>
    <w:p>
      <w:pPr>
        <w:spacing w:line="480" w:lineRule="auto"/>
      </w:pPr>
      <w:r>
        <w:rPr>
          <w:rFonts w:ascii="Times New Roman" w:hAnsi="Times New Roman" w:cs="Times New Roman" w:eastAsia="Times New Roman"/>
          <w:color w:val="000000"/>
        </w:rPr>
        <w:t>DNA metabarcoding, which sequences mixed amplicons, was developed precisely for multi-species products and is the method behind the European market survey [9]. Mixtures trouble it far less than they trouble single-locus barcoding. Reference library gaps, differential amplification between taxa and the impossibility of quantifying biomass from read counts all constrain it.</w:t>
      </w:r>
    </w:p>
    <w:p>
      <w:pPr>
        <w:spacing w:line="480" w:lineRule="auto"/>
      </w:pPr>
      <w:r>
        <w:rPr>
          <w:rFonts w:ascii="Times New Roman" w:hAnsi="Times New Roman" w:cs="Times New Roman" w:eastAsia="Times New Roman"/>
          <w:color w:val="000000"/>
        </w:rPr>
        <w:t>Elemental analysis by ICP-MS answers a different question and answers it well: it detects and quantifies lead, mercury and arsenic regardless of botanical content [12].</w:t>
      </w:r>
    </w:p>
    <w:p>
      <w:pPr>
        <w:spacing w:line="480" w:lineRule="auto"/>
      </w:pPr>
      <w:r>
        <w:rPr>
          <w:rFonts w:ascii="Times New Roman" w:hAnsi="Times New Roman" w:cs="Times New Roman" w:eastAsia="Times New Roman"/>
          <w:b/>
          <w:color w:val="000000"/>
        </w:rPr>
        <w:t>Table 3.</w:t>
      </w:r>
      <w:r>
        <w:rPr>
          <w:rFonts w:ascii="Times New Roman" w:hAnsi="Times New Roman" w:cs="Times New Roman" w:eastAsia="Times New Roman"/>
          <w:color w:val="000000"/>
        </w:rPr>
        <w:t xml:space="preserve"> Authentication methods, their reach, and where each stops.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b/>
                <w:color w:val="000000"/>
              </w:rPr>
              <w:t>Method</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b/>
                <w:color w:val="000000"/>
              </w:rPr>
              <w:t>Resolves</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b/>
                <w:color w:val="000000"/>
              </w:rPr>
              <w:t>Fails on</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b/>
                <w:color w:val="000000"/>
              </w:rPr>
              <w:t>Usable on a finished polyherbal product?</w:t>
            </w:r>
          </w:p>
        </w:tc>
      </w:tr>
      <w:tr>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Morphology and microscopy</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Species identity in intact or coarsely fragmented raw material; requires a trained botanist and a voucher deposit</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Any powdered, extracted or compounded material</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No</w:t>
            </w:r>
          </w:p>
        </w:tc>
      </w:tr>
      <w:tr>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Chromatographic fingerprinting (HPTLC)</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Chemical profile; separates congeners where marker compounds differ</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Overlapping peaks in mixtures; masking by co-formulated constituents</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Rarely; interference defeated it in the retrieved products [13]</w:t>
            </w:r>
          </w:p>
        </w:tc>
      </w:tr>
      <w:tr>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 xml:space="preserve">DNA barcoding (ITS2, </w:t>
            </w:r>
            <w:r>
              <w:rPr>
                <w:rFonts w:ascii="Times New Roman" w:hAnsi="Times New Roman" w:cs="Times New Roman" w:eastAsia="Times New Roman"/>
                <w:i/>
                <w:color w:val="000000"/>
              </w:rPr>
              <w:t>rbcL</w:t>
            </w:r>
            <w:r>
              <w:rPr>
                <w:rFonts w:ascii="Times New Roman" w:hAnsi="Times New Roman" w:cs="Times New Roman" w:eastAsia="Times New Roman"/>
                <w:color w:val="000000"/>
              </w:rPr>
              <w:t xml:space="preserve">, </w:t>
            </w:r>
            <w:r>
              <w:rPr>
                <w:rFonts w:ascii="Times New Roman" w:hAnsi="Times New Roman" w:cs="Times New Roman" w:eastAsia="Times New Roman"/>
                <w:i/>
                <w:color w:val="000000"/>
              </w:rPr>
              <w:t>psbA-trnH</w:t>
            </w:r>
            <w:r>
              <w:rPr>
                <w:rFonts w:ascii="Times New Roman" w:hAnsi="Times New Roman" w:cs="Times New Roman" w:eastAsia="Times New Roman"/>
                <w:color w:val="000000"/>
              </w:rPr>
              <w:t xml:space="preserve">, </w:t>
            </w:r>
            <w:r>
              <w:rPr>
                <w:rFonts w:ascii="Times New Roman" w:hAnsi="Times New Roman" w:cs="Times New Roman" w:eastAsia="Times New Roman"/>
                <w:i/>
                <w:color w:val="000000"/>
              </w:rPr>
              <w:t>matK</w:t>
            </w:r>
            <w:r>
              <w:rPr>
                <w:rFonts w:ascii="Times New Roman" w:hAnsi="Times New Roman" w:cs="Times New Roman" w:eastAsia="Times New Roman"/>
                <w:color w:val="000000"/>
              </w:rPr>
              <w:t>)</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Species from fragmentary or powdered material</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Degraded template in extracts; processing that destroys amplifiable DNA; reports DNA present, not active constituent</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Rarely; same interference [13]</w:t>
            </w:r>
          </w:p>
        </w:tc>
      </w:tr>
      <w:tr>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DNA metabarcoding</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Multiple species simultaneously in mixed products; the method behind the European survey [9]</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Reference-library gaps; differential amplification between taxa; read counts do not quantify biomass</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Partly, and better than any single-locus approach</w:t>
            </w:r>
          </w:p>
        </w:tc>
      </w:tr>
      <w:tr>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ICP-MS elemental analysis</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Lead, mercury, arsenic, quantified irrespective of botanical content [12]</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Says nothing about botanical identity</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Yes, for the metals question only</w:t>
            </w:r>
          </w:p>
        </w:tc>
      </w:tr>
    </w:tbl>
    <w:p>
      <w:pPr>
        <w:spacing w:line="480" w:lineRule="auto"/>
      </w:pPr>
    </w:p>
    <w:p>
      <w:pPr>
        <w:spacing w:line="480" w:lineRule="auto"/>
      </w:pPr>
      <w:r>
        <w:rPr>
          <w:rFonts w:ascii="Times New Roman" w:hAnsi="Times New Roman" w:cs="Times New Roman" w:eastAsia="Times New Roman"/>
          <w:color w:val="000000"/>
        </w:rPr>
        <w:t>Read down the final column. One method answers a question about metals, one partly answers the botanical question, and the rest stop at the point where raw material becomes a product.</w:t>
      </w:r>
    </w:p>
    <w:p>
      <w:pPr>
        <w:spacing w:line="480" w:lineRule="auto"/>
      </w:pPr>
      <w:r>
        <w:rPr>
          <w:rFonts w:ascii="Times New Roman" w:hAnsi="Times New Roman" w:cs="Times New Roman" w:eastAsia="Times New Roman"/>
          <w:b/>
          <w:i/>
          <w:color w:val="000000"/>
          <w:sz w:val="24"/>
        </w:rPr>
        <w:t>6.2 The matrix problem</w:t>
      </w:r>
    </w:p>
    <w:p>
      <w:pPr>
        <w:spacing w:line="480" w:lineRule="auto"/>
      </w:pPr>
      <w:r>
        <w:rPr>
          <w:rFonts w:ascii="Times New Roman" w:hAnsi="Times New Roman" w:cs="Times New Roman" w:eastAsia="Times New Roman"/>
          <w:color w:val="000000"/>
        </w:rPr>
        <w:t xml:space="preserve">Each method has a domain in which it works and a boundary at which it stops, and the boundaries converge at the same place: the finished, processed, multi-ingredient commercial product. That convergence is what the </w:t>
      </w:r>
      <w:r>
        <w:rPr>
          <w:rFonts w:ascii="Times New Roman" w:hAnsi="Times New Roman" w:cs="Times New Roman" w:eastAsia="Times New Roman"/>
          <w:i/>
          <w:color w:val="000000"/>
        </w:rPr>
        <w:t>Tinospora</w:t>
      </w:r>
      <w:r>
        <w:rPr>
          <w:rFonts w:ascii="Times New Roman" w:hAnsi="Times New Roman" w:cs="Times New Roman" w:eastAsia="Times New Roman"/>
          <w:color w:val="000000"/>
        </w:rPr>
        <w:t xml:space="preserve"> samples demonstrated empirically [13].</w:t>
      </w:r>
    </w:p>
    <w:p>
      <w:pPr>
        <w:spacing w:line="480" w:lineRule="auto"/>
      </w:pPr>
      <w:r>
        <w:rPr>
          <w:rFonts w:ascii="Times New Roman" w:hAnsi="Times New Roman" w:cs="Times New Roman" w:eastAsia="Times New Roman"/>
          <w:color w:val="000000"/>
        </w:rPr>
        <w:t xml:space="preserve">Responses have begun. Góis and colleagues recently reported a translational case series pairing chemical authentication with updated RUCAM scoring, which is the correct shape for the problem [14]. ConPhyMP, the consensus statement on phytochemical characterisation of extracts, already specifies what should be reported about starting material and chemical composition in pharmacological and toxicological research, and has been adopted as an element of peer review at some journals [15]. Elsevier's </w:t>
      </w:r>
      <w:r>
        <w:rPr>
          <w:rFonts w:ascii="Times New Roman" w:hAnsi="Times New Roman" w:cs="Times New Roman" w:eastAsia="Times New Roman"/>
          <w:i/>
          <w:color w:val="000000"/>
        </w:rPr>
        <w:t>Journal of Ethnopharmacology</w:t>
      </w:r>
      <w:r>
        <w:rPr>
          <w:rFonts w:ascii="Times New Roman" w:hAnsi="Times New Roman" w:cs="Times New Roman" w:eastAsia="Times New Roman"/>
          <w:color w:val="000000"/>
        </w:rPr>
        <w:t xml:space="preserve"> requires full botanical names with authorities and a deposited voucher specimen for primary research [16].</w:t>
      </w:r>
    </w:p>
    <w:p>
      <w:pPr>
        <w:spacing w:line="480" w:lineRule="auto"/>
      </w:pPr>
      <w:r>
        <w:rPr>
          <w:rFonts w:ascii="Times New Roman" w:hAnsi="Times New Roman" w:cs="Times New Roman" w:eastAsia="Times New Roman"/>
          <w:color w:val="000000"/>
        </w:rPr>
        <w:t>Notice the asymmetry. A pharmacology paper reporting that an extract lowered transaminases in rats must name the species with its authority and deposit a voucher. A clinical paper reporting that the same plant destroyed a human liver need do neither.</w:t>
      </w:r>
    </w:p>
    <w:p>
      <w:pPr>
        <w:spacing w:line="480" w:lineRule="auto"/>
      </w:pPr>
      <w:r>
        <w:rPr>
          <w:rFonts w:ascii="Times New Roman" w:hAnsi="Times New Roman" w:cs="Times New Roman" w:eastAsia="Times New Roman"/>
          <w:color w:val="000000"/>
        </w:rPr>
        <w:t>There is a defensible reason for part of that gap, and it should be stated before anyone reads the asymmetry as mere inconsistency. A pharmacologist chooses the material, orders it, and controls the experiment; a clinician meets a patient who has already taken something, and the demand to authenticate it arrives too late by construction. Nobody can require a hepatologist to have authenticated an exposure that happened before the consultation.</w:t>
      </w:r>
    </w:p>
    <w:p>
      <w:pPr>
        <w:spacing w:line="480" w:lineRule="auto"/>
      </w:pPr>
      <w:r>
        <w:rPr>
          <w:rFonts w:ascii="Times New Roman" w:hAnsi="Times New Roman" w:cs="Times New Roman" w:eastAsia="Times New Roman"/>
          <w:color w:val="000000"/>
        </w:rPr>
        <w:t xml:space="preserve">What follows is a requirement different in kind, and lighter. Clinicians cannot be asked to authenticate retrospectively. They can be asked to </w:t>
      </w:r>
      <w:r>
        <w:rPr>
          <w:rFonts w:ascii="Times New Roman" w:hAnsi="Times New Roman" w:cs="Times New Roman" w:eastAsia="Times New Roman"/>
          <w:i/>
          <w:color w:val="000000"/>
        </w:rPr>
        <w:t>record identification status honestly</w:t>
      </w:r>
      <w:r>
        <w:rPr>
          <w:rFonts w:ascii="Times New Roman" w:hAnsi="Times New Roman" w:cs="Times New Roman" w:eastAsia="Times New Roman"/>
          <w:color w:val="000000"/>
        </w:rPr>
        <w:t xml:space="preserve">, and to retain material where any still exists, which costs almost nothing and makes authentication possible for somebody later. Reporting "I0" is not an admission of poor practice. Reporting "probable, </w:t>
      </w:r>
      <w:r>
        <w:rPr>
          <w:rFonts w:ascii="Times New Roman" w:hAnsi="Times New Roman" w:cs="Times New Roman" w:eastAsia="Times New Roman"/>
          <w:i/>
          <w:color w:val="000000"/>
        </w:rPr>
        <w:t>Tinospora cordifolia</w:t>
      </w:r>
      <w:r>
        <w:rPr>
          <w:rFonts w:ascii="Times New Roman" w:hAnsi="Times New Roman" w:cs="Times New Roman" w:eastAsia="Times New Roman"/>
          <w:color w:val="000000"/>
        </w:rPr>
        <w:t>" on I0 evidence, with no flag that the identification rests on a label, is the practice that needs to stop.</w:t>
      </w:r>
    </w:p>
    <w:p>
      <w:pPr>
        <w:spacing w:line="480" w:lineRule="auto"/>
      </w:pPr>
      <w:r>
        <w:rPr>
          <w:rFonts w:ascii="Times New Roman" w:hAnsi="Times New Roman" w:cs="Times New Roman" w:eastAsia="Times New Roman"/>
          <w:b/>
          <w:color w:val="000000"/>
          <w:sz w:val="24"/>
        </w:rPr>
        <w:t>7. An identity axis, reported separately</w:t>
      </w:r>
    </w:p>
    <w:p>
      <w:pPr>
        <w:spacing w:line="480" w:lineRule="auto"/>
      </w:pPr>
      <w:r>
        <w:rPr>
          <w:rFonts w:ascii="Times New Roman" w:hAnsi="Times New Roman" w:cs="Times New Roman" w:eastAsia="Times New Roman"/>
          <w:color w:val="000000"/>
        </w:rPr>
        <w:t>We propose that exposure identity be scored and reported on its own axis, alongside and not inside the causality score. Causality and identity are orthogonal, and collapsing them is what has made the HILI literature so hard to adjudicate.</w:t>
      </w:r>
    </w:p>
    <w:p>
      <w:pPr>
        <w:spacing w:line="480" w:lineRule="auto"/>
      </w:pPr>
      <w:r>
        <w:rPr>
          <w:rFonts w:ascii="Times New Roman" w:hAnsi="Times New Roman" w:cs="Times New Roman" w:eastAsia="Times New Roman"/>
          <w:color w:val="000000"/>
        </w:rPr>
        <w:t>Five levels will do, and nothing about them is technically demanding:</w:t>
      </w:r>
    </w:p>
    <w:p>
      <w:pPr>
        <w:spacing w:line="480" w:lineRule="auto"/>
      </w:pPr>
      <w:r>
        <w:rPr>
          <w:rFonts w:ascii="Times New Roman" w:hAnsi="Times New Roman" w:cs="Times New Roman" w:eastAsia="Times New Roman"/>
          <w:b/>
          <w:color w:val="000000"/>
        </w:rPr>
        <w:t>I0, label only.</w:t>
      </w:r>
      <w:r>
        <w:rPr>
          <w:rFonts w:ascii="Times New Roman" w:hAnsi="Times New Roman" w:cs="Times New Roman" w:eastAsia="Times New Roman"/>
          <w:color w:val="000000"/>
        </w:rPr>
        <w:t xml:space="preserve"> Patient account or packaging identifies the agent. No sample retained. This describes most of the published HILI record.</w:t>
      </w:r>
    </w:p>
    <w:p>
      <w:pPr>
        <w:spacing w:line="480" w:lineRule="auto"/>
      </w:pPr>
      <w:r>
        <w:rPr>
          <w:rFonts w:ascii="Times New Roman" w:hAnsi="Times New Roman" w:cs="Times New Roman" w:eastAsia="Times New Roman"/>
          <w:b/>
          <w:color w:val="000000"/>
        </w:rPr>
        <w:t>I1, product retained.</w:t>
      </w:r>
      <w:r>
        <w:rPr>
          <w:rFonts w:ascii="Times New Roman" w:hAnsi="Times New Roman" w:cs="Times New Roman" w:eastAsia="Times New Roman"/>
          <w:color w:val="000000"/>
        </w:rPr>
        <w:t xml:space="preserve"> A sample of what the patient consumed still exists and can be analysed later. Nothing beyond that is claimed.</w:t>
      </w:r>
    </w:p>
    <w:p>
      <w:pPr>
        <w:spacing w:line="480" w:lineRule="auto"/>
      </w:pPr>
      <w:r>
        <w:rPr>
          <w:rFonts w:ascii="Times New Roman" w:hAnsi="Times New Roman" w:cs="Times New Roman" w:eastAsia="Times New Roman"/>
          <w:b/>
          <w:color w:val="000000"/>
        </w:rPr>
        <w:t>I2, botanically identified.</w:t>
      </w:r>
      <w:r>
        <w:rPr>
          <w:rFonts w:ascii="Times New Roman" w:hAnsi="Times New Roman" w:cs="Times New Roman" w:eastAsia="Times New Roman"/>
          <w:color w:val="000000"/>
        </w:rPr>
        <w:t xml:space="preserve"> A qualified botanist has examined the raw material, morphologically and microscopically, and a voucher specimen now sits in a herbarium where any later challenge can reach it.</w:t>
      </w:r>
    </w:p>
    <w:p>
      <w:pPr>
        <w:spacing w:line="480" w:lineRule="auto"/>
      </w:pPr>
      <w:r>
        <w:rPr>
          <w:rFonts w:ascii="Times New Roman" w:hAnsi="Times New Roman" w:cs="Times New Roman" w:eastAsia="Times New Roman"/>
          <w:b/>
          <w:color w:val="000000"/>
        </w:rPr>
        <w:t>I3, chemically or genetically confirmed.</w:t>
      </w:r>
      <w:r>
        <w:rPr>
          <w:rFonts w:ascii="Times New Roman" w:hAnsi="Times New Roman" w:cs="Times New Roman" w:eastAsia="Times New Roman"/>
          <w:color w:val="000000"/>
        </w:rPr>
        <w:t xml:space="preserve"> Fingerprinting, barcoding or metabarcoding confirms the species; the report states which method ran, and against which reference library.</w:t>
      </w:r>
    </w:p>
    <w:p>
      <w:pPr>
        <w:spacing w:line="480" w:lineRule="auto"/>
      </w:pPr>
      <w:r>
        <w:rPr>
          <w:rFonts w:ascii="Times New Roman" w:hAnsi="Times New Roman" w:cs="Times New Roman" w:eastAsia="Times New Roman"/>
          <w:b/>
          <w:color w:val="000000"/>
        </w:rPr>
        <w:t>I4, fully characterised.</w:t>
      </w:r>
      <w:r>
        <w:rPr>
          <w:rFonts w:ascii="Times New Roman" w:hAnsi="Times New Roman" w:cs="Times New Roman" w:eastAsia="Times New Roman"/>
          <w:color w:val="000000"/>
        </w:rPr>
        <w:t xml:space="preserve"> Species confirmed, co-formulated ingredients enumerated, batch identified, with an elemental screen for lead, mercury and arsenic reported alongside.</w:t>
      </w:r>
    </w:p>
    <w:p>
      <w:pPr>
        <w:spacing w:line="480" w:lineRule="auto"/>
      </w:pPr>
      <w:r>
        <w:rPr>
          <w:rFonts w:ascii="Times New Roman" w:hAnsi="Times New Roman" w:cs="Times New Roman" w:eastAsia="Times New Roman"/>
          <w:b/>
          <w:color w:val="000000"/>
        </w:rPr>
        <w:t>Table 4.</w:t>
      </w:r>
      <w:r>
        <w:rPr>
          <w:rFonts w:ascii="Times New Roman" w:hAnsi="Times New Roman" w:cs="Times New Roman" w:eastAsia="Times New Roman"/>
          <w:color w:val="000000"/>
        </w:rPr>
        <w:t xml:space="preserve"> The identity-certainty axis, and what a report at each level can support.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b/>
                <w:color w:val="000000"/>
              </w:rPr>
              <w:t>Level</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b/>
                <w:color w:val="000000"/>
              </w:rPr>
              <w:t>Evidence held</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b/>
                <w:color w:val="000000"/>
              </w:rPr>
              <w:t>Claim the report can carry</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b/>
                <w:color w:val="000000"/>
              </w:rPr>
              <w:t>Where the published record mostly sits</w:t>
            </w:r>
          </w:p>
        </w:tc>
      </w:tr>
      <w:tr>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I0</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Patient account or packaging</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 xml:space="preserve">That </w:t>
            </w:r>
            <w:r>
              <w:rPr>
                <w:rFonts w:ascii="Times New Roman" w:hAnsi="Times New Roman" w:cs="Times New Roman" w:eastAsia="Times New Roman"/>
                <w:i/>
                <w:color w:val="000000"/>
              </w:rPr>
              <w:t>something consumed</w:t>
            </w:r>
            <w:r>
              <w:rPr>
                <w:rFonts w:ascii="Times New Roman" w:hAnsi="Times New Roman" w:cs="Times New Roman" w:eastAsia="Times New Roman"/>
                <w:color w:val="000000"/>
              </w:rPr>
              <w:t xml:space="preserve"> injured the liver</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The great majority of HILI case reports</w:t>
            </w:r>
          </w:p>
        </w:tc>
      </w:tr>
      <w:tr>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I1</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Retained sample, unanalysed</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As I0, but the claim remains open to later testing rather than closed</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Rare</w:t>
            </w:r>
          </w:p>
        </w:tc>
      </w:tr>
      <w:tr>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I2</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Botanist identification, voucher deposited</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Species-level claim for raw material</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 xml:space="preserve">The four </w:t>
            </w:r>
            <w:r>
              <w:rPr>
                <w:rFonts w:ascii="Times New Roman" w:hAnsi="Times New Roman" w:cs="Times New Roman" w:eastAsia="Times New Roman"/>
                <w:i/>
                <w:color w:val="000000"/>
              </w:rPr>
              <w:t>Tinospora</w:t>
            </w:r>
            <w:r>
              <w:rPr>
                <w:rFonts w:ascii="Times New Roman" w:hAnsi="Times New Roman" w:cs="Times New Roman" w:eastAsia="Times New Roman"/>
                <w:color w:val="000000"/>
              </w:rPr>
              <w:t xml:space="preserve"> plant samples [13]</w:t>
            </w:r>
          </w:p>
        </w:tc>
      </w:tr>
      <w:tr>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I3</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Chromatographic, barcoding or metabarcoding confirmation</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Species-level claim, independently checkable</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Occasional; the emerging translational designs [14]</w:t>
            </w:r>
          </w:p>
        </w:tc>
      </w:tr>
      <w:tr>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I4</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I3 plus co-formulants enumerated, batch identified, elemental screen reported</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Species-level claim with competing toxic exposures excluded</w:t>
            </w:r>
          </w:p>
        </w:tc>
        <w:tc>
          <w:tcPr>
            <w:tcW w:type="dxa" w:w="2160"/>
          </w:tcPr>
          <w:p>
            <w:pPr>
              <w:spacing w:line="480" w:lineRule="auto"/>
            </w:pPr>
            <w:r>
              <w:rPr>
                <w:rFonts w:ascii="Times New Roman" w:hAnsi="Times New Roman" w:cs="Times New Roman" w:eastAsia="Times New Roman"/>
                <w:color w:val="000000"/>
              </w:rPr>
            </w:r>
            <w:r>
              <w:rPr>
                <w:rFonts w:ascii="Times New Roman" w:hAnsi="Times New Roman" w:cs="Times New Roman" w:eastAsia="Times New Roman"/>
                <w:color w:val="000000"/>
              </w:rPr>
              <w:t>Effectively absent</w:t>
            </w:r>
          </w:p>
        </w:tc>
      </w:tr>
    </w:tbl>
    <w:p>
      <w:pPr>
        <w:spacing w:line="480" w:lineRule="auto"/>
      </w:pPr>
    </w:p>
    <w:p>
      <w:pPr>
        <w:spacing w:line="480" w:lineRule="auto"/>
      </w:pPr>
      <w:r>
        <w:rPr>
          <w:rFonts w:ascii="Times New Roman" w:hAnsi="Times New Roman" w:cs="Times New Roman" w:eastAsia="Times New Roman"/>
          <w:color w:val="000000"/>
        </w:rPr>
        <w:t>A case reported as "RUCAM probable, I0" is then legible for what it is: strong evidence that something the patient consumed injured the liver, and no evidence about which species to name. Report at I3 or I4 and the species-level claim stands.</w:t>
      </w:r>
    </w:p>
    <w:p>
      <w:pPr>
        <w:spacing w:line="480" w:lineRule="auto"/>
      </w:pPr>
      <w:r>
        <w:rPr>
          <w:rFonts w:ascii="Times New Roman" w:hAnsi="Times New Roman" w:cs="Times New Roman" w:eastAsia="Times New Roman"/>
          <w:color w:val="000000"/>
        </w:rPr>
        <w:t>Notice that the scheme cuts both ways, which is why we think it survives the politics of this subject. It restrains the clinician who wants to indict a plant on an I0 report. It equally restrains the manufacturer or ministry who wants to dismiss a cluster of injuries as misidentification, because that defence is itself an identity claim, and at I0 nobody can make it either. Neither side gets to assume the answer. Nothing in the proposal weakens causality assessment, and it costs a clinician one extra instruction to a patient (bring in the bottle) plus the freezer space to keep what arrives.</w:t>
      </w:r>
    </w:p>
    <w:p>
      <w:pPr>
        <w:spacing w:line="480" w:lineRule="auto"/>
      </w:pPr>
      <w:r>
        <w:rPr>
          <w:rFonts w:ascii="Times New Roman" w:hAnsi="Times New Roman" w:cs="Times New Roman" w:eastAsia="Times New Roman"/>
          <w:b/>
          <w:color w:val="000000"/>
        </w:rPr>
        <w:t>Figure 1.</w:t>
      </w:r>
      <w:r>
        <w:rPr>
          <w:rFonts w:ascii="Times New Roman" w:hAnsi="Times New Roman" w:cs="Times New Roman" w:eastAsia="Times New Roman"/>
          <w:color w:val="000000"/>
        </w:rPr>
        <w:t xml:space="preserve"> The two axes, plotted against each other. Causality (excluded through highly probable) runs on the horizontal; identity certainty (I0 through I4) on the vertical. Published HILI reports cluster along the bottom edge, where causality is confidently scored and identity is unrecorded. The upper-right quadrant, holding cases that are probably caused and confidently identified alike, is close to empty. Figure to be drawn in vector format at submission; the plotted positions are illustrative of the literature's distribution rather than derived from a systematic count, and Section 9 proposes the study that would supply real coordinates.</w:t>
      </w:r>
    </w:p>
    <w:p>
      <w:pPr>
        <w:spacing w:line="480" w:lineRule="auto"/>
      </w:pPr>
      <w:r>
        <w:rPr>
          <w:rFonts w:ascii="Times New Roman" w:hAnsi="Times New Roman" w:cs="Times New Roman" w:eastAsia="Times New Roman"/>
          <w:color w:val="000000"/>
        </w:rPr>
        <w:t>Nowhere does this bite harder than in the sixth RUCAM domain. Prior known hepatotoxicity for a species is currently scored against a literature assembled largely from I0 cases. Rebuilding that evidence base from identity-stratified reports would change what the domain means.</w:t>
      </w:r>
    </w:p>
    <w:p>
      <w:pPr>
        <w:spacing w:line="480" w:lineRule="auto"/>
      </w:pPr>
      <w:r>
        <w:rPr>
          <w:rFonts w:ascii="Times New Roman" w:hAnsi="Times New Roman" w:cs="Times New Roman" w:eastAsia="Times New Roman"/>
          <w:b/>
          <w:color w:val="000000"/>
          <w:sz w:val="24"/>
        </w:rPr>
        <w:t>8. Implications for practice, regulation and journals</w:t>
      </w:r>
    </w:p>
    <w:p>
      <w:pPr>
        <w:spacing w:line="480" w:lineRule="auto"/>
      </w:pPr>
      <w:r>
        <w:rPr>
          <w:rFonts w:ascii="Times New Roman" w:hAnsi="Times New Roman" w:cs="Times New Roman" w:eastAsia="Times New Roman"/>
          <w:color w:val="000000"/>
        </w:rPr>
        <w:t>Retention is the step available to clinicians today. Any suspected HILI case should trigger a request for the remaining product and its packaging, stored against later analysis, much as a suspected poisoning triggers sample collection. Agadtantra and clinical toxicology already carry this reflex; hepatology has not acquired it for herbals.</w:t>
      </w:r>
    </w:p>
    <w:p>
      <w:pPr>
        <w:spacing w:line="480" w:lineRule="auto"/>
      </w:pPr>
      <w:r>
        <w:rPr>
          <w:rFonts w:ascii="Times New Roman" w:hAnsi="Times New Roman" w:cs="Times New Roman" w:eastAsia="Times New Roman"/>
          <w:color w:val="000000"/>
        </w:rPr>
        <w:t>Spontaneous reporting forms need fields that current ones lack: manufacturer, batch, retained sample yes or no, authentication performed yes or no. India's pharmacovigilance programme for Ayurveda, Siddha, Unani and Homoeopathy drugs is the natural vehicle in the market where the question presses hardest, and WHO's broader work on traditional medicine safety supplies the international frame.</w:t>
      </w:r>
    </w:p>
    <w:p>
      <w:pPr>
        <w:spacing w:line="480" w:lineRule="auto"/>
      </w:pPr>
      <w:r>
        <w:rPr>
          <w:rFonts w:ascii="Times New Roman" w:hAnsi="Times New Roman" w:cs="Times New Roman" w:eastAsia="Times New Roman"/>
          <w:color w:val="000000"/>
        </w:rPr>
        <w:t>Editors can correct the asymmetry described above without much difficulty. Any clinical case report implicating a botanical should state identification status, using the levels above or an equivalent scheme, and should say plainly when the answer is "label only". Authentication standards already get enforced on the pharmacology side of the same journals.</w:t>
      </w:r>
    </w:p>
    <w:p>
      <w:pPr>
        <w:spacing w:line="480" w:lineRule="auto"/>
      </w:pPr>
      <w:r>
        <w:rPr>
          <w:rFonts w:ascii="Times New Roman" w:hAnsi="Times New Roman" w:cs="Times New Roman" w:eastAsia="Times New Roman"/>
          <w:color w:val="000000"/>
        </w:rPr>
        <w:t>Among regulators, the finding that multi-ingredient products resist authentication should land hardest, because it means post-marketing surveillance cannot verify composition in the formats that dominate the market. Batch retention requirements on manufacturers would at least make the question answerable after the fact. Require a sealed retention sample of every batch, held for the product's shelf life plus some margin, and manufacturers will have solved at trivial cost what no amount of downstream analysis can solve once the material is gone.</w:t>
      </w:r>
    </w:p>
    <w:p>
      <w:pPr>
        <w:spacing w:line="480" w:lineRule="auto"/>
      </w:pPr>
      <w:r>
        <w:rPr>
          <w:rFonts w:ascii="Times New Roman" w:hAnsi="Times New Roman" w:cs="Times New Roman" w:eastAsia="Times New Roman"/>
          <w:b/>
          <w:i/>
          <w:color w:val="000000"/>
          <w:sz w:val="24"/>
        </w:rPr>
        <w:t>8.1 A note on what this argument does not say</w:t>
      </w:r>
    </w:p>
    <w:p>
      <w:pPr>
        <w:spacing w:line="480" w:lineRule="auto"/>
      </w:pPr>
      <w:r>
        <w:rPr>
          <w:rFonts w:ascii="Times New Roman" w:hAnsi="Times New Roman" w:cs="Times New Roman" w:eastAsia="Times New Roman"/>
          <w:color w:val="000000"/>
        </w:rPr>
        <w:t>Reviews in this area tend to arrive somewhere predictable, either indicting traditional medicine wholesale or defending it. Our argument supports neither position, and we want to be exact about why.</w:t>
      </w:r>
    </w:p>
    <w:p>
      <w:pPr>
        <w:spacing w:line="480" w:lineRule="auto"/>
      </w:pPr>
      <w:r>
        <w:rPr>
          <w:rFonts w:ascii="Times New Roman" w:hAnsi="Times New Roman" w:cs="Times New Roman" w:eastAsia="Times New Roman"/>
          <w:color w:val="000000"/>
        </w:rPr>
        <w:t>An I0 literature cannot sustain a claim that Ayurvedic practice is unusually hepatotoxic, because the exposures underlying that claim were never characterised. That same I0 literature cannot sustain the reply that adulterants or misidentified species caused the injuries, because that reply makes an identity claim from the same evidential position, and it is equally unfounded. Both camps have been reading confidence into a record that does not contain it.</w:t>
      </w:r>
    </w:p>
    <w:p>
      <w:pPr>
        <w:spacing w:line="480" w:lineRule="auto"/>
      </w:pPr>
      <w:r>
        <w:rPr>
          <w:rFonts w:ascii="Times New Roman" w:hAnsi="Times New Roman" w:cs="Times New Roman" w:eastAsia="Times New Roman"/>
          <w:color w:val="000000"/>
        </w:rPr>
        <w:t>What follows is not symmetry of outcome. It is symmetry of evidential standard. If authentication becomes routine and the injuries persist at I3 and I4, the species-level case against particular plants will be far stronger than anything available today, and practitioners should accept that. If authentication becomes routine and the signal largely dissolves into substitution and contamination, the sector will have been vindicated on evidence rather than by assertion, and hepatologists should accept that. Neither outcome is available while the record stays where it is.</w:t>
      </w:r>
    </w:p>
    <w:p>
      <w:pPr>
        <w:spacing w:line="480" w:lineRule="auto"/>
      </w:pPr>
      <w:r>
        <w:rPr>
          <w:rFonts w:ascii="Times New Roman" w:hAnsi="Times New Roman" w:cs="Times New Roman" w:eastAsia="Times New Roman"/>
          <w:color w:val="000000"/>
        </w:rPr>
        <w:t xml:space="preserve">Ayurvedic practice has a reading of this available to it that is not defensive at all. Classical pharmacy is precise about identity: </w:t>
      </w:r>
      <w:r>
        <w:rPr>
          <w:rFonts w:ascii="Times New Roman" w:hAnsi="Times New Roman" w:cs="Times New Roman" w:eastAsia="Times New Roman"/>
          <w:i/>
          <w:color w:val="000000"/>
        </w:rPr>
        <w:t>dravya</w:t>
      </w:r>
      <w:r>
        <w:rPr>
          <w:rFonts w:ascii="Times New Roman" w:hAnsi="Times New Roman" w:cs="Times New Roman" w:eastAsia="Times New Roman"/>
          <w:color w:val="000000"/>
        </w:rPr>
        <w:t xml:space="preserve"> is specified by source, part, season, and the processing the material must undergo before use, and the </w:t>
      </w:r>
      <w:r>
        <w:rPr>
          <w:rFonts w:ascii="Times New Roman" w:hAnsi="Times New Roman" w:cs="Times New Roman" w:eastAsia="Times New Roman"/>
          <w:i/>
          <w:color w:val="000000"/>
        </w:rPr>
        <w:t>shodhana</w:t>
      </w:r>
      <w:r>
        <w:rPr>
          <w:rFonts w:ascii="Times New Roman" w:hAnsi="Times New Roman" w:cs="Times New Roman" w:eastAsia="Times New Roman"/>
          <w:color w:val="000000"/>
        </w:rPr>
        <w:t xml:space="preserve"> procedures exist because the tradition recognised that raw material and prepared material are not the same substance. A practitioner who insists on knowing exactly what went into a preparation is not importing a foreign standard. Industrial production at scale eroded that specificity, and the retention and authentication we propose would restore part of it.</w:t>
      </w:r>
    </w:p>
    <w:p>
      <w:pPr>
        <w:spacing w:line="480" w:lineRule="auto"/>
      </w:pPr>
      <w:r>
        <w:rPr>
          <w:rFonts w:ascii="Times New Roman" w:hAnsi="Times New Roman" w:cs="Times New Roman" w:eastAsia="Times New Roman"/>
          <w:b/>
          <w:color w:val="000000"/>
          <w:sz w:val="24"/>
        </w:rPr>
        <w:t>9. What the research agenda would have to include</w:t>
      </w:r>
    </w:p>
    <w:p>
      <w:pPr>
        <w:spacing w:line="480" w:lineRule="auto"/>
      </w:pPr>
      <w:r>
        <w:rPr>
          <w:rFonts w:ascii="Times New Roman" w:hAnsi="Times New Roman" w:cs="Times New Roman" w:eastAsia="Times New Roman"/>
          <w:color w:val="000000"/>
        </w:rPr>
        <w:t>Three lines of work follow, in rough order of tractability.</w:t>
      </w:r>
    </w:p>
    <w:p>
      <w:pPr>
        <w:spacing w:line="480" w:lineRule="auto"/>
      </w:pPr>
      <w:r>
        <w:rPr>
          <w:rFonts w:ascii="Times New Roman" w:hAnsi="Times New Roman" w:cs="Times New Roman" w:eastAsia="Times New Roman"/>
          <w:color w:val="000000"/>
        </w:rPr>
        <w:t xml:space="preserve">Analytical method development for complex matrices is the binding constraint, and the </w:t>
      </w:r>
      <w:r>
        <w:rPr>
          <w:rFonts w:ascii="Times New Roman" w:hAnsi="Times New Roman" w:cs="Times New Roman" w:eastAsia="Times New Roman"/>
          <w:i/>
          <w:color w:val="000000"/>
        </w:rPr>
        <w:t>Tinospora</w:t>
      </w:r>
      <w:r>
        <w:rPr>
          <w:rFonts w:ascii="Times New Roman" w:hAnsi="Times New Roman" w:cs="Times New Roman" w:eastAsia="Times New Roman"/>
          <w:color w:val="000000"/>
        </w:rPr>
        <w:t xml:space="preserve"> samples showed exactly where it binds [13]. Metabolomic fingerprinting by LC-HRMS or NMR — applied to finished polyherbal products, paired with metabarcoding — is the obvious candidate; the deliverable is a validated workflow that returns species-level information from a compounded product rather than from a raw herb.</w:t>
      </w:r>
    </w:p>
    <w:p>
      <w:pPr>
        <w:spacing w:line="480" w:lineRule="auto"/>
      </w:pPr>
      <w:r>
        <w:rPr>
          <w:rFonts w:ascii="Times New Roman" w:hAnsi="Times New Roman" w:cs="Times New Roman" w:eastAsia="Times New Roman"/>
          <w:color w:val="000000"/>
        </w:rPr>
        <w:t>Retrospective identity-stratification of the existing HILI literature would establish how much of the current evidence base rests on I0 reports. Our reading suggests the great majority (we have not quantified it), and a systematic review with identity level as the extracted variable would answer the question. That study should be done, and it is a different study from this one.</w:t>
      </w:r>
    </w:p>
    <w:p>
      <w:pPr>
        <w:spacing w:line="480" w:lineRule="auto"/>
      </w:pPr>
      <w:r>
        <w:rPr>
          <w:rFonts w:ascii="Times New Roman" w:hAnsi="Times New Roman" w:cs="Times New Roman" w:eastAsia="Times New Roman"/>
          <w:color w:val="000000"/>
        </w:rPr>
        <w:t>Prospective registries that collect product samples at enrolment would, within a few years, generate the first HILI cohort in which species-level attribution is defensible. Set that cost against what is currently spent adjudicating cases that cannot be adjudicated, and it looks small.</w:t>
      </w:r>
    </w:p>
    <w:p>
      <w:pPr>
        <w:spacing w:line="480" w:lineRule="auto"/>
      </w:pPr>
      <w:r>
        <w:rPr>
          <w:rFonts w:ascii="Times New Roman" w:hAnsi="Times New Roman" w:cs="Times New Roman" w:eastAsia="Times New Roman"/>
          <w:color w:val="000000"/>
        </w:rPr>
        <w:t>One further line costs less than all of them and could start tomorrow. Any tertiary hepatology unit seeing a steady flow of suspected HILI can begin retaining product samples immediately, without new funding, new instruments or anyone's permission. Analysis can wait for a collaboration or a grant. Retention cannot, because the material disappears within days of the consultation. Five units doing this for two years would assemble the sample bank that the field has never had, and the cost is a freezer shelf and a standard operating procedure.</w:t>
      </w:r>
    </w:p>
    <w:p>
      <w:pPr>
        <w:spacing w:line="480" w:lineRule="auto"/>
      </w:pPr>
      <w:r>
        <w:rPr>
          <w:rFonts w:ascii="Times New Roman" w:hAnsi="Times New Roman" w:cs="Times New Roman" w:eastAsia="Times New Roman"/>
          <w:color w:val="000000"/>
        </w:rPr>
        <w:t>We would add one caution about how such a bank gets used. Retained samples invite retrospective analysis of the cases that turned out badly, which is how selection bias enters. Such a bank earns its keep only if material comes from every suspected case at presentation, including those that resolve uneventfully and never reach publication, since those are precisely the cases that would tell us how often an implicated product is authentic.</w:t>
      </w:r>
    </w:p>
    <w:p>
      <w:pPr>
        <w:spacing w:line="480" w:lineRule="auto"/>
      </w:pPr>
      <w:r>
        <w:rPr>
          <w:rFonts w:ascii="Times New Roman" w:hAnsi="Times New Roman" w:cs="Times New Roman" w:eastAsia="Times New Roman"/>
          <w:b/>
          <w:color w:val="000000"/>
          <w:sz w:val="24"/>
        </w:rPr>
        <w:t>10. Limitations</w:t>
      </w:r>
    </w:p>
    <w:p>
      <w:pPr>
        <w:spacing w:line="480" w:lineRule="auto"/>
      </w:pPr>
      <w:r>
        <w:rPr>
          <w:rFonts w:ascii="Times New Roman" w:hAnsi="Times New Roman" w:cs="Times New Roman" w:eastAsia="Times New Roman"/>
          <w:color w:val="000000"/>
        </w:rPr>
        <w:t>This review is interpretive and its search was not exhaustive; relevant reports in languages we do not read, and in the substantial grey literature of national pharmacovigilance systems, will have been missed. The identity scheme in Section 7 is a proposal, not a validated instrument. Nobody has tested it for inter-rater reliability, and we make no claim that its five levels are the right number. Our worked example draws on a single, geographically concentrated controversy, chosen because the identity question was argued explicitly in it; whether the same pattern holds across traditional Chinese medicine, Kampo or Western botanical supplements is an empirical question we have not settled. We have also written from a methodological position rather than a clinical one, and clinicians managing acute liver failure may reasonably weigh the practical obstacles to sample retention more heavily than we have.</w:t>
      </w:r>
    </w:p>
    <w:p>
      <w:pPr>
        <w:spacing w:line="480" w:lineRule="auto"/>
      </w:pPr>
      <w:r>
        <w:rPr>
          <w:rFonts w:ascii="Times New Roman" w:hAnsi="Times New Roman" w:cs="Times New Roman" w:eastAsia="Times New Roman"/>
          <w:b/>
          <w:color w:val="000000"/>
          <w:sz w:val="24"/>
        </w:rPr>
        <w:t>11. Conclusions</w:t>
      </w:r>
    </w:p>
    <w:p>
      <w:pPr>
        <w:spacing w:line="480" w:lineRule="auto"/>
      </w:pPr>
      <w:r>
        <w:rPr>
          <w:rFonts w:ascii="Times New Roman" w:hAnsi="Times New Roman" w:cs="Times New Roman" w:eastAsia="Times New Roman"/>
          <w:color w:val="000000"/>
        </w:rPr>
        <w:t>For two decades the HILI literature has scored one variable carefully while leaving another unrecorded. Causality instruments do what they were built to do, and they were built for agents whose identity is given. Traditional polyherbal medicines do not supply that premise, and no refinement of the scoring tables will make them supply it.</w:t>
      </w:r>
    </w:p>
    <w:p>
      <w:pPr>
        <w:spacing w:line="480" w:lineRule="auto"/>
      </w:pPr>
      <w:r>
        <w:rPr>
          <w:rFonts w:ascii="Times New Roman" w:hAnsi="Times New Roman" w:cs="Times New Roman" w:eastAsia="Times New Roman"/>
          <w:color w:val="000000"/>
        </w:rPr>
        <w:t xml:space="preserve">The </w:t>
      </w:r>
      <w:r>
        <w:rPr>
          <w:rFonts w:ascii="Times New Roman" w:hAnsi="Times New Roman" w:cs="Times New Roman" w:eastAsia="Times New Roman"/>
          <w:i/>
          <w:color w:val="000000"/>
        </w:rPr>
        <w:t>Tinospora</w:t>
      </w:r>
      <w:r>
        <w:rPr>
          <w:rFonts w:ascii="Times New Roman" w:hAnsi="Times New Roman" w:cs="Times New Roman" w:eastAsia="Times New Roman"/>
          <w:color w:val="000000"/>
        </w:rPr>
        <w:t xml:space="preserve"> episode is instructive less for its verdict than for its arithmetic: four of four raw samples identified, neither finished product identifiable, and a controversy that causality scores could not touch. Until the field records what patients actually consumed, and retains the material that would let anyone check, its case reports will continue to support weaker claims than they are asked to carry, in both directions. Scoring identity separately is a small change in reporting practice. Done consistently, it would make the resulting literature mean something.</w:t>
      </w:r>
    </w:p>
    <w:p>
      <w:pPr>
        <w:spacing w:line="480" w:lineRule="auto"/>
      </w:pPr>
      <w:r>
        <w:rPr>
          <w:rFonts w:ascii="Times New Roman" w:hAnsi="Times New Roman" w:cs="Times New Roman" w:eastAsia="Times New Roman"/>
          <w:b/>
          <w:color w:val="000000"/>
          <w:sz w:val="24"/>
        </w:rPr>
        <w:t>Declarations</w:t>
      </w:r>
    </w:p>
    <w:p>
      <w:pPr>
        <w:spacing w:line="480" w:lineRule="auto"/>
      </w:pPr>
      <w:r>
        <w:rPr>
          <w:rFonts w:ascii="Times New Roman" w:hAnsi="Times New Roman" w:cs="Times New Roman" w:eastAsia="Times New Roman"/>
          <w:b/>
          <w:color w:val="000000"/>
        </w:rPr>
        <w:t>Funding:</w:t>
      </w:r>
      <w:r>
        <w:rPr>
          <w:rFonts w:ascii="Times New Roman" w:hAnsi="Times New Roman" w:cs="Times New Roman" w:eastAsia="Times New Roman"/>
          <w:color w:val="000000"/>
        </w:rPr>
        <w:t xml:space="preserve"> [None / specify].</w:t>
      </w:r>
    </w:p>
    <w:p>
      <w:pPr>
        <w:spacing w:line="480" w:lineRule="auto"/>
      </w:pPr>
      <w:r>
        <w:rPr>
          <w:rFonts w:ascii="Times New Roman" w:hAnsi="Times New Roman" w:cs="Times New Roman" w:eastAsia="Times New Roman"/>
          <w:b/>
          <w:color w:val="000000"/>
        </w:rPr>
        <w:t>Conflicts of interest:</w:t>
      </w:r>
      <w:r>
        <w:rPr>
          <w:rFonts w:ascii="Times New Roman" w:hAnsi="Times New Roman" w:cs="Times New Roman" w:eastAsia="Times New Roman"/>
          <w:color w:val="000000"/>
        </w:rPr>
        <w:t xml:space="preserve"> [The authors declare no conflicts of interest / specify].</w:t>
      </w:r>
    </w:p>
    <w:p>
      <w:pPr>
        <w:spacing w:line="480" w:lineRule="auto"/>
      </w:pPr>
      <w:r>
        <w:rPr>
          <w:rFonts w:ascii="Times New Roman" w:hAnsi="Times New Roman" w:cs="Times New Roman" w:eastAsia="Times New Roman"/>
          <w:b/>
          <w:color w:val="000000"/>
        </w:rPr>
        <w:t>Author contributions (CRediT):</w:t>
      </w:r>
      <w:r>
        <w:rPr>
          <w:rFonts w:ascii="Times New Roman" w:hAnsi="Times New Roman" w:cs="Times New Roman" w:eastAsia="Times New Roman"/>
          <w:color w:val="000000"/>
        </w:rPr>
        <w:t xml:space="preserve"> [Conceptualisation; investigation; writing — original draft; writing — review and editing].</w:t>
      </w:r>
    </w:p>
    <w:p>
      <w:pPr>
        <w:spacing w:line="480" w:lineRule="auto"/>
      </w:pPr>
      <w:r>
        <w:rPr>
          <w:rFonts w:ascii="Times New Roman" w:hAnsi="Times New Roman" w:cs="Times New Roman" w:eastAsia="Times New Roman"/>
          <w:b/>
          <w:color w:val="000000"/>
        </w:rPr>
        <w:t>Data availability:</w:t>
      </w:r>
      <w:r>
        <w:rPr>
          <w:rFonts w:ascii="Times New Roman" w:hAnsi="Times New Roman" w:cs="Times New Roman" w:eastAsia="Times New Roman"/>
          <w:color w:val="000000"/>
        </w:rPr>
        <w:t xml:space="preserve"> Not applicable; no new data were generated.</w:t>
      </w:r>
    </w:p>
    <w:p>
      <w:pPr>
        <w:spacing w:line="480" w:lineRule="auto"/>
      </w:pPr>
      <w:r>
        <w:rPr>
          <w:rFonts w:ascii="Times New Roman" w:hAnsi="Times New Roman" w:cs="Times New Roman" w:eastAsia="Times New Roman"/>
          <w:b/>
          <w:color w:val="000000"/>
        </w:rPr>
        <w:t>Use of artificial intelligence:</w:t>
      </w:r>
      <w:r>
        <w:rPr>
          <w:rFonts w:ascii="Times New Roman" w:hAnsi="Times New Roman" w:cs="Times New Roman" w:eastAsia="Times New Roman"/>
          <w:color w:val="000000"/>
        </w:rPr>
        <w:t xml:space="preserve"> [Required by COPE and by most publishers where applicable. State the tool, version and purpose — for example, language editing or reference formatting — and confirm that the authors verified all content and references and accept full responsibility. AI tools must not be listed as authors.]</w:t>
      </w:r>
    </w:p>
    <w:p>
      <w:pPr>
        <w:spacing w:line="480" w:lineRule="auto"/>
      </w:pPr>
      <w:r>
        <w:rPr>
          <w:rFonts w:ascii="Times New Roman" w:hAnsi="Times New Roman" w:cs="Times New Roman" w:eastAsia="Times New Roman"/>
          <w:b/>
          <w:color w:val="000000"/>
        </w:rPr>
        <w:t>Ethics approval:</w:t>
      </w:r>
      <w:r>
        <w:rPr>
          <w:rFonts w:ascii="Times New Roman" w:hAnsi="Times New Roman" w:cs="Times New Roman" w:eastAsia="Times New Roman"/>
          <w:color w:val="000000"/>
        </w:rPr>
        <w:t xml:space="preserve"> Not applicable; this review used only published sources.</w:t>
      </w:r>
    </w:p>
    <w:p>
      <w:pPr>
        <w:spacing w:line="480" w:lineRule="auto"/>
      </w:pPr>
      <w:r>
        <w:rPr>
          <w:rFonts w:ascii="Times New Roman" w:hAnsi="Times New Roman" w:cs="Times New Roman" w:eastAsia="Times New Roman"/>
          <w:b/>
          <w:color w:val="000000"/>
          <w:sz w:val="24"/>
        </w:rPr>
        <w:t>References</w:t>
      </w:r>
    </w:p>
    <w:p>
      <w:pPr>
        <w:spacing w:line="480" w:lineRule="auto"/>
        <w:ind w:hanging="360" w:left="360"/>
      </w:pPr>
      <w:r>
        <w:rPr>
          <w:rFonts w:ascii="Times New Roman" w:hAnsi="Times New Roman" w:cs="Times New Roman" w:eastAsia="Times New Roman"/>
          <w:color w:val="000000"/>
        </w:rPr>
        <w:t>1. Navarro VJ, Barnhart H, Bonkovsky HL, Davern T, Fontana RJ, Grant L, et al. Liver injury from herbals and dietary supplements in the U.S. Drug-Induced Liver Injury Network. Hepatology. 2014;60(4):1399–408.</w:t>
      </w:r>
    </w:p>
    <w:p>
      <w:pPr>
        <w:spacing w:line="480" w:lineRule="auto"/>
        <w:ind w:hanging="360" w:left="360"/>
      </w:pPr>
      <w:r>
        <w:rPr>
          <w:rFonts w:ascii="Times New Roman" w:hAnsi="Times New Roman" w:cs="Times New Roman" w:eastAsia="Times New Roman"/>
          <w:color w:val="000000"/>
        </w:rPr>
        <w:t>2. Teschke R, Danan G. Worldwide use of RUCAM for causality assessment in 81,856 idiosyncratic DILI and 14,029 HILI cases published 1993–mid 2020: a comprehensive analysis. Medicines (Basel). 2020;7(10):62.</w:t>
      </w:r>
    </w:p>
    <w:p>
      <w:pPr>
        <w:spacing w:line="480" w:lineRule="auto"/>
        <w:ind w:hanging="360" w:left="360"/>
      </w:pPr>
      <w:r>
        <w:rPr>
          <w:rFonts w:ascii="Times New Roman" w:hAnsi="Times New Roman" w:cs="Times New Roman" w:eastAsia="Times New Roman"/>
          <w:color w:val="000000"/>
        </w:rPr>
        <w:t>3. Danan G, Teschke R. RUCAM in drug and herb induced liver injury: the update. Int J Mol Sci. 2016;17(1):14.</w:t>
      </w:r>
    </w:p>
    <w:p>
      <w:pPr>
        <w:spacing w:line="480" w:lineRule="auto"/>
        <w:ind w:hanging="360" w:left="360"/>
      </w:pPr>
      <w:r>
        <w:rPr>
          <w:rFonts w:ascii="Times New Roman" w:hAnsi="Times New Roman" w:cs="Times New Roman" w:eastAsia="Times New Roman"/>
          <w:color w:val="000000"/>
        </w:rPr>
        <w:t>4. Nagral A, Adhyaru K, Rudra OS, Gharat A, Bhandare S. Herbal immune booster-induced liver injury in the COVID-19 pandemic — a case series. J Clin Exp Hepatol. 2021;11(6):732–8.</w:t>
      </w:r>
    </w:p>
    <w:p>
      <w:pPr>
        <w:spacing w:line="480" w:lineRule="auto"/>
        <w:ind w:hanging="360" w:left="360"/>
      </w:pPr>
      <w:r>
        <w:rPr>
          <w:rFonts w:ascii="Times New Roman" w:hAnsi="Times New Roman" w:cs="Times New Roman" w:eastAsia="Times New Roman"/>
          <w:color w:val="000000"/>
        </w:rPr>
        <w:t>5. Kulkarni AV, Hanchanale P, Prakash V, Kalal C, Sharma M, Kumar K, et al. Tinospora cordifolia (Giloy)-induced liver injury during the COVID-19 pandemic — multicenter nationwide study from India. Hepatol Commun. 2022;6(6):1289–300.</w:t>
      </w:r>
    </w:p>
    <w:p>
      <w:pPr>
        <w:spacing w:line="480" w:lineRule="auto"/>
        <w:ind w:hanging="360" w:left="360"/>
      </w:pPr>
      <w:r>
        <w:rPr>
          <w:rFonts w:ascii="Times New Roman" w:hAnsi="Times New Roman" w:cs="Times New Roman" w:eastAsia="Times New Roman"/>
          <w:color w:val="000000"/>
        </w:rPr>
        <w:t>6. Retraction Note: DNA barcoding detects contamination and substitution in North American herbal products. BMC Med. 2024;22:286. [Retraction of: BMC Med. 2013;11:222.]</w:t>
      </w:r>
    </w:p>
    <w:p>
      <w:pPr>
        <w:spacing w:line="480" w:lineRule="auto"/>
        <w:ind w:hanging="360" w:left="360"/>
      </w:pPr>
      <w:r>
        <w:rPr>
          <w:rFonts w:ascii="Times New Roman" w:hAnsi="Times New Roman" w:cs="Times New Roman" w:eastAsia="Times New Roman"/>
          <w:color w:val="000000"/>
        </w:rPr>
        <w:t>7. Vanherweghem JL, Depierreux M, Tielemans C, Abramowicz D, Dratwa M, Jadoul M, et al. Rapidly progressive interstitial renal fibrosis in young women: association with slimming regimen including Chinese herbs. Lancet. 1993;341(8842):387–91.</w:t>
      </w:r>
    </w:p>
    <w:p>
      <w:pPr>
        <w:spacing w:line="480" w:lineRule="auto"/>
        <w:ind w:hanging="360" w:left="360"/>
      </w:pPr>
      <w:r>
        <w:rPr>
          <w:rFonts w:ascii="Times New Roman" w:hAnsi="Times New Roman" w:cs="Times New Roman" w:eastAsia="Times New Roman"/>
          <w:color w:val="000000"/>
        </w:rPr>
        <w:t>8. Nortier JL, Martinez MC, Schmeiser HH, Arlt VM, Bieler CA, Petein M, et al. Urothelial carcinoma associated with the use of a Chinese herb (Aristolochia fangchi). N Engl J Med. 2000;342(23):1686–92.</w:t>
      </w:r>
    </w:p>
    <w:p>
      <w:pPr>
        <w:spacing w:line="480" w:lineRule="auto"/>
        <w:ind w:hanging="360" w:left="360"/>
      </w:pPr>
      <w:r>
        <w:rPr>
          <w:rFonts w:ascii="Times New Roman" w:hAnsi="Times New Roman" w:cs="Times New Roman" w:eastAsia="Times New Roman"/>
          <w:color w:val="000000"/>
        </w:rPr>
        <w:t>9. Seethapathy GS, Raclariu-Manolica AC, Anmarkrud JA, Wangensteen H, de Boer HJ. DNA metabarcoding authentication of Ayurvedic herbal products on the European market raises concerns of quality and fidelity. Front Plant Sci. 2019;10:68.</w:t>
      </w:r>
    </w:p>
    <w:p>
      <w:pPr>
        <w:spacing w:line="480" w:lineRule="auto"/>
        <w:ind w:hanging="360" w:left="360"/>
      </w:pPr>
      <w:r>
        <w:rPr>
          <w:rFonts w:ascii="Times New Roman" w:hAnsi="Times New Roman" w:cs="Times New Roman" w:eastAsia="Times New Roman"/>
          <w:color w:val="000000"/>
        </w:rPr>
        <w:t>10. Ichim MC. The DNA-based authentication of commercial herbal products reveals their globally widespread adulteration. Front Pharmacol. 2019;10:1227.</w:t>
      </w:r>
    </w:p>
    <w:p>
      <w:pPr>
        <w:spacing w:line="480" w:lineRule="auto"/>
        <w:ind w:hanging="360" w:left="360"/>
      </w:pPr>
      <w:r>
        <w:rPr>
          <w:rFonts w:ascii="Times New Roman" w:hAnsi="Times New Roman" w:cs="Times New Roman" w:eastAsia="Times New Roman"/>
          <w:color w:val="000000"/>
        </w:rPr>
        <w:t>11. Vassou SL, Nithaniyal S, Raju B, Parani M. DNA barcoding of the market samples of single-drug herbal powders reveals adulteration with taxonomically unrelated plant species. Diversity. 2022;14(6):495.</w:t>
      </w:r>
    </w:p>
    <w:p>
      <w:pPr>
        <w:spacing w:line="480" w:lineRule="auto"/>
        <w:ind w:hanging="360" w:left="360"/>
      </w:pPr>
      <w:r>
        <w:rPr>
          <w:rFonts w:ascii="Times New Roman" w:hAnsi="Times New Roman" w:cs="Times New Roman" w:eastAsia="Times New Roman"/>
          <w:color w:val="000000"/>
        </w:rPr>
        <w:t>12. Saper RB, Phillips RS, Sehgal A, Khouri N, Davis RB, Paquin J, et al. Lead, mercury, and arsenic in US- and Indian-manufactured Ayurvedic medicines sold via the internet. JAMA. 2008;300(8):915–23.</w:t>
      </w:r>
    </w:p>
    <w:p>
      <w:pPr>
        <w:spacing w:line="480" w:lineRule="auto"/>
        <w:ind w:hanging="360" w:left="360"/>
      </w:pPr>
      <w:r>
        <w:rPr>
          <w:rFonts w:ascii="Times New Roman" w:hAnsi="Times New Roman" w:cs="Times New Roman" w:eastAsia="Times New Roman"/>
          <w:color w:val="000000"/>
        </w:rPr>
        <w:t>13. Nagral A, Adhyaru K, Rudra OS, Gharat A, Bhandare S. Herb-induced liver injury — a guide to approach. Lessons from the Tinospora cordifolia (Giloy) case series story. J Clin Exp Hepatol. 2023;13(2):344–53.</w:t>
      </w:r>
    </w:p>
    <w:p>
      <w:pPr>
        <w:spacing w:line="480" w:lineRule="auto"/>
        <w:ind w:hanging="360" w:left="360"/>
      </w:pPr>
      <w:r>
        <w:rPr>
          <w:rFonts w:ascii="Times New Roman" w:hAnsi="Times New Roman" w:cs="Times New Roman" w:eastAsia="Times New Roman"/>
          <w:color w:val="000000"/>
        </w:rPr>
        <w:t>14. Góis [initials]. Liver injury associated with irregular herbal products: a translational case series with chemical authentication and causality assessment using the updated RUCAM. Case Rep Hepatol. 2026;2026:5905774.</w:t>
      </w:r>
    </w:p>
    <w:p>
      <w:pPr>
        <w:spacing w:line="480" w:lineRule="auto"/>
        <w:ind w:hanging="360" w:left="360"/>
      </w:pPr>
      <w:r>
        <w:rPr>
          <w:rFonts w:ascii="Times New Roman" w:hAnsi="Times New Roman" w:cs="Times New Roman" w:eastAsia="Times New Roman"/>
          <w:color w:val="000000"/>
        </w:rPr>
        <w:t>15. Heinrich M, Jalil B, Abdel-Tawab M, Echeverria J, Kulić Ž, McGaw LJ, et al. Best practice in the chemical characterisation of extracts used in pharmacological and toxicological research — the ConPhyMP guidelines. Front Pharmacol. 2022;13:953205.</w:t>
      </w:r>
    </w:p>
    <w:p>
      <w:pPr>
        <w:spacing w:line="480" w:lineRule="auto"/>
        <w:ind w:hanging="360" w:left="360"/>
      </w:pPr>
      <w:r>
        <w:rPr>
          <w:rFonts w:ascii="Times New Roman" w:hAnsi="Times New Roman" w:cs="Times New Roman" w:eastAsia="Times New Roman"/>
          <w:color w:val="000000"/>
        </w:rPr>
        <w:t>16. Journal of Ethnopharmacology. Guide for authors. Elsevier. [Accessed and dated by the authors at submission.]</w:t>
      </w:r>
    </w:p>
    <w:p>
      <w:pPr>
        <w:spacing w:line="480" w:lineRule="auto"/>
        <w:ind w:hanging="360" w:left="360"/>
      </w:pPr>
      <w:r>
        <w:rPr>
          <w:rFonts w:ascii="Times New Roman" w:hAnsi="Times New Roman" w:cs="Times New Roman" w:eastAsia="Times New Roman"/>
          <w:color w:val="000000"/>
        </w:rPr>
        <w:t>17. Philips CA, Theruvath AH. A comprehensive review on the hepatotoxicity of herbs used in the Indian (Ayush) systems of alternative medicine. Medicine (Baltimore). 2024;103(16):e37903.</w:t>
      </w:r>
    </w:p>
    <w:p>
      <w:pPr>
        <w:spacing w:line="480" w:lineRule="auto"/>
        <w:ind w:hanging="360" w:left="360"/>
      </w:pPr>
      <w:r>
        <w:rPr>
          <w:rFonts w:ascii="Times New Roman" w:hAnsi="Times New Roman" w:cs="Times New Roman" w:eastAsia="Times New Roman"/>
          <w:color w:val="000000"/>
        </w:rPr>
        <w:t>18. LiverTox: clinical and research information on drug-induced liver injury. Tinospora. Bethesda (MD): National Institute of Diabetes and Digestive and Kidney Diseases. NBK608429.</w:t>
      </w:r>
    </w:p>
    <w:p>
      <w:pPr>
        <w:spacing w:line="480" w:lineRule="auto"/>
      </w:pPr>
      <w:r>
        <w:rPr>
          <w:rFonts w:ascii="Times New Roman" w:hAnsi="Times New Roman" w:cs="Times New Roman" w:eastAsia="Times New Roman"/>
          <w:b/>
          <w:color w:val="000000"/>
        </w:rPr>
        <w:t>[REFERENCE LIST IS DELIBERATELY SHORT]</w:t>
      </w:r>
      <w:r>
        <w:rPr>
          <w:rFonts w:ascii="Times New Roman" w:hAnsi="Times New Roman" w:cs="Times New Roman" w:eastAsia="Times New Roman"/>
          <w:b/>
          <w:color w:val="000000"/>
        </w:rPr>
        <w:t xml:space="preserve"> Every one of the 18 sources above was individually verified against the published record; none was generated from memory. A review of this scope in this venue would normally carry 60–80 references, so this list needs building out before submission — not because the argument is under-supported, but because several correct statements currently stand uncited. Sections 3.3, 8 and 9 are where that shows: the DILIN expert-opinion comparison literature, India's pharmacovigilance programme for ASU drugs, WHO traditional medicine safety guidance, undeclared-pharmaceutical adulteration reports, and the cytochrome P450 interaction literature behind Section 4.2. `SOURCES.md` lists exactly which statements need a citation attached and which reference fields still need confirming at the journal page. Close that file out before submitting.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